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60"/>
        <w:rPr>
          <w:rFonts w:hint="default" w:ascii="Times New Roman" w:hAnsi="Times New Roman" w:eastAsia="宋体" w:cs="Times New Roman"/>
          <w:sz w:val="28"/>
          <w:szCs w:val="32"/>
        </w:rPr>
      </w:pPr>
    </w:p>
    <w:p>
      <w:pPr>
        <w:pStyle w:val="44"/>
        <w:rPr>
          <w:rFonts w:hint="default" w:ascii="Times New Roman" w:hAnsi="Times New Roman" w:eastAsia="宋体" w:cs="Times New Roman"/>
          <w:sz w:val="28"/>
          <w:szCs w:val="32"/>
        </w:rPr>
      </w:pPr>
    </w:p>
    <w:p>
      <w:pPr>
        <w:rPr>
          <w:rFonts w:hint="eastAsia" w:ascii="宋体" w:hAnsi="宋体" w:eastAsia="宋体" w:cs="宋体"/>
          <w:sz w:val="44"/>
          <w:szCs w:val="44"/>
        </w:rPr>
      </w:pPr>
    </w:p>
    <w:p>
      <w:pPr>
        <w:spacing w:line="360" w:lineRule="auto"/>
        <w:jc w:val="center"/>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山东省朗荣玻璃科技股份有限公司</w:t>
      </w:r>
    </w:p>
    <w:p>
      <w:pPr>
        <w:spacing w:line="360" w:lineRule="auto"/>
        <w:jc w:val="center"/>
        <w:rPr>
          <w:rFonts w:hint="eastAsia" w:ascii="宋体" w:hAnsi="宋体" w:eastAsia="宋体" w:cs="宋体"/>
          <w:b/>
          <w:bCs/>
          <w:sz w:val="44"/>
          <w:szCs w:val="44"/>
          <w:lang w:eastAsia="zh-CN"/>
        </w:rPr>
      </w:pPr>
      <w:r>
        <w:rPr>
          <w:rFonts w:hint="eastAsia" w:ascii="宋体" w:hAnsi="宋体" w:eastAsia="宋体" w:cs="宋体"/>
          <w:b/>
          <w:bCs/>
          <w:sz w:val="44"/>
          <w:szCs w:val="44"/>
        </w:rPr>
        <w:t>钢化玻璃、夹层玻璃、中空玻璃生产项目竣工环境保护验收报告</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jc w:val="center"/>
        <w:rPr>
          <w:rFonts w:hint="default" w:ascii="Times New Roman" w:hAnsi="Times New Roman" w:eastAsia="宋体" w:cs="Times New Roman"/>
          <w:b/>
          <w:bCs/>
          <w:sz w:val="32"/>
          <w:szCs w:val="32"/>
          <w:u w:val="single"/>
          <w:lang w:val="en-US" w:eastAsia="zh-CN"/>
        </w:rPr>
      </w:pPr>
      <w:r>
        <w:rPr>
          <w:rFonts w:hint="default" w:ascii="Times New Roman" w:hAnsi="Times New Roman" w:eastAsia="宋体" w:cs="Times New Roman"/>
          <w:b/>
          <w:bCs/>
          <w:sz w:val="32"/>
          <w:szCs w:val="32"/>
          <w:u w:val="single"/>
          <w:lang w:val="en-US" w:eastAsia="zh-CN"/>
        </w:rPr>
        <w:t>建设单位：</w:t>
      </w:r>
      <w:r>
        <w:rPr>
          <w:rFonts w:hint="eastAsia" w:ascii="Times New Roman" w:hAnsi="Times New Roman" w:eastAsia="宋体" w:cs="Times New Roman"/>
          <w:b/>
          <w:bCs/>
          <w:sz w:val="32"/>
          <w:szCs w:val="32"/>
          <w:u w:val="single"/>
          <w:lang w:val="en-US" w:eastAsia="zh-CN"/>
        </w:rPr>
        <w:t>山东省朗荣玻璃科技股份有限公司</w:t>
      </w:r>
    </w:p>
    <w:p>
      <w:pPr>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b/>
          <w:bCs/>
          <w:sz w:val="32"/>
          <w:szCs w:val="32"/>
          <w:u w:val="single"/>
        </w:rPr>
        <w:t>编制单位：</w:t>
      </w:r>
      <w:r>
        <w:rPr>
          <w:rFonts w:hint="eastAsia" w:ascii="Times New Roman" w:hAnsi="Times New Roman" w:eastAsia="宋体" w:cs="Times New Roman"/>
          <w:b/>
          <w:bCs/>
          <w:sz w:val="32"/>
          <w:szCs w:val="32"/>
          <w:u w:val="single"/>
          <w:lang w:val="en-US" w:eastAsia="zh-CN"/>
        </w:rPr>
        <w:t>山东省朗荣玻璃科技股份有限公司</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jc w:val="center"/>
        <w:rPr>
          <w:rFonts w:hint="default" w:ascii="Times New Roman" w:hAnsi="Times New Roman" w:eastAsia="宋体" w:cs="Times New Roman"/>
          <w:b/>
          <w:bCs/>
          <w:sz w:val="30"/>
          <w:szCs w:val="30"/>
        </w:rPr>
      </w:pPr>
    </w:p>
    <w:p>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bCs/>
          <w:sz w:val="30"/>
          <w:szCs w:val="30"/>
        </w:rPr>
        <w:t>202</w:t>
      </w:r>
      <w:r>
        <w:rPr>
          <w:rFonts w:hint="default" w:ascii="Times New Roman" w:hAnsi="Times New Roman" w:eastAsia="宋体" w:cs="Times New Roman"/>
          <w:b/>
          <w:bCs/>
          <w:sz w:val="30"/>
          <w:szCs w:val="30"/>
          <w:lang w:val="en-US" w:eastAsia="zh-CN"/>
        </w:rPr>
        <w:t>3</w:t>
      </w:r>
      <w:r>
        <w:rPr>
          <w:rFonts w:hint="default" w:ascii="Times New Roman" w:hAnsi="Times New Roman" w:eastAsia="宋体" w:cs="Times New Roman"/>
          <w:b/>
          <w:bCs/>
          <w:sz w:val="30"/>
          <w:szCs w:val="30"/>
        </w:rPr>
        <w:t>年</w:t>
      </w:r>
      <w:r>
        <w:rPr>
          <w:rFonts w:hint="default" w:ascii="Times New Roman" w:hAnsi="Times New Roman" w:eastAsia="宋体" w:cs="Times New Roman"/>
          <w:b/>
          <w:bCs/>
          <w:sz w:val="30"/>
          <w:szCs w:val="30"/>
          <w:lang w:val="en-US" w:eastAsia="zh-CN"/>
        </w:rPr>
        <w:t>12</w:t>
      </w:r>
      <w:r>
        <w:rPr>
          <w:rFonts w:hint="default" w:ascii="Times New Roman" w:hAnsi="Times New Roman" w:eastAsia="宋体" w:cs="Times New Roman"/>
          <w:b/>
          <w:bCs/>
          <w:sz w:val="30"/>
          <w:szCs w:val="30"/>
        </w:rPr>
        <w:t>月</w:t>
      </w:r>
      <w:r>
        <w:rPr>
          <w:rFonts w:hint="default" w:ascii="Times New Roman" w:hAnsi="Times New Roman" w:eastAsia="宋体" w:cs="Times New Roman"/>
          <w:b/>
          <w:bCs/>
          <w:sz w:val="30"/>
          <w:szCs w:val="30"/>
          <w:lang w:val="en-US" w:eastAsia="zh-CN"/>
        </w:rPr>
        <w:t xml:space="preserve">  </w:t>
      </w:r>
    </w:p>
    <w:p>
      <w:pPr>
        <w:widowControl/>
        <w:jc w:val="left"/>
        <w:rPr>
          <w:rFonts w:hint="default" w:ascii="Times New Roman" w:hAnsi="Times New Roman" w:eastAsia="宋体" w:cs="Times New Roman"/>
          <w:sz w:val="28"/>
          <w:szCs w:val="28"/>
        </w:rPr>
        <w:sectPr>
          <w:footerReference r:id="rId3" w:type="default"/>
          <w:footerReference r:id="rId4" w:type="even"/>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宋体" w:cs="Times New Roman"/>
          <w:sz w:val="28"/>
          <w:szCs w:val="28"/>
        </w:rPr>
        <w:br w:type="page"/>
      </w:r>
    </w:p>
    <w:p>
      <w:pPr>
        <w:pStyle w:val="44"/>
        <w:rPr>
          <w:rFonts w:hint="default" w:ascii="Times New Roman" w:hAnsi="Times New Roman" w:eastAsia="宋体" w:cs="Times New Roman"/>
        </w:rPr>
      </w:pPr>
    </w:p>
    <w:p>
      <w:pPr>
        <w:pStyle w:val="21"/>
        <w:ind w:left="-283" w:leftChars="-135"/>
        <w:rPr>
          <w:rFonts w:hint="default" w:ascii="Times New Roman" w:hAnsi="Times New Roman" w:eastAsia="宋体" w:cs="Times New Roman"/>
        </w:rPr>
      </w:pP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建设单位：</w:t>
      </w:r>
      <w:r>
        <w:rPr>
          <w:rFonts w:hint="eastAsia" w:ascii="Times New Roman" w:hAnsi="Times New Roman" w:eastAsia="宋体" w:cs="Times New Roman"/>
          <w:b/>
          <w:sz w:val="28"/>
          <w:lang w:val="en-US" w:eastAsia="zh-CN"/>
        </w:rPr>
        <w:t>山东省朗荣玻璃科技股份有限公司</w:t>
      </w: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法人代表:</w:t>
      </w:r>
      <w:r>
        <w:rPr>
          <w:rFonts w:hint="default" w:ascii="Times New Roman" w:hAnsi="Times New Roman" w:eastAsia="宋体" w:cs="Times New Roman"/>
          <w:b/>
          <w:sz w:val="28"/>
        </w:rPr>
        <w:tab/>
      </w:r>
      <w:r>
        <w:rPr>
          <w:rFonts w:hint="default" w:ascii="Times New Roman" w:hAnsi="Times New Roman" w:eastAsia="宋体" w:cs="Times New Roman"/>
          <w:b/>
          <w:sz w:val="28"/>
        </w:rPr>
        <w:t xml:space="preserve"> </w:t>
      </w:r>
      <w:r>
        <w:rPr>
          <w:rFonts w:hint="default" w:ascii="Times New Roman" w:hAnsi="Times New Roman" w:eastAsia="宋体" w:cs="Times New Roman"/>
          <w:b/>
          <w:sz w:val="28"/>
          <w:lang w:val="en-US" w:eastAsia="zh-CN"/>
        </w:rPr>
        <w:t>荣守增</w:t>
      </w:r>
    </w:p>
    <w:p>
      <w:pPr>
        <w:spacing w:line="360" w:lineRule="auto"/>
        <w:rPr>
          <w:rFonts w:hint="default" w:ascii="Times New Roman" w:hAnsi="Times New Roman" w:eastAsia="宋体" w:cs="Times New Roman"/>
          <w:b/>
          <w:sz w:val="28"/>
          <w:lang w:eastAsia="zh-CN"/>
        </w:rPr>
      </w:pPr>
      <w:r>
        <w:rPr>
          <w:rFonts w:hint="default" w:ascii="Times New Roman" w:hAnsi="Times New Roman" w:eastAsia="宋体" w:cs="Times New Roman"/>
          <w:b/>
          <w:sz w:val="28"/>
        </w:rPr>
        <w:t>编制单位：</w:t>
      </w:r>
      <w:r>
        <w:rPr>
          <w:rFonts w:hint="eastAsia" w:ascii="Times New Roman" w:hAnsi="Times New Roman" w:eastAsia="宋体" w:cs="Times New Roman"/>
          <w:b/>
          <w:sz w:val="28"/>
          <w:lang w:val="en-US" w:eastAsia="zh-CN"/>
        </w:rPr>
        <w:t>山东省朗荣玻璃科技股份有限公司</w:t>
      </w: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 xml:space="preserve">法人代表: </w:t>
      </w:r>
      <w:r>
        <w:rPr>
          <w:rFonts w:hint="default" w:ascii="Times New Roman" w:hAnsi="Times New Roman" w:eastAsia="宋体" w:cs="Times New Roman"/>
          <w:b/>
          <w:sz w:val="28"/>
          <w:lang w:val="en-US" w:eastAsia="zh-CN"/>
        </w:rPr>
        <w:t>荣守增</w:t>
      </w: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 xml:space="preserve">项目负责人: </w:t>
      </w:r>
      <w:r>
        <w:rPr>
          <w:rFonts w:hint="default" w:ascii="Times New Roman" w:hAnsi="Times New Roman" w:eastAsia="宋体" w:cs="Times New Roman"/>
          <w:b/>
          <w:sz w:val="28"/>
          <w:lang w:val="en-US" w:eastAsia="zh-CN"/>
        </w:rPr>
        <w:t>荣守增</w:t>
      </w:r>
    </w:p>
    <w:p>
      <w:pPr>
        <w:pStyle w:val="14"/>
        <w:rPr>
          <w:rFonts w:hint="default" w:ascii="Times New Roman" w:hAnsi="Times New Roman" w:eastAsia="宋体" w:cs="Times New Roman"/>
        </w:rPr>
      </w:pPr>
    </w:p>
    <w:p>
      <w:pPr>
        <w:pStyle w:val="14"/>
        <w:rPr>
          <w:rFonts w:hint="default" w:ascii="Times New Roman" w:hAnsi="Times New Roman" w:eastAsia="宋体" w:cs="Times New Roman"/>
        </w:rPr>
      </w:pPr>
    </w:p>
    <w:p>
      <w:pPr>
        <w:pStyle w:val="14"/>
        <w:rPr>
          <w:rFonts w:hint="default" w:ascii="Times New Roman" w:hAnsi="Times New Roman" w:eastAsia="宋体" w:cs="Times New Roman"/>
        </w:rPr>
      </w:pPr>
    </w:p>
    <w:p>
      <w:pPr>
        <w:pStyle w:val="14"/>
        <w:rPr>
          <w:rFonts w:hint="default" w:ascii="Times New Roman" w:hAnsi="Times New Roman" w:eastAsia="宋体" w:cs="Times New Roman"/>
        </w:rPr>
      </w:pPr>
    </w:p>
    <w:p>
      <w:pPr>
        <w:pStyle w:val="14"/>
        <w:rPr>
          <w:rFonts w:hint="default" w:ascii="Times New Roman" w:hAnsi="Times New Roman" w:eastAsia="宋体" w:cs="Times New Roman"/>
        </w:rPr>
      </w:pPr>
    </w:p>
    <w:p>
      <w:pPr>
        <w:pStyle w:val="14"/>
        <w:rPr>
          <w:rFonts w:hint="default" w:ascii="Times New Roman" w:hAnsi="Times New Roman" w:eastAsia="宋体" w:cs="Times New Roman"/>
        </w:rPr>
      </w:pPr>
    </w:p>
    <w:p>
      <w:pPr>
        <w:pStyle w:val="14"/>
        <w:rPr>
          <w:rFonts w:hint="default" w:ascii="Times New Roman" w:hAnsi="Times New Roman" w:eastAsia="宋体" w:cs="Times New Roman"/>
        </w:rPr>
      </w:pPr>
    </w:p>
    <w:p>
      <w:pPr>
        <w:pStyle w:val="55"/>
        <w:jc w:val="center"/>
        <w:rPr>
          <w:rFonts w:hint="default" w:ascii="Times New Roman" w:hAnsi="Times New Roman" w:eastAsia="宋体" w:cs="Times New Roman"/>
          <w:color w:val="auto"/>
          <w:kern w:val="2"/>
          <w:sz w:val="21"/>
          <w:szCs w:val="22"/>
          <w:lang w:val="zh-CN"/>
        </w:rPr>
      </w:pPr>
    </w:p>
    <w:p>
      <w:pPr>
        <w:pStyle w:val="55"/>
        <w:jc w:val="center"/>
        <w:rPr>
          <w:rFonts w:hint="default" w:ascii="Times New Roman" w:hAnsi="Times New Roman" w:eastAsia="宋体" w:cs="Times New Roman"/>
          <w:color w:val="auto"/>
          <w:kern w:val="2"/>
          <w:sz w:val="21"/>
          <w:szCs w:val="22"/>
          <w:lang w:val="zh-CN"/>
        </w:rPr>
      </w:pPr>
    </w:p>
    <w:p>
      <w:pPr>
        <w:pStyle w:val="55"/>
        <w:jc w:val="center"/>
        <w:rPr>
          <w:rFonts w:hint="default" w:ascii="Times New Roman" w:hAnsi="Times New Roman" w:eastAsia="宋体" w:cs="Times New Roman"/>
          <w:color w:val="auto"/>
          <w:kern w:val="2"/>
          <w:sz w:val="21"/>
          <w:szCs w:val="22"/>
          <w:lang w:val="zh-CN"/>
        </w:rPr>
      </w:pPr>
    </w:p>
    <w:p>
      <w:pPr>
        <w:pStyle w:val="55"/>
        <w:spacing w:after="0" w:afterAutospacing="0"/>
        <w:jc w:val="center"/>
        <w:rPr>
          <w:rFonts w:hint="default" w:ascii="Times New Roman" w:hAnsi="Times New Roman" w:eastAsia="宋体" w:cs="Times New Roman"/>
          <w:color w:val="auto"/>
          <w:kern w:val="2"/>
          <w:sz w:val="21"/>
          <w:szCs w:val="22"/>
          <w:lang w:val="zh-CN"/>
        </w:rPr>
      </w:pPr>
    </w:p>
    <w:p>
      <w:pPr>
        <w:pStyle w:val="55"/>
        <w:spacing w:before="0" w:beforeAutospacing="0" w:after="0" w:afterAutospacing="0"/>
        <w:jc w:val="center"/>
        <w:rPr>
          <w:rFonts w:hint="default" w:ascii="Times New Roman" w:hAnsi="Times New Roman" w:eastAsia="宋体" w:cs="Times New Roman"/>
          <w:color w:val="auto"/>
          <w:kern w:val="2"/>
          <w:sz w:val="21"/>
          <w:szCs w:val="22"/>
          <w:lang w:val="zh-CN"/>
        </w:rPr>
      </w:pPr>
    </w:p>
    <w:p>
      <w:pPr>
        <w:rPr>
          <w:rFonts w:hint="default" w:ascii="Times New Roman" w:hAnsi="Times New Roman" w:eastAsia="宋体" w:cs="Times New Roman"/>
          <w:color w:val="auto"/>
          <w:kern w:val="2"/>
          <w:sz w:val="21"/>
          <w:szCs w:val="22"/>
          <w:lang w:val="zh-CN"/>
        </w:rPr>
      </w:pPr>
    </w:p>
    <w:p>
      <w:pPr>
        <w:pStyle w:val="36"/>
        <w:rPr>
          <w:rFonts w:hint="default"/>
          <w:lang w:val="zh-CN"/>
        </w:rPr>
      </w:pPr>
    </w:p>
    <w:p>
      <w:pPr>
        <w:pStyle w:val="55"/>
        <w:spacing w:before="0" w:beforeAutospacing="0" w:after="0" w:afterAutospacing="0"/>
        <w:jc w:val="center"/>
        <w:rPr>
          <w:rFonts w:hint="default" w:ascii="Times New Roman" w:hAnsi="Times New Roman" w:eastAsia="宋体" w:cs="Times New Roman"/>
          <w:color w:val="auto"/>
          <w:kern w:val="2"/>
          <w:sz w:val="21"/>
          <w:szCs w:val="22"/>
          <w:lang w:val="zh-CN"/>
        </w:rPr>
      </w:pPr>
    </w:p>
    <w:p>
      <w:pPr>
        <w:rPr>
          <w:rFonts w:hint="default"/>
          <w:lang w:val="zh-CN"/>
        </w:rPr>
      </w:pPr>
    </w:p>
    <w:sdt>
      <w:sdtPr>
        <w:rPr>
          <w:rFonts w:hint="default" w:ascii="Times New Roman" w:hAnsi="Times New Roman" w:eastAsia="宋体" w:cs="Times New Roman"/>
          <w:color w:val="auto"/>
          <w:kern w:val="2"/>
          <w:sz w:val="21"/>
          <w:szCs w:val="22"/>
          <w:lang w:val="zh-CN"/>
        </w:rPr>
        <w:id w:val="1108552957"/>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55"/>
            <w:spacing w:before="0" w:beforeAutospacing="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lang w:val="zh-CN"/>
            </w:rPr>
            <w:t>目录</w:t>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TOC \o "1-3" \h \z \u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_Toc3528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1、验收项目概况</w:t>
          </w:r>
          <w:r>
            <w:tab/>
          </w:r>
          <w:r>
            <w:fldChar w:fldCharType="begin"/>
          </w:r>
          <w:r>
            <w:instrText xml:space="preserve"> PAGEREF _Toc3528 \h </w:instrText>
          </w:r>
          <w:r>
            <w:fldChar w:fldCharType="separate"/>
          </w:r>
          <w:r>
            <w:t>1</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_Toc3759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1.1验收项目基本情况</w:t>
          </w:r>
          <w:r>
            <w:tab/>
          </w:r>
          <w:r>
            <w:fldChar w:fldCharType="begin"/>
          </w:r>
          <w:r>
            <w:instrText xml:space="preserve"> PAGEREF _Toc3759 \h </w:instrText>
          </w:r>
          <w:r>
            <w:fldChar w:fldCharType="separate"/>
          </w:r>
          <w:r>
            <w:t>1</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_Toc7875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1.2验收内容及目的</w:t>
          </w:r>
          <w:r>
            <w:tab/>
          </w:r>
          <w:r>
            <w:fldChar w:fldCharType="begin"/>
          </w:r>
          <w:r>
            <w:instrText xml:space="preserve"> PAGEREF _Toc7875 \h </w:instrText>
          </w:r>
          <w:r>
            <w:fldChar w:fldCharType="separate"/>
          </w:r>
          <w:r>
            <w:t>2</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_Toc20706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2、验收依据</w:t>
          </w:r>
          <w:r>
            <w:tab/>
          </w:r>
          <w:r>
            <w:fldChar w:fldCharType="begin"/>
          </w:r>
          <w:r>
            <w:instrText xml:space="preserve"> PAGEREF _Toc20706 \h </w:instrText>
          </w:r>
          <w:r>
            <w:fldChar w:fldCharType="separate"/>
          </w:r>
          <w:r>
            <w:t>3</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_Toc867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2.1法律依据</w:t>
          </w:r>
          <w:r>
            <w:tab/>
          </w:r>
          <w:r>
            <w:fldChar w:fldCharType="begin"/>
          </w:r>
          <w:r>
            <w:instrText xml:space="preserve"> PAGEREF _Toc867 \h </w:instrText>
          </w:r>
          <w:r>
            <w:fldChar w:fldCharType="separate"/>
          </w:r>
          <w:r>
            <w:t>3</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_Toc373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2.2 验收技术规范</w:t>
          </w:r>
          <w:r>
            <w:tab/>
          </w:r>
          <w:r>
            <w:fldChar w:fldCharType="begin"/>
          </w:r>
          <w:r>
            <w:instrText xml:space="preserve"> PAGEREF _Toc373 \h </w:instrText>
          </w:r>
          <w:r>
            <w:fldChar w:fldCharType="separate"/>
          </w:r>
          <w:r>
            <w:t>3</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_Toc13806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2.2其他法规、条例</w:t>
          </w:r>
          <w:r>
            <w:tab/>
          </w:r>
          <w:r>
            <w:fldChar w:fldCharType="begin"/>
          </w:r>
          <w:r>
            <w:instrText xml:space="preserve"> PAGEREF _Toc13806 \h </w:instrText>
          </w:r>
          <w:r>
            <w:fldChar w:fldCharType="separate"/>
          </w:r>
          <w:r>
            <w:t>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_Toc32291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2.3技术文件依据</w:t>
          </w:r>
          <w:r>
            <w:tab/>
          </w:r>
          <w:r>
            <w:fldChar w:fldCharType="begin"/>
          </w:r>
          <w:r>
            <w:instrText xml:space="preserve"> PAGEREF _Toc32291 \h </w:instrText>
          </w:r>
          <w:r>
            <w:fldChar w:fldCharType="separate"/>
          </w:r>
          <w:r>
            <w:t>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_Toc24475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2.4验收监测评价标准</w:t>
          </w:r>
          <w:r>
            <w:tab/>
          </w:r>
          <w:r>
            <w:fldChar w:fldCharType="begin"/>
          </w:r>
          <w:r>
            <w:instrText xml:space="preserve"> PAGEREF _Toc24475 \h </w:instrText>
          </w:r>
          <w:r>
            <w:fldChar w:fldCharType="separate"/>
          </w:r>
          <w:r>
            <w:t>5</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_Toc3104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3、工程建设情况</w:t>
          </w:r>
          <w:r>
            <w:tab/>
          </w:r>
          <w:r>
            <w:fldChar w:fldCharType="begin"/>
          </w:r>
          <w:r>
            <w:instrText xml:space="preserve"> PAGEREF _Toc3104 \h </w:instrText>
          </w:r>
          <w:r>
            <w:fldChar w:fldCharType="separate"/>
          </w:r>
          <w:r>
            <w:t>6</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_Toc22071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3.1地理位置及平面布置</w:t>
          </w:r>
          <w:r>
            <w:tab/>
          </w:r>
          <w:r>
            <w:fldChar w:fldCharType="begin"/>
          </w:r>
          <w:r>
            <w:instrText xml:space="preserve"> PAGEREF _Toc22071 \h </w:instrText>
          </w:r>
          <w:r>
            <w:fldChar w:fldCharType="separate"/>
          </w:r>
          <w:r>
            <w:t>6</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_Toc10499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3.2建设内容</w:t>
          </w:r>
          <w:r>
            <w:tab/>
          </w:r>
          <w:r>
            <w:fldChar w:fldCharType="begin"/>
          </w:r>
          <w:r>
            <w:instrText xml:space="preserve"> PAGEREF _Toc10499 \h </w:instrText>
          </w:r>
          <w:r>
            <w:fldChar w:fldCharType="separate"/>
          </w:r>
          <w:r>
            <w:t>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_Toc8046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3.3主要产品</w:t>
          </w:r>
          <w:r>
            <w:rPr>
              <w:rFonts w:hint="default" w:ascii="Times New Roman" w:hAnsi="Times New Roman" w:eastAsia="宋体" w:cs="Times New Roman"/>
              <w:szCs w:val="32"/>
              <w:lang w:eastAsia="zh-CN"/>
            </w:rPr>
            <w:t>、</w:t>
          </w:r>
          <w:r>
            <w:rPr>
              <w:rFonts w:hint="default" w:ascii="Times New Roman" w:hAnsi="Times New Roman" w:eastAsia="宋体" w:cs="Times New Roman"/>
              <w:szCs w:val="32"/>
            </w:rPr>
            <w:t>原辅材料、及生产设备</w:t>
          </w:r>
          <w:r>
            <w:tab/>
          </w:r>
          <w:r>
            <w:fldChar w:fldCharType="begin"/>
          </w:r>
          <w:r>
            <w:instrText xml:space="preserve"> PAGEREF _Toc8046 \h </w:instrText>
          </w:r>
          <w:r>
            <w:fldChar w:fldCharType="separate"/>
          </w:r>
          <w:r>
            <w:t>8</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_Toc4004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3.4水源及水平衡</w:t>
          </w:r>
          <w:r>
            <w:tab/>
          </w:r>
          <w:r>
            <w:fldChar w:fldCharType="begin"/>
          </w:r>
          <w:r>
            <w:instrText xml:space="preserve"> PAGEREF _Toc4004 \h </w:instrText>
          </w:r>
          <w:r>
            <w:fldChar w:fldCharType="separate"/>
          </w:r>
          <w:r>
            <w:t>10</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_Toc26814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3.5</w:t>
          </w:r>
          <w:r>
            <w:rPr>
              <w:rFonts w:hint="default" w:ascii="Times New Roman" w:hAnsi="Times New Roman" w:eastAsia="宋体" w:cs="Times New Roman"/>
              <w:szCs w:val="32"/>
              <w:lang w:val="en-US" w:eastAsia="zh-CN"/>
            </w:rPr>
            <w:t>项目</w:t>
          </w:r>
          <w:r>
            <w:rPr>
              <w:rFonts w:hint="default" w:ascii="Times New Roman" w:hAnsi="Times New Roman" w:eastAsia="宋体" w:cs="Times New Roman"/>
              <w:szCs w:val="32"/>
            </w:rPr>
            <w:t>生产工艺</w:t>
          </w:r>
          <w:r>
            <w:tab/>
          </w:r>
          <w:r>
            <w:fldChar w:fldCharType="begin"/>
          </w:r>
          <w:r>
            <w:instrText xml:space="preserve"> PAGEREF _Toc26814 \h </w:instrText>
          </w:r>
          <w:r>
            <w:fldChar w:fldCharType="separate"/>
          </w:r>
          <w:r>
            <w:t>10</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_Toc27108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3.6项目变动情况</w:t>
          </w:r>
          <w:r>
            <w:tab/>
          </w:r>
          <w:r>
            <w:fldChar w:fldCharType="begin"/>
          </w:r>
          <w:r>
            <w:instrText xml:space="preserve"> PAGEREF _Toc27108 \h </w:instrText>
          </w:r>
          <w:r>
            <w:fldChar w:fldCharType="separate"/>
          </w:r>
          <w:r>
            <w:t>15</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_Toc27545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4、环境保护设施</w:t>
          </w:r>
          <w:r>
            <w:tab/>
          </w:r>
          <w:r>
            <w:fldChar w:fldCharType="begin"/>
          </w:r>
          <w:r>
            <w:instrText xml:space="preserve"> PAGEREF _Toc27545 \h </w:instrText>
          </w:r>
          <w:r>
            <w:fldChar w:fldCharType="separate"/>
          </w:r>
          <w:r>
            <w:t>18</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_Toc32060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4.1污染物治理/处置设施</w:t>
          </w:r>
          <w:r>
            <w:tab/>
          </w:r>
          <w:r>
            <w:fldChar w:fldCharType="begin"/>
          </w:r>
          <w:r>
            <w:instrText xml:space="preserve"> PAGEREF _Toc32060 \h </w:instrText>
          </w:r>
          <w:r>
            <w:fldChar w:fldCharType="separate"/>
          </w:r>
          <w:r>
            <w:t>18</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_Toc15102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4.2其他环保设施</w:t>
          </w:r>
          <w:r>
            <w:tab/>
          </w:r>
          <w:r>
            <w:fldChar w:fldCharType="begin"/>
          </w:r>
          <w:r>
            <w:instrText xml:space="preserve"> PAGEREF _Toc15102 \h </w:instrText>
          </w:r>
          <w:r>
            <w:fldChar w:fldCharType="separate"/>
          </w:r>
          <w:r>
            <w:t>22</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_Toc17634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4.3环保设施投资及“三同时”落实情况</w:t>
          </w:r>
          <w:r>
            <w:tab/>
          </w:r>
          <w:r>
            <w:fldChar w:fldCharType="begin"/>
          </w:r>
          <w:r>
            <w:instrText xml:space="preserve"> PAGEREF _Toc17634 \h </w:instrText>
          </w:r>
          <w:r>
            <w:fldChar w:fldCharType="separate"/>
          </w:r>
          <w:r>
            <w:t>24</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_Toc19499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5、建设项目环评报告表的主要结论与建议及审批部门审批决定</w:t>
          </w:r>
          <w:r>
            <w:tab/>
          </w:r>
          <w:r>
            <w:fldChar w:fldCharType="begin"/>
          </w:r>
          <w:r>
            <w:instrText xml:space="preserve"> PAGEREF _Toc19499 \h </w:instrText>
          </w:r>
          <w:r>
            <w:fldChar w:fldCharType="separate"/>
          </w:r>
          <w:r>
            <w:t>27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_Toc15391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5.1建设项目环评报告书表的主要结论与建议</w:t>
          </w:r>
          <w:r>
            <w:tab/>
          </w:r>
          <w:r>
            <w:fldChar w:fldCharType="begin"/>
          </w:r>
          <w:r>
            <w:instrText xml:space="preserve"> PAGEREF _Toc15391 \h </w:instrText>
          </w:r>
          <w:r>
            <w:fldChar w:fldCharType="separate"/>
          </w:r>
          <w:r>
            <w:t>27</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_Toc15557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6、验收执行标准</w:t>
          </w:r>
          <w:r>
            <w:tab/>
          </w:r>
          <w:r>
            <w:fldChar w:fldCharType="begin"/>
          </w:r>
          <w:r>
            <w:instrText xml:space="preserve"> PAGEREF _Toc15557 \h </w:instrText>
          </w:r>
          <w:r>
            <w:fldChar w:fldCharType="separate"/>
          </w:r>
          <w:r>
            <w:t>33</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_Toc25473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highlight w:val="none"/>
            </w:rPr>
            <w:t>7、验收监测内容</w:t>
          </w:r>
          <w:r>
            <w:tab/>
          </w:r>
          <w:r>
            <w:fldChar w:fldCharType="begin"/>
          </w:r>
          <w:r>
            <w:instrText xml:space="preserve"> PAGEREF _Toc25473 \h </w:instrText>
          </w:r>
          <w:r>
            <w:fldChar w:fldCharType="separate"/>
          </w:r>
          <w:r>
            <w:t>34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_Toc26291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7.1 环境保护设施调试效果</w:t>
          </w:r>
          <w:r>
            <w:tab/>
          </w:r>
          <w:r>
            <w:fldChar w:fldCharType="begin"/>
          </w:r>
          <w:r>
            <w:instrText xml:space="preserve"> PAGEREF _Toc26291 \h </w:instrText>
          </w:r>
          <w:r>
            <w:fldChar w:fldCharType="separate"/>
          </w:r>
          <w:r>
            <w:t>34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_Toc25240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7.2环境质量监测</w:t>
          </w:r>
          <w:r>
            <w:tab/>
          </w:r>
          <w:r>
            <w:fldChar w:fldCharType="begin"/>
          </w:r>
          <w:r>
            <w:instrText xml:space="preserve"> PAGEREF _Toc25240 \h </w:instrText>
          </w:r>
          <w:r>
            <w:fldChar w:fldCharType="separate"/>
          </w:r>
          <w:r>
            <w:t>36</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_Toc23401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8、质量保证及质量控制</w:t>
          </w:r>
          <w:r>
            <w:tab/>
          </w:r>
          <w:r>
            <w:fldChar w:fldCharType="begin"/>
          </w:r>
          <w:r>
            <w:instrText xml:space="preserve"> PAGEREF _Toc23401 \h </w:instrText>
          </w:r>
          <w:r>
            <w:fldChar w:fldCharType="separate"/>
          </w:r>
          <w:r>
            <w:t>37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_Toc29861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8.1监测分析方法及监测仪器</w:t>
          </w:r>
          <w:r>
            <w:tab/>
          </w:r>
          <w:r>
            <w:fldChar w:fldCharType="begin"/>
          </w:r>
          <w:r>
            <w:instrText xml:space="preserve"> PAGEREF _Toc29861 \h </w:instrText>
          </w:r>
          <w:r>
            <w:fldChar w:fldCharType="separate"/>
          </w:r>
          <w:r>
            <w:t>37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_Toc600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8.2人员资质</w:t>
          </w:r>
          <w:r>
            <w:tab/>
          </w:r>
          <w:r>
            <w:fldChar w:fldCharType="begin"/>
          </w:r>
          <w:r>
            <w:instrText xml:space="preserve"> PAGEREF _Toc600 \h </w:instrText>
          </w:r>
          <w:r>
            <w:fldChar w:fldCharType="separate"/>
          </w:r>
          <w:r>
            <w:t>37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_Toc24512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8.3水质监测分析过程中的质量保证和质量控制</w:t>
          </w:r>
          <w:r>
            <w:tab/>
          </w:r>
          <w:r>
            <w:fldChar w:fldCharType="begin"/>
          </w:r>
          <w:r>
            <w:instrText xml:space="preserve"> PAGEREF _Toc24512 \h </w:instrText>
          </w:r>
          <w:r>
            <w:fldChar w:fldCharType="separate"/>
          </w:r>
          <w:r>
            <w:t>37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_Toc15346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8.4气体监测分析过程中的质量保证和质量控制</w:t>
          </w:r>
          <w:r>
            <w:tab/>
          </w:r>
          <w:r>
            <w:fldChar w:fldCharType="begin"/>
          </w:r>
          <w:r>
            <w:instrText xml:space="preserve"> PAGEREF _Toc15346 \h </w:instrText>
          </w:r>
          <w:r>
            <w:fldChar w:fldCharType="separate"/>
          </w:r>
          <w:r>
            <w:t>37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_Toc29255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8.5噪声监测分析过程中的质量保证和质量控制</w:t>
          </w:r>
          <w:r>
            <w:tab/>
          </w:r>
          <w:r>
            <w:fldChar w:fldCharType="begin"/>
          </w:r>
          <w:r>
            <w:instrText xml:space="preserve"> PAGEREF _Toc29255 \h </w:instrText>
          </w:r>
          <w:r>
            <w:fldChar w:fldCharType="separate"/>
          </w:r>
          <w:r>
            <w:t>37</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_Toc13816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8.6固体废物监测分析过程中的质量保证和质量控制</w:t>
          </w:r>
          <w:r>
            <w:tab/>
          </w:r>
          <w:r>
            <w:fldChar w:fldCharType="begin"/>
          </w:r>
          <w:r>
            <w:instrText xml:space="preserve"> PAGEREF _Toc13816 \h </w:instrText>
          </w:r>
          <w:r>
            <w:fldChar w:fldCharType="separate"/>
          </w:r>
          <w:r>
            <w:t>38</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_Toc8329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9、验收监测结果</w:t>
          </w:r>
          <w:r>
            <w:tab/>
          </w:r>
          <w:r>
            <w:fldChar w:fldCharType="begin"/>
          </w:r>
          <w:r>
            <w:instrText xml:space="preserve"> PAGEREF _Toc8329 \h </w:instrText>
          </w:r>
          <w:r>
            <w:fldChar w:fldCharType="separate"/>
          </w:r>
          <w:r>
            <w:t>39</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_Toc17112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9.1生产工况</w:t>
          </w:r>
          <w:r>
            <w:tab/>
          </w:r>
          <w:r>
            <w:fldChar w:fldCharType="begin"/>
          </w:r>
          <w:r>
            <w:instrText xml:space="preserve"> PAGEREF _Toc17112 \h </w:instrText>
          </w:r>
          <w:r>
            <w:fldChar w:fldCharType="separate"/>
          </w:r>
          <w:r>
            <w:t>39</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_Toc27920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10、验收监测结论</w:t>
          </w:r>
          <w:r>
            <w:tab/>
          </w:r>
          <w:r>
            <w:fldChar w:fldCharType="begin"/>
          </w:r>
          <w:r>
            <w:instrText xml:space="preserve"> PAGEREF _Toc27920 \h </w:instrText>
          </w:r>
          <w:r>
            <w:fldChar w:fldCharType="separate"/>
          </w:r>
          <w:r>
            <w:t>43</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_Toc21870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10.1环境保护设施调试效果</w:t>
          </w:r>
          <w:r>
            <w:tab/>
          </w:r>
          <w:r>
            <w:fldChar w:fldCharType="begin"/>
          </w:r>
          <w:r>
            <w:instrText xml:space="preserve"> PAGEREF _Toc21870 \h </w:instrText>
          </w:r>
          <w:r>
            <w:fldChar w:fldCharType="separate"/>
          </w:r>
          <w:r>
            <w:t>43</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_Toc22517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10.2建议</w:t>
          </w:r>
          <w:r>
            <w:tab/>
          </w:r>
          <w:r>
            <w:fldChar w:fldCharType="begin"/>
          </w:r>
          <w:r>
            <w:instrText xml:space="preserve"> PAGEREF _Toc22517 \h </w:instrText>
          </w:r>
          <w:r>
            <w:fldChar w:fldCharType="separate"/>
          </w:r>
          <w:r>
            <w:t>44</w:t>
          </w:r>
          <w:r>
            <w:fldChar w:fldCharType="end"/>
          </w:r>
          <w:r>
            <w:rPr>
              <w:rFonts w:hint="default" w:ascii="Times New Roman" w:hAnsi="Times New Roman" w:eastAsia="宋体" w:cs="Times New Roman"/>
            </w:rPr>
            <w:fldChar w:fldCharType="end"/>
          </w:r>
        </w:p>
        <w:p>
          <w:pPr>
            <w:pStyle w:val="21"/>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_Toc2921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11、建设项目竣工环境保护 “ 三同时 ”验收登记表</w:t>
          </w:r>
          <w:r>
            <w:tab/>
          </w:r>
          <w:r>
            <w:fldChar w:fldCharType="begin"/>
          </w:r>
          <w:r>
            <w:instrText xml:space="preserve"> PAGEREF _Toc2921 \h </w:instrText>
          </w:r>
          <w:r>
            <w:fldChar w:fldCharType="separate"/>
          </w:r>
          <w:r>
            <w:t>46</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_Toc13862 </w:instrText>
          </w:r>
          <w:r>
            <w:rPr>
              <w:rFonts w:hint="default" w:ascii="Times New Roman" w:hAnsi="Times New Roman" w:eastAsia="宋体" w:cs="Times New Roman"/>
            </w:rPr>
            <w:fldChar w:fldCharType="separate"/>
          </w:r>
          <w:r>
            <w:rPr>
              <w:rFonts w:hint="default" w:ascii="Times New Roman" w:hAnsi="Times New Roman" w:eastAsia="宋体" w:cs="Times New Roman"/>
            </w:rPr>
            <w:t>附件1：</w:t>
          </w:r>
          <w:r>
            <w:rPr>
              <w:rFonts w:hint="default" w:ascii="Times New Roman" w:hAnsi="Times New Roman" w:eastAsia="宋体" w:cs="Times New Roman"/>
              <w:lang w:val="en-US" w:eastAsia="zh-CN"/>
            </w:rPr>
            <w:t>营业执照</w:t>
          </w:r>
          <w:r>
            <w:tab/>
          </w:r>
          <w:r>
            <w:fldChar w:fldCharType="begin"/>
          </w:r>
          <w:r>
            <w:instrText xml:space="preserve"> PAGEREF _Toc13862 \h </w:instrText>
          </w:r>
          <w:r>
            <w:fldChar w:fldCharType="separate"/>
          </w:r>
          <w:r>
            <w:t>48</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_Toc17429 </w:instrText>
          </w:r>
          <w:r>
            <w:rPr>
              <w:rFonts w:hint="default" w:ascii="Times New Roman" w:hAnsi="Times New Roman" w:eastAsia="宋体" w:cs="Times New Roman"/>
            </w:rPr>
            <w:fldChar w:fldCharType="separate"/>
          </w:r>
          <w:r>
            <w:rPr>
              <w:rFonts w:hint="default" w:ascii="Times New Roman" w:hAnsi="Times New Roman" w:eastAsia="宋体" w:cs="Times New Roman"/>
            </w:rPr>
            <w:t>附件2：环评批复</w:t>
          </w:r>
          <w:r>
            <w:tab/>
          </w:r>
          <w:r>
            <w:fldChar w:fldCharType="begin"/>
          </w:r>
          <w:r>
            <w:instrText xml:space="preserve"> PAGEREF _Toc17429 \h </w:instrText>
          </w:r>
          <w:r>
            <w:fldChar w:fldCharType="separate"/>
          </w:r>
          <w:r>
            <w:t>49</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_Toc6022 </w:instrText>
          </w:r>
          <w:r>
            <w:rPr>
              <w:rFonts w:hint="default" w:ascii="Times New Roman" w:hAnsi="Times New Roman" w:eastAsia="宋体" w:cs="Times New Roman"/>
            </w:rPr>
            <w:fldChar w:fldCharType="separate"/>
          </w:r>
          <w:r>
            <w:rPr>
              <w:rFonts w:hint="default" w:ascii="Times New Roman" w:hAnsi="Times New Roman" w:eastAsia="宋体" w:cs="Times New Roman"/>
            </w:rPr>
            <w:t>附件</w:t>
          </w:r>
          <w:r>
            <w:rPr>
              <w:rFonts w:hint="default" w:ascii="Times New Roman" w:hAnsi="Times New Roman" w:eastAsia="宋体" w:cs="Times New Roman"/>
              <w:lang w:val="en-US" w:eastAsia="zh-CN"/>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备案证明</w:t>
          </w:r>
          <w:r>
            <w:tab/>
          </w:r>
          <w:r>
            <w:fldChar w:fldCharType="begin"/>
          </w:r>
          <w:r>
            <w:instrText xml:space="preserve"> PAGEREF _Toc6022 \h </w:instrText>
          </w:r>
          <w:r>
            <w:fldChar w:fldCharType="separate"/>
          </w:r>
          <w:r>
            <w:t>52</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_Toc23366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附件4</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排污许可证</w:t>
          </w:r>
          <w:r>
            <w:tab/>
          </w:r>
          <w:r>
            <w:fldChar w:fldCharType="begin"/>
          </w:r>
          <w:r>
            <w:instrText xml:space="preserve"> PAGEREF _Toc23366 \h </w:instrText>
          </w:r>
          <w:r>
            <w:fldChar w:fldCharType="separate"/>
          </w:r>
          <w:r>
            <w:t>53</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_Toc20616 </w:instrText>
          </w:r>
          <w:r>
            <w:rPr>
              <w:rFonts w:hint="default" w:ascii="Times New Roman" w:hAnsi="Times New Roman" w:eastAsia="宋体" w:cs="Times New Roman"/>
            </w:rPr>
            <w:fldChar w:fldCharType="separate"/>
          </w:r>
          <w:r>
            <w:rPr>
              <w:rFonts w:hint="eastAsia" w:ascii="宋体" w:hAnsi="宋体" w:eastAsia="宋体" w:cs="宋体"/>
            </w:rPr>
            <w:t>附件</w:t>
          </w:r>
          <w:r>
            <w:rPr>
              <w:rFonts w:hint="default" w:ascii="Times New Roman" w:hAnsi="Times New Roman" w:eastAsia="宋体" w:cs="Times New Roman"/>
            </w:rPr>
            <w:t>4</w:t>
          </w:r>
          <w:r>
            <w:rPr>
              <w:rFonts w:hint="eastAsia" w:ascii="宋体" w:hAnsi="宋体" w:eastAsia="宋体" w:cs="宋体"/>
            </w:rPr>
            <w:t>：</w:t>
          </w:r>
          <w:r>
            <w:rPr>
              <w:rFonts w:hint="eastAsia" w:ascii="宋体" w:hAnsi="宋体" w:eastAsia="宋体" w:cs="宋体"/>
              <w:lang w:val="en-US" w:eastAsia="zh-CN"/>
            </w:rPr>
            <w:t>工业用地证明</w:t>
          </w:r>
          <w:r>
            <w:tab/>
          </w:r>
          <w:r>
            <w:fldChar w:fldCharType="begin"/>
          </w:r>
          <w:r>
            <w:instrText xml:space="preserve"> PAGEREF _Toc20616 \h </w:instrText>
          </w:r>
          <w:r>
            <w:fldChar w:fldCharType="separate"/>
          </w:r>
          <w:r>
            <w:t>54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_Toc19445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附件6：危废运转协议</w:t>
          </w:r>
          <w:r>
            <w:tab/>
          </w:r>
          <w:r>
            <w:fldChar w:fldCharType="begin"/>
          </w:r>
          <w:r>
            <w:instrText xml:space="preserve"> PAGEREF _Toc19445 \h </w:instrText>
          </w:r>
          <w:r>
            <w:fldChar w:fldCharType="separate"/>
          </w:r>
          <w:r>
            <w:t>55</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_Toc23553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：监测报告</w:t>
          </w:r>
          <w:r>
            <w:tab/>
          </w:r>
          <w:r>
            <w:fldChar w:fldCharType="begin"/>
          </w:r>
          <w:r>
            <w:instrText xml:space="preserve"> PAGEREF _Toc23553 \h </w:instrText>
          </w:r>
          <w:r>
            <w:fldChar w:fldCharType="separate"/>
          </w:r>
          <w:r>
            <w:t>64</w:t>
          </w:r>
          <w:r>
            <w:fldChar w:fldCharType="end"/>
          </w:r>
          <w:r>
            <w:rPr>
              <w:rFonts w:hint="default" w:ascii="Times New Roman" w:hAnsi="Times New Roman" w:eastAsia="宋体" w:cs="Times New Roman"/>
            </w:rPr>
            <w:fldChar w:fldCharType="end"/>
          </w:r>
        </w:p>
        <w:p>
          <w:pPr>
            <w:pStyle w:val="25"/>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_Toc10515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附件8：环保验收公示</w:t>
          </w:r>
          <w:r>
            <w:tab/>
          </w:r>
          <w:r>
            <w:fldChar w:fldCharType="begin"/>
          </w:r>
          <w:r>
            <w:instrText xml:space="preserve"> PAGEREF _Toc10515 \h </w:instrText>
          </w:r>
          <w:r>
            <w:fldChar w:fldCharType="separate"/>
          </w:r>
          <w:r>
            <w:t>76</w:t>
          </w:r>
          <w:r>
            <w:fldChar w:fldCharType="end"/>
          </w:r>
          <w:r>
            <w:rPr>
              <w:rFonts w:hint="default" w:ascii="Times New Roman" w:hAnsi="Times New Roman" w:eastAsia="宋体" w:cs="Times New Roman"/>
            </w:rPr>
            <w:fldChar w:fldCharType="end"/>
          </w:r>
        </w:p>
        <w:p>
          <w:pPr>
            <w:pStyle w:val="25"/>
            <w:tabs>
              <w:tab w:val="right" w:leader="dot" w:pos="8610"/>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end"/>
          </w:r>
        </w:p>
      </w:sdtContent>
    </w:sdt>
    <w:p>
      <w:pPr>
        <w:spacing w:line="360" w:lineRule="auto"/>
        <w:rPr>
          <w:rFonts w:hint="default" w:ascii="Times New Roman" w:hAnsi="Times New Roman" w:eastAsia="宋体" w:cs="Times New Roman"/>
          <w:sz w:val="28"/>
          <w:szCs w:val="28"/>
        </w:rPr>
        <w:sectPr>
          <w:pgSz w:w="11906" w:h="16838"/>
          <w:pgMar w:top="1440" w:right="1489"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0" w:name="_Toc3528"/>
      <w:r>
        <w:rPr>
          <w:rFonts w:hint="default" w:ascii="Times New Roman" w:hAnsi="Times New Roman" w:eastAsia="宋体" w:cs="Times New Roman"/>
          <w:b/>
          <w:sz w:val="32"/>
          <w:szCs w:val="32"/>
        </w:rPr>
        <w:t>1、验收项目概况</w:t>
      </w:r>
      <w:bookmarkEnd w:id="0"/>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 w:name="_Toc3759"/>
      <w:r>
        <w:rPr>
          <w:rFonts w:hint="default" w:ascii="Times New Roman" w:hAnsi="Times New Roman" w:eastAsia="宋体" w:cs="Times New Roman"/>
          <w:b/>
          <w:sz w:val="28"/>
          <w:szCs w:val="32"/>
        </w:rPr>
        <w:t>1.1验收项目基本情况</w:t>
      </w:r>
      <w:bookmarkEnd w:id="1"/>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项目名称：</w:t>
      </w:r>
      <w:r>
        <w:rPr>
          <w:rFonts w:hint="default" w:ascii="Times New Roman" w:hAnsi="Times New Roman" w:eastAsia="宋体" w:cs="Times New Roman"/>
          <w:color w:val="000000"/>
          <w:sz w:val="24"/>
          <w:szCs w:val="28"/>
          <w:lang w:val="en-US" w:eastAsia="zh-CN"/>
        </w:rPr>
        <w:t>钢化玻璃、夹层玻璃、中空玻璃生产项目</w:t>
      </w:r>
    </w:p>
    <w:p>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rPr>
        <w:t>建设单位：</w:t>
      </w:r>
      <w:r>
        <w:rPr>
          <w:rFonts w:hint="eastAsia" w:ascii="Times New Roman" w:hAnsi="Times New Roman" w:eastAsia="宋体" w:cs="Times New Roman"/>
          <w:color w:val="000000"/>
          <w:sz w:val="24"/>
          <w:szCs w:val="28"/>
          <w:lang w:val="en-US" w:eastAsia="zh-CN"/>
        </w:rPr>
        <w:t>山东省朗荣玻璃科技股份有限公司</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建设地点：山东省曹县中小企业孵化园</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建设性质：新建</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建设内容：</w:t>
      </w:r>
      <w:r>
        <w:rPr>
          <w:rFonts w:hint="default" w:ascii="Times New Roman" w:hAnsi="Times New Roman" w:eastAsia="宋体" w:cs="Times New Roman"/>
          <w:sz w:val="24"/>
        </w:rPr>
        <w:t>本项目通过租赁</w:t>
      </w:r>
      <w:r>
        <w:rPr>
          <w:rFonts w:hint="default" w:ascii="Times New Roman" w:hAnsi="Times New Roman" w:eastAsia="宋体" w:cs="Times New Roman"/>
          <w:color w:val="000000"/>
          <w:sz w:val="24"/>
          <w:szCs w:val="24"/>
          <w:lang w:bidi="ar"/>
        </w:rPr>
        <w:t>现有厂房</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建设钢化玻璃生产线、夹层玻璃生产线和中空玻璃生产线及配套工程</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项目正常运行过程中可实现年产</w:t>
      </w:r>
      <w:r>
        <w:rPr>
          <w:rFonts w:hint="default" w:ascii="Times New Roman" w:hAnsi="Times New Roman" w:eastAsia="宋体" w:cs="Times New Roman"/>
          <w:color w:val="auto"/>
          <w:sz w:val="24"/>
          <w:szCs w:val="24"/>
          <w:lang w:val="en-US" w:eastAsia="zh-CN"/>
        </w:rPr>
        <w:t>45万平方米钢化玻璃、5万平方米夹层玻璃、10万平方米中空玻璃</w:t>
      </w:r>
      <w:r>
        <w:rPr>
          <w:rFonts w:hint="default" w:ascii="Times New Roman" w:hAnsi="Times New Roman" w:eastAsia="宋体" w:cs="Times New Roman"/>
          <w:color w:val="000000"/>
          <w:sz w:val="24"/>
          <w:szCs w:val="28"/>
          <w:lang w:val="en-US" w:eastAsia="zh-CN"/>
        </w:rPr>
        <w:t>。</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生产规模：</w:t>
      </w:r>
      <w:r>
        <w:rPr>
          <w:rFonts w:hint="default" w:ascii="Times New Roman" w:hAnsi="Times New Roman" w:eastAsia="宋体" w:cs="Times New Roman"/>
          <w:color w:val="000000"/>
          <w:sz w:val="24"/>
          <w:szCs w:val="28"/>
          <w:lang w:val="en-US" w:eastAsia="zh-CN"/>
        </w:rPr>
        <w:t>年</w:t>
      </w:r>
      <w:r>
        <w:rPr>
          <w:rFonts w:hint="default" w:ascii="Times New Roman" w:hAnsi="Times New Roman" w:eastAsia="宋体" w:cs="Times New Roman"/>
          <w:color w:val="auto"/>
          <w:sz w:val="24"/>
          <w:szCs w:val="24"/>
          <w:lang w:val="en-US" w:eastAsia="zh-CN"/>
        </w:rPr>
        <w:t>45万平方米钢化玻璃、5万平方米夹层玻璃、10万平方米中空玻璃</w:t>
      </w:r>
      <w:r>
        <w:rPr>
          <w:rFonts w:hint="default" w:ascii="Times New Roman" w:hAnsi="Times New Roman" w:eastAsia="宋体" w:cs="Times New Roman"/>
          <w:color w:val="000000"/>
          <w:sz w:val="24"/>
          <w:szCs w:val="28"/>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项目投资：</w:t>
      </w:r>
      <w:r>
        <w:rPr>
          <w:rFonts w:hint="default" w:ascii="Times New Roman" w:hAnsi="Times New Roman" w:eastAsia="宋体" w:cs="Times New Roman"/>
          <w:color w:val="000000"/>
          <w:sz w:val="24"/>
          <w:szCs w:val="28"/>
          <w:lang w:val="en-US" w:eastAsia="zh-CN"/>
        </w:rPr>
        <w:t>项目总投资1000万元，环保投资10万元</w:t>
      </w:r>
      <w:r>
        <w:rPr>
          <w:rFonts w:hint="default" w:ascii="Times New Roman" w:hAnsi="Times New Roman" w:eastAsia="宋体" w:cs="Times New Roman"/>
          <w:color w:val="000000"/>
          <w:sz w:val="24"/>
          <w:szCs w:val="28"/>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竣工投产时间：2023年1</w:t>
      </w:r>
      <w:r>
        <w:rPr>
          <w:rFonts w:hint="eastAsia"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lang w:val="en-US" w:eastAsia="zh-CN"/>
        </w:rPr>
        <w:t>月</w:t>
      </w:r>
    </w:p>
    <w:p>
      <w:pPr>
        <w:spacing w:line="360" w:lineRule="auto"/>
        <w:ind w:firstLine="480" w:firstLineChars="200"/>
        <w:jc w:val="left"/>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lang w:val="en-US" w:eastAsia="zh-CN"/>
          <w14:textFill>
            <w14:solidFill>
              <w14:schemeClr w14:val="tx1"/>
            </w14:solidFill>
          </w14:textFill>
        </w:rPr>
        <w:t>环评情况：</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sz w:val="24"/>
          <w:lang w:val="en-US" w:eastAsia="zh-CN"/>
        </w:rPr>
        <w:t>2022年11月</w:t>
      </w:r>
      <w:r>
        <w:rPr>
          <w:rFonts w:hint="eastAsia" w:ascii="Times New Roman" w:hAnsi="Times New Roman" w:eastAsia="宋体" w:cs="Times New Roman"/>
          <w:color w:val="000000"/>
          <w:sz w:val="24"/>
          <w:szCs w:val="28"/>
          <w:lang w:val="en-US" w:eastAsia="zh-CN"/>
        </w:rPr>
        <w:t>山东省朗荣玻璃科技股份有限公司</w:t>
      </w:r>
      <w:r>
        <w:rPr>
          <w:rFonts w:hint="default" w:ascii="Times New Roman" w:hAnsi="Times New Roman" w:eastAsia="宋体" w:cs="Times New Roman"/>
          <w:color w:val="000000"/>
          <w:sz w:val="24"/>
          <w:szCs w:val="28"/>
          <w:lang w:val="en-US" w:eastAsia="zh-CN"/>
        </w:rPr>
        <w:t>委托菏泽国润环境科技有限公司编制《</w:t>
      </w:r>
      <w:r>
        <w:rPr>
          <w:rFonts w:hint="eastAsia" w:ascii="Times New Roman" w:hAnsi="Times New Roman" w:eastAsia="宋体" w:cs="Times New Roman"/>
          <w:color w:val="000000"/>
          <w:sz w:val="24"/>
          <w:szCs w:val="28"/>
          <w:lang w:val="en-US" w:eastAsia="zh-CN"/>
        </w:rPr>
        <w:t>山东省朗荣玻璃科技股份有限公司</w:t>
      </w:r>
      <w:r>
        <w:rPr>
          <w:rFonts w:hint="default" w:ascii="Times New Roman" w:hAnsi="Times New Roman" w:eastAsia="宋体" w:cs="Times New Roman"/>
          <w:color w:val="000000"/>
          <w:sz w:val="24"/>
          <w:szCs w:val="28"/>
          <w:lang w:val="en-US" w:eastAsia="zh-CN"/>
        </w:rPr>
        <w:t>钢化玻璃、夹层玻璃、中空玻璃生产项目环境影响报告表》，2023年3月27</w:t>
      </w:r>
      <w:bookmarkStart w:id="108" w:name="_GoBack"/>
      <w:bookmarkEnd w:id="108"/>
      <w:r>
        <w:rPr>
          <w:rFonts w:hint="default" w:ascii="Times New Roman" w:hAnsi="Times New Roman" w:eastAsia="宋体" w:cs="Times New Roman"/>
          <w:color w:val="000000"/>
          <w:sz w:val="24"/>
          <w:szCs w:val="28"/>
          <w:lang w:val="en-US" w:eastAsia="zh-CN"/>
        </w:rPr>
        <w:t>日取得菏泽市生态环境局曹县分局关于《</w:t>
      </w:r>
      <w:r>
        <w:rPr>
          <w:rFonts w:hint="eastAsia" w:ascii="Times New Roman" w:hAnsi="Times New Roman" w:eastAsia="宋体" w:cs="Times New Roman"/>
          <w:color w:val="000000"/>
          <w:sz w:val="24"/>
          <w:szCs w:val="28"/>
          <w:lang w:val="en-US" w:eastAsia="zh-CN"/>
        </w:rPr>
        <w:t>山东省朗荣玻璃科技股份有限公司</w:t>
      </w:r>
      <w:r>
        <w:rPr>
          <w:rFonts w:hint="default" w:ascii="Times New Roman" w:hAnsi="Times New Roman" w:eastAsia="宋体" w:cs="Times New Roman"/>
          <w:color w:val="000000"/>
          <w:sz w:val="24"/>
          <w:szCs w:val="28"/>
          <w:lang w:val="en-US" w:eastAsia="zh-CN"/>
        </w:rPr>
        <w:t>钢化玻璃、夹层玻璃、中空玻璃生产项目环境影响报告表》的批复曹环审报告表【2023】027号（批复文件见附件）。登目前企业已申请排污许可，排污许可证编号91371721493530623N002Q。</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受</w:t>
      </w:r>
      <w:r>
        <w:rPr>
          <w:rFonts w:hint="eastAsia" w:ascii="Times New Roman" w:hAnsi="Times New Roman" w:eastAsia="宋体" w:cs="Times New Roman"/>
          <w:color w:val="000000"/>
          <w:sz w:val="24"/>
          <w:szCs w:val="28"/>
          <w:lang w:val="en-US" w:eastAsia="zh-CN"/>
        </w:rPr>
        <w:t>山东省朗荣玻璃科技股份有限公司</w:t>
      </w:r>
      <w:r>
        <w:rPr>
          <w:rFonts w:hint="default" w:ascii="Times New Roman" w:hAnsi="Times New Roman" w:eastAsia="宋体" w:cs="Times New Roman"/>
          <w:color w:val="000000"/>
          <w:sz w:val="24"/>
          <w:szCs w:val="28"/>
        </w:rPr>
        <w:t>的委托</w:t>
      </w:r>
      <w:r>
        <w:rPr>
          <w:rFonts w:hint="default" w:ascii="Times New Roman" w:hAnsi="Times New Roman" w:eastAsia="宋体" w:cs="Times New Roman"/>
          <w:color w:val="000000"/>
          <w:sz w:val="24"/>
          <w:szCs w:val="28"/>
          <w:lang w:val="en-US" w:eastAsia="zh-CN"/>
        </w:rPr>
        <w:t>山东汇成检测科技有限公司</w:t>
      </w:r>
      <w:r>
        <w:rPr>
          <w:rFonts w:hint="default" w:ascii="Times New Roman" w:hAnsi="Times New Roman" w:eastAsia="宋体" w:cs="Times New Roman"/>
          <w:color w:val="000000"/>
          <w:sz w:val="24"/>
          <w:szCs w:val="28"/>
          <w:lang w:eastAsia="zh-CN"/>
        </w:rPr>
        <w:t>承担该</w:t>
      </w:r>
      <w:r>
        <w:rPr>
          <w:rFonts w:hint="default" w:ascii="Times New Roman" w:hAnsi="Times New Roman" w:eastAsia="宋体" w:cs="Times New Roman"/>
          <w:color w:val="000000"/>
          <w:sz w:val="24"/>
          <w:szCs w:val="28"/>
        </w:rPr>
        <w:t>项目的竣工环保验收工作。根据国家有关法律法规的要求</w:t>
      </w:r>
      <w:r>
        <w:rPr>
          <w:rFonts w:hint="default" w:ascii="Times New Roman" w:hAnsi="Times New Roman" w:eastAsia="宋体" w:cs="Times New Roman"/>
          <w:color w:val="000000"/>
          <w:sz w:val="24"/>
          <w:szCs w:val="28"/>
          <w:highlight w:val="none"/>
        </w:rPr>
        <w:t>，20</w:t>
      </w:r>
      <w:r>
        <w:rPr>
          <w:rFonts w:hint="default" w:ascii="Times New Roman" w:hAnsi="Times New Roman" w:eastAsia="宋体" w:cs="Times New Roman"/>
          <w:color w:val="000000"/>
          <w:sz w:val="24"/>
          <w:szCs w:val="28"/>
          <w:highlight w:val="none"/>
          <w:lang w:val="en-US" w:eastAsia="zh-CN"/>
        </w:rPr>
        <w:t>23</w:t>
      </w:r>
      <w:r>
        <w:rPr>
          <w:rFonts w:hint="default" w:ascii="Times New Roman" w:hAnsi="Times New Roman" w:eastAsia="宋体" w:cs="Times New Roman"/>
          <w:color w:val="000000"/>
          <w:sz w:val="24"/>
          <w:szCs w:val="28"/>
          <w:highlight w:val="none"/>
        </w:rPr>
        <w:t>年</w:t>
      </w:r>
      <w:r>
        <w:rPr>
          <w:rFonts w:hint="default" w:ascii="Times New Roman" w:hAnsi="Times New Roman" w:eastAsia="宋体" w:cs="Times New Roman"/>
          <w:color w:val="000000"/>
          <w:sz w:val="24"/>
          <w:szCs w:val="28"/>
          <w:highlight w:val="none"/>
          <w:lang w:val="en-US" w:eastAsia="zh-CN"/>
        </w:rPr>
        <w:t>12</w:t>
      </w:r>
      <w:r>
        <w:rPr>
          <w:rFonts w:hint="default" w:ascii="Times New Roman" w:hAnsi="Times New Roman" w:eastAsia="宋体" w:cs="Times New Roman"/>
          <w:color w:val="000000"/>
          <w:sz w:val="24"/>
          <w:szCs w:val="28"/>
          <w:highlight w:val="none"/>
        </w:rPr>
        <w:t>月</w:t>
      </w:r>
      <w:r>
        <w:rPr>
          <w:rFonts w:hint="eastAsia" w:ascii="Times New Roman" w:hAnsi="Times New Roman" w:eastAsia="宋体" w:cs="Times New Roman"/>
          <w:color w:val="000000"/>
          <w:sz w:val="24"/>
          <w:szCs w:val="28"/>
          <w:highlight w:val="none"/>
          <w:lang w:val="en-US" w:eastAsia="zh-CN"/>
        </w:rPr>
        <w:t>1</w:t>
      </w:r>
      <w:r>
        <w:rPr>
          <w:rFonts w:hint="default" w:ascii="Times New Roman" w:hAnsi="Times New Roman" w:eastAsia="宋体" w:cs="Times New Roman"/>
          <w:color w:val="000000"/>
          <w:sz w:val="24"/>
          <w:szCs w:val="28"/>
          <w:highlight w:val="none"/>
          <w:lang w:val="en-US" w:eastAsia="zh-CN"/>
        </w:rPr>
        <w:t>7</w:t>
      </w:r>
      <w:r>
        <w:rPr>
          <w:rFonts w:hint="default" w:ascii="Times New Roman" w:hAnsi="Times New Roman" w:eastAsia="宋体" w:cs="Times New Roman"/>
          <w:color w:val="000000"/>
          <w:sz w:val="24"/>
          <w:szCs w:val="28"/>
          <w:highlight w:val="none"/>
        </w:rPr>
        <w:t>日，</w:t>
      </w:r>
      <w:r>
        <w:rPr>
          <w:rFonts w:hint="default" w:ascii="Times New Roman" w:hAnsi="Times New Roman" w:eastAsia="宋体" w:cs="Times New Roman"/>
          <w:color w:val="000000"/>
          <w:sz w:val="24"/>
          <w:szCs w:val="28"/>
          <w:lang w:eastAsia="zh-CN"/>
        </w:rPr>
        <w:t>山东</w:t>
      </w:r>
      <w:r>
        <w:rPr>
          <w:rFonts w:hint="default" w:ascii="Times New Roman" w:hAnsi="Times New Roman" w:eastAsia="宋体" w:cs="Times New Roman"/>
          <w:color w:val="000000"/>
          <w:sz w:val="24"/>
          <w:szCs w:val="28"/>
          <w:lang w:val="en-US" w:eastAsia="zh-CN"/>
        </w:rPr>
        <w:t>汇成</w:t>
      </w:r>
      <w:r>
        <w:rPr>
          <w:rFonts w:hint="default" w:ascii="Times New Roman" w:hAnsi="Times New Roman" w:eastAsia="宋体" w:cs="Times New Roman"/>
          <w:color w:val="000000"/>
          <w:sz w:val="24"/>
          <w:szCs w:val="28"/>
          <w:lang w:eastAsia="zh-CN"/>
        </w:rPr>
        <w:t>检测</w:t>
      </w:r>
      <w:r>
        <w:rPr>
          <w:rFonts w:hint="default" w:ascii="Times New Roman" w:hAnsi="Times New Roman" w:eastAsia="宋体" w:cs="Times New Roman"/>
          <w:color w:val="000000"/>
          <w:sz w:val="24"/>
          <w:szCs w:val="28"/>
          <w:lang w:val="en-US" w:eastAsia="zh-CN"/>
        </w:rPr>
        <w:t>科技</w:t>
      </w:r>
      <w:r>
        <w:rPr>
          <w:rFonts w:hint="default" w:ascii="Times New Roman" w:hAnsi="Times New Roman" w:eastAsia="宋体" w:cs="Times New Roman"/>
          <w:color w:val="000000"/>
          <w:sz w:val="24"/>
          <w:szCs w:val="28"/>
          <w:lang w:eastAsia="zh-CN"/>
        </w:rPr>
        <w:t>有限公司</w:t>
      </w:r>
      <w:r>
        <w:rPr>
          <w:rFonts w:hint="default" w:ascii="Times New Roman" w:hAnsi="Times New Roman" w:eastAsia="宋体" w:cs="Times New Roman"/>
          <w:color w:val="000000"/>
          <w:sz w:val="24"/>
          <w:szCs w:val="28"/>
        </w:rPr>
        <w:t>安排专业技术人员对项目区域进行了现场勘察和资料收集，查阅有关文件和技术资料，查看污染物治理及排放、环保措施的落实情况，在此基础上编制</w:t>
      </w:r>
      <w:r>
        <w:rPr>
          <w:rFonts w:hint="default"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val="en-US" w:eastAsia="zh-CN"/>
        </w:rPr>
        <w:t>山东省朗荣玻璃科技股份有限公司</w:t>
      </w:r>
      <w:r>
        <w:rPr>
          <w:rFonts w:hint="default" w:ascii="Times New Roman" w:hAnsi="Times New Roman" w:eastAsia="宋体" w:cs="Times New Roman"/>
          <w:color w:val="000000"/>
          <w:sz w:val="24"/>
          <w:szCs w:val="28"/>
          <w:lang w:val="en-US" w:eastAsia="zh-CN"/>
        </w:rPr>
        <w:t>钢化玻璃、夹层玻璃、中空玻璃生产项目竣工环境保护验收</w:t>
      </w:r>
      <w:r>
        <w:rPr>
          <w:rFonts w:hint="default" w:ascii="Times New Roman" w:hAnsi="Times New Roman" w:eastAsia="宋体" w:cs="Times New Roman"/>
          <w:color w:val="000000"/>
          <w:sz w:val="24"/>
          <w:szCs w:val="28"/>
          <w:lang w:eastAsia="zh-CN"/>
        </w:rPr>
        <w:t>监测方案》，确定竣工验收监测内容。</w:t>
      </w:r>
      <w:r>
        <w:rPr>
          <w:rFonts w:hint="default" w:ascii="Times New Roman" w:hAnsi="Times New Roman" w:eastAsia="宋体" w:cs="Times New Roman"/>
          <w:color w:val="000000"/>
          <w:sz w:val="24"/>
          <w:szCs w:val="28"/>
          <w:lang w:val="en-US" w:eastAsia="zh-CN"/>
        </w:rPr>
        <w:t>并于</w:t>
      </w:r>
      <w:r>
        <w:rPr>
          <w:rFonts w:hint="default" w:ascii="Times New Roman" w:hAnsi="Times New Roman" w:eastAsia="宋体" w:cs="Times New Roman"/>
          <w:color w:val="000000"/>
          <w:sz w:val="24"/>
          <w:szCs w:val="28"/>
          <w:highlight w:val="none"/>
          <w:lang w:val="en-US" w:eastAsia="zh-CN"/>
        </w:rPr>
        <w:t>2023年1</w:t>
      </w:r>
      <w:r>
        <w:rPr>
          <w:rFonts w:hint="eastAsia" w:ascii="Times New Roman" w:hAnsi="Times New Roman" w:eastAsia="宋体" w:cs="Times New Roman"/>
          <w:color w:val="000000"/>
          <w:sz w:val="24"/>
          <w:szCs w:val="28"/>
          <w:highlight w:val="none"/>
          <w:lang w:val="en-US" w:eastAsia="zh-CN"/>
        </w:rPr>
        <w:t>2</w:t>
      </w:r>
      <w:r>
        <w:rPr>
          <w:rFonts w:hint="default" w:ascii="Times New Roman" w:hAnsi="Times New Roman" w:eastAsia="宋体" w:cs="Times New Roman"/>
          <w:color w:val="000000"/>
          <w:sz w:val="24"/>
          <w:szCs w:val="28"/>
          <w:highlight w:val="none"/>
          <w:lang w:val="en-US" w:eastAsia="zh-CN"/>
        </w:rPr>
        <w:t>月</w:t>
      </w:r>
      <w:r>
        <w:rPr>
          <w:rFonts w:hint="eastAsia" w:ascii="Times New Roman" w:hAnsi="Times New Roman" w:eastAsia="宋体" w:cs="Times New Roman"/>
          <w:color w:val="000000"/>
          <w:sz w:val="24"/>
          <w:szCs w:val="28"/>
          <w:highlight w:val="none"/>
          <w:lang w:val="en-US" w:eastAsia="zh-CN"/>
        </w:rPr>
        <w:t>1</w:t>
      </w:r>
      <w:r>
        <w:rPr>
          <w:rFonts w:hint="default" w:ascii="Times New Roman" w:hAnsi="Times New Roman" w:eastAsia="宋体" w:cs="Times New Roman"/>
          <w:color w:val="000000"/>
          <w:sz w:val="24"/>
          <w:szCs w:val="28"/>
          <w:highlight w:val="none"/>
          <w:lang w:val="en-US" w:eastAsia="zh-CN"/>
        </w:rPr>
        <w:t>7日和2023年1</w:t>
      </w:r>
      <w:r>
        <w:rPr>
          <w:rFonts w:hint="eastAsia" w:ascii="Times New Roman" w:hAnsi="Times New Roman" w:eastAsia="宋体" w:cs="Times New Roman"/>
          <w:color w:val="000000"/>
          <w:sz w:val="24"/>
          <w:szCs w:val="28"/>
          <w:highlight w:val="none"/>
          <w:lang w:val="en-US" w:eastAsia="zh-CN"/>
        </w:rPr>
        <w:t>2</w:t>
      </w:r>
      <w:r>
        <w:rPr>
          <w:rFonts w:hint="default" w:ascii="Times New Roman" w:hAnsi="Times New Roman" w:eastAsia="宋体" w:cs="Times New Roman"/>
          <w:color w:val="000000"/>
          <w:sz w:val="24"/>
          <w:szCs w:val="28"/>
          <w:highlight w:val="none"/>
          <w:lang w:val="en-US" w:eastAsia="zh-CN"/>
        </w:rPr>
        <w:t>月</w:t>
      </w:r>
      <w:r>
        <w:rPr>
          <w:rFonts w:hint="eastAsia" w:ascii="Times New Roman" w:hAnsi="Times New Roman" w:eastAsia="宋体" w:cs="Times New Roman"/>
          <w:color w:val="000000"/>
          <w:sz w:val="24"/>
          <w:szCs w:val="28"/>
          <w:highlight w:val="none"/>
          <w:lang w:val="en-US" w:eastAsia="zh-CN"/>
        </w:rPr>
        <w:t>1</w:t>
      </w:r>
      <w:r>
        <w:rPr>
          <w:rFonts w:hint="default" w:ascii="Times New Roman" w:hAnsi="Times New Roman" w:eastAsia="宋体" w:cs="Times New Roman"/>
          <w:color w:val="000000"/>
          <w:sz w:val="24"/>
          <w:szCs w:val="28"/>
          <w:highlight w:val="none"/>
          <w:lang w:val="en-US" w:eastAsia="zh-CN"/>
        </w:rPr>
        <w:t>8日</w:t>
      </w:r>
      <w:r>
        <w:rPr>
          <w:rFonts w:hint="default" w:ascii="Times New Roman" w:hAnsi="Times New Roman" w:eastAsia="宋体" w:cs="Times New Roman"/>
          <w:color w:val="000000"/>
          <w:sz w:val="24"/>
          <w:szCs w:val="28"/>
          <w:lang w:val="en-US" w:eastAsia="zh-CN"/>
        </w:rPr>
        <w:t>依据验收监测方案确定的内容进行现场监测且对照该项目的环境影响报告表和环评批复进行了环境管理检查，</w:t>
      </w:r>
      <w:r>
        <w:rPr>
          <w:rFonts w:hint="eastAsia" w:ascii="Times New Roman" w:hAnsi="Times New Roman" w:eastAsia="宋体" w:cs="Times New Roman"/>
          <w:color w:val="000000"/>
          <w:sz w:val="24"/>
          <w:szCs w:val="28"/>
          <w:lang w:val="en-US" w:eastAsia="zh-CN"/>
        </w:rPr>
        <w:t>山东省朗荣玻璃科技股份有限公司</w:t>
      </w:r>
      <w:r>
        <w:rPr>
          <w:rFonts w:hint="default" w:ascii="Times New Roman" w:hAnsi="Times New Roman" w:eastAsia="宋体" w:cs="Times New Roman"/>
          <w:color w:val="000000"/>
          <w:sz w:val="24"/>
          <w:szCs w:val="28"/>
        </w:rPr>
        <w:t>根据验收监测结果和现场检查情况编制了《</w:t>
      </w:r>
      <w:r>
        <w:rPr>
          <w:rFonts w:hint="eastAsia" w:ascii="Times New Roman" w:hAnsi="Times New Roman" w:eastAsia="宋体" w:cs="Times New Roman"/>
          <w:color w:val="000000"/>
          <w:sz w:val="24"/>
          <w:szCs w:val="28"/>
          <w:lang w:val="en-US" w:eastAsia="zh-CN"/>
        </w:rPr>
        <w:t>山东省朗荣玻璃科技股份有限公司</w:t>
      </w:r>
      <w:r>
        <w:rPr>
          <w:rFonts w:hint="default" w:ascii="Times New Roman" w:hAnsi="Times New Roman" w:eastAsia="宋体" w:cs="Times New Roman"/>
          <w:color w:val="000000"/>
          <w:sz w:val="24"/>
          <w:szCs w:val="28"/>
          <w:lang w:val="en-US" w:eastAsia="zh-CN"/>
        </w:rPr>
        <w:t>钢化玻璃、夹层玻璃、中空玻璃生产项目竣工环境保护</w:t>
      </w:r>
      <w:r>
        <w:rPr>
          <w:rFonts w:hint="default" w:ascii="Times New Roman" w:hAnsi="Times New Roman" w:eastAsia="宋体" w:cs="Times New Roman"/>
          <w:color w:val="000000"/>
          <w:sz w:val="24"/>
          <w:szCs w:val="28"/>
        </w:rPr>
        <w:t>验收报告》。</w:t>
      </w:r>
      <w:r>
        <w:rPr>
          <w:rFonts w:hint="default" w:ascii="Times New Roman" w:hAnsi="Times New Roman" w:eastAsia="宋体" w:cs="Times New Roman"/>
          <w:color w:val="auto"/>
          <w:sz w:val="24"/>
          <w:szCs w:val="28"/>
          <w:highlight w:val="none"/>
          <w:lang w:eastAsia="zh-CN"/>
        </w:rPr>
        <w:t>于202</w:t>
      </w:r>
      <w:r>
        <w:rPr>
          <w:rFonts w:hint="default" w:ascii="Times New Roman" w:hAnsi="Times New Roman" w:eastAsia="宋体" w:cs="Times New Roman"/>
          <w:color w:val="auto"/>
          <w:sz w:val="24"/>
          <w:szCs w:val="28"/>
          <w:highlight w:val="none"/>
          <w:lang w:val="en-US" w:eastAsia="zh-CN"/>
        </w:rPr>
        <w:t>3</w:t>
      </w:r>
      <w:r>
        <w:rPr>
          <w:rFonts w:hint="default" w:ascii="Times New Roman" w:hAnsi="Times New Roman" w:eastAsia="宋体" w:cs="Times New Roman"/>
          <w:color w:val="auto"/>
          <w:sz w:val="24"/>
          <w:szCs w:val="28"/>
          <w:highlight w:val="none"/>
          <w:lang w:eastAsia="zh-CN"/>
        </w:rPr>
        <w:t>年</w:t>
      </w:r>
      <w:r>
        <w:rPr>
          <w:rFonts w:hint="default" w:ascii="Times New Roman" w:hAnsi="Times New Roman" w:eastAsia="宋体" w:cs="Times New Roman"/>
          <w:color w:val="auto"/>
          <w:sz w:val="24"/>
          <w:szCs w:val="28"/>
          <w:highlight w:val="none"/>
          <w:lang w:val="en-US" w:eastAsia="zh-CN"/>
        </w:rPr>
        <w:t>1</w:t>
      </w:r>
      <w:r>
        <w:rPr>
          <w:rFonts w:hint="eastAsia" w:ascii="Times New Roman" w:hAnsi="Times New Roman" w:eastAsia="宋体" w:cs="Times New Roman"/>
          <w:color w:val="auto"/>
          <w:sz w:val="24"/>
          <w:szCs w:val="28"/>
          <w:highlight w:val="none"/>
          <w:lang w:val="en-US" w:eastAsia="zh-CN"/>
        </w:rPr>
        <w:t>2</w:t>
      </w:r>
      <w:r>
        <w:rPr>
          <w:rFonts w:hint="default" w:ascii="Times New Roman" w:hAnsi="Times New Roman" w:eastAsia="宋体" w:cs="Times New Roman"/>
          <w:color w:val="auto"/>
          <w:sz w:val="24"/>
          <w:szCs w:val="28"/>
          <w:highlight w:val="none"/>
          <w:lang w:eastAsia="zh-CN"/>
        </w:rPr>
        <w:t>月</w:t>
      </w:r>
      <w:r>
        <w:rPr>
          <w:rFonts w:hint="eastAsia" w:ascii="Times New Roman" w:hAnsi="Times New Roman" w:eastAsia="宋体" w:cs="Times New Roman"/>
          <w:color w:val="auto"/>
          <w:sz w:val="24"/>
          <w:szCs w:val="28"/>
          <w:highlight w:val="none"/>
          <w:lang w:val="en-US" w:eastAsia="zh-CN"/>
        </w:rPr>
        <w:t>23</w:t>
      </w:r>
      <w:r>
        <w:rPr>
          <w:rFonts w:hint="default" w:ascii="Times New Roman" w:hAnsi="Times New Roman" w:eastAsia="宋体" w:cs="Times New Roman"/>
          <w:color w:val="auto"/>
          <w:sz w:val="24"/>
          <w:szCs w:val="28"/>
          <w:highlight w:val="none"/>
          <w:lang w:eastAsia="zh-CN"/>
        </w:rPr>
        <w:t>日，</w:t>
      </w:r>
      <w:r>
        <w:rPr>
          <w:rFonts w:hint="eastAsia" w:ascii="Times New Roman" w:hAnsi="Times New Roman" w:eastAsia="宋体" w:cs="Times New Roman"/>
          <w:color w:val="000000"/>
          <w:sz w:val="24"/>
          <w:szCs w:val="28"/>
          <w:lang w:val="en-US" w:eastAsia="zh-CN"/>
        </w:rPr>
        <w:t>山东省朗荣玻璃科技股份有限公司</w:t>
      </w:r>
      <w:r>
        <w:rPr>
          <w:rFonts w:hint="default" w:ascii="Times New Roman" w:hAnsi="Times New Roman" w:eastAsia="宋体" w:cs="Times New Roman"/>
          <w:color w:val="000000"/>
          <w:sz w:val="24"/>
          <w:szCs w:val="28"/>
        </w:rPr>
        <w:t>邀请专家共同组织成立验收工作组，对</w:t>
      </w:r>
      <w:r>
        <w:rPr>
          <w:rFonts w:hint="default"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val="en-US" w:eastAsia="zh-CN"/>
        </w:rPr>
        <w:t>山东省朗荣玻璃科技股份有限公司</w:t>
      </w:r>
      <w:r>
        <w:rPr>
          <w:rFonts w:hint="default" w:ascii="Times New Roman" w:hAnsi="Times New Roman" w:eastAsia="宋体" w:cs="Times New Roman"/>
          <w:color w:val="000000"/>
          <w:sz w:val="24"/>
          <w:szCs w:val="28"/>
          <w:lang w:val="en-US" w:eastAsia="zh-CN"/>
        </w:rPr>
        <w:t>钢化玻璃、夹层玻璃、中空玻璃生产项目</w:t>
      </w:r>
      <w:r>
        <w:rPr>
          <w:rFonts w:hint="default" w:ascii="Times New Roman" w:hAnsi="Times New Roman" w:eastAsia="宋体" w:cs="Times New Roman"/>
          <w:color w:val="000000"/>
          <w:sz w:val="24"/>
          <w:szCs w:val="28"/>
          <w:lang w:eastAsia="zh-CN"/>
        </w:rPr>
        <w:t>”</w:t>
      </w:r>
      <w:r>
        <w:rPr>
          <w:rFonts w:hint="default" w:ascii="Times New Roman" w:hAnsi="Times New Roman" w:eastAsia="宋体" w:cs="Times New Roman"/>
          <w:color w:val="000000"/>
          <w:sz w:val="24"/>
          <w:szCs w:val="28"/>
        </w:rPr>
        <w:t>进行竣工环境保护验收并同意通过。在报告的编制及完善过程中，参阅了大量的相关资料，同时，得到了环保行政主管部门众位领导和专家技术人员的大力支持，在此一并表示衷心的感谢！</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2" w:name="_Toc7875"/>
      <w:r>
        <w:rPr>
          <w:rFonts w:hint="default" w:ascii="Times New Roman" w:hAnsi="Times New Roman" w:eastAsia="宋体" w:cs="Times New Roman"/>
          <w:b/>
          <w:sz w:val="28"/>
          <w:szCs w:val="32"/>
        </w:rPr>
        <w:t>1.2验收内容及目的</w:t>
      </w:r>
      <w:bookmarkEnd w:id="2"/>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1.2.1验收内容</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核查项目在设计、施工和试运营阶段对设计文件、环评报告、环评批复及环评变更报告中所提出的环保措施的落实情况。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核查项目实际建设内容、实际生产能力、产品内容及原辅料的使用情况。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核查项目各类污染物实际产生情况及采取的污染控制措施，分析各项污染控制措施实施的有效性；通过现场检查和实地监测，核查项目污染物达标排放情况及污染物排放总量的落实情况。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核查项目环境风险防范措施和应急预案的制定和执行情况，核查环保管理制定和实施情况，相应的环保机构、人员和监测设备的配备情况。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核查项目周边敏感保护目标分布及受影响情况；核查卫生防护距离内是否有新建环境敏感建筑物。</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1.2.2验收范围</w:t>
      </w:r>
    </w:p>
    <w:p>
      <w:pPr>
        <w:spacing w:line="360" w:lineRule="auto"/>
        <w:ind w:firstLine="480" w:firstLineChars="200"/>
        <w:rPr>
          <w:rFonts w:hint="default" w:ascii="Times New Roman" w:hAnsi="Times New Roman" w:eastAsia="宋体" w:cs="Times New Roman"/>
          <w:color w:val="000000"/>
          <w:sz w:val="24"/>
          <w:szCs w:val="28"/>
          <w:lang w:val="en-US"/>
        </w:rPr>
      </w:pPr>
      <w:r>
        <w:rPr>
          <w:rFonts w:hint="default" w:ascii="Times New Roman" w:hAnsi="Times New Roman" w:eastAsia="宋体" w:cs="Times New Roman"/>
          <w:color w:val="000000"/>
          <w:sz w:val="24"/>
          <w:szCs w:val="28"/>
        </w:rPr>
        <w:t>本次验收范围为</w:t>
      </w:r>
      <w:r>
        <w:rPr>
          <w:rFonts w:hint="eastAsia" w:ascii="Times New Roman" w:hAnsi="Times New Roman" w:eastAsia="宋体" w:cs="Times New Roman"/>
          <w:color w:val="000000"/>
          <w:sz w:val="24"/>
          <w:szCs w:val="28"/>
          <w:lang w:eastAsia="zh-CN"/>
        </w:rPr>
        <w:t>山东省朗荣玻璃科技股份有限公司</w:t>
      </w:r>
      <w:r>
        <w:rPr>
          <w:rFonts w:hint="default" w:ascii="Times New Roman" w:hAnsi="Times New Roman" w:eastAsia="宋体" w:cs="Times New Roman"/>
          <w:color w:val="000000"/>
          <w:sz w:val="24"/>
          <w:szCs w:val="28"/>
          <w:lang w:eastAsia="zh-CN"/>
        </w:rPr>
        <w:t>钢化玻璃、夹层玻璃、中空玻璃生产项目</w:t>
      </w:r>
      <w:r>
        <w:rPr>
          <w:rFonts w:hint="default" w:ascii="Times New Roman" w:hAnsi="Times New Roman" w:eastAsia="宋体" w:cs="Times New Roman"/>
          <w:color w:val="000000"/>
          <w:sz w:val="24"/>
          <w:szCs w:val="28"/>
        </w:rPr>
        <w:t>建设</w:t>
      </w:r>
      <w:r>
        <w:rPr>
          <w:rFonts w:hint="default" w:ascii="Times New Roman" w:hAnsi="Times New Roman" w:eastAsia="宋体" w:cs="Times New Roman"/>
          <w:color w:val="000000"/>
          <w:sz w:val="24"/>
          <w:szCs w:val="28"/>
          <w:lang w:eastAsia="zh-CN"/>
        </w:rPr>
        <w:t>的</w:t>
      </w:r>
      <w:r>
        <w:rPr>
          <w:rFonts w:hint="default" w:ascii="Times New Roman" w:hAnsi="Times New Roman" w:eastAsia="宋体" w:cs="Times New Roman"/>
          <w:color w:val="000000"/>
          <w:sz w:val="24"/>
          <w:szCs w:val="28"/>
          <w:lang w:val="en-US" w:eastAsia="zh-CN"/>
        </w:rPr>
        <w:t>用于生产</w:t>
      </w:r>
      <w:r>
        <w:rPr>
          <w:rFonts w:hint="default" w:ascii="Times New Roman" w:hAnsi="Times New Roman" w:eastAsia="宋体" w:cs="Times New Roman"/>
          <w:color w:val="000000"/>
          <w:sz w:val="24"/>
          <w:szCs w:val="28"/>
          <w:lang w:eastAsia="zh-CN"/>
        </w:rPr>
        <w:t>钢化玻璃、夹层玻璃、中空玻璃，</w:t>
      </w:r>
      <w:r>
        <w:rPr>
          <w:rFonts w:hint="default" w:ascii="Times New Roman" w:hAnsi="Times New Roman" w:eastAsia="宋体" w:cs="Times New Roman"/>
          <w:color w:val="000000"/>
          <w:sz w:val="24"/>
          <w:szCs w:val="28"/>
          <w:lang w:val="en-US" w:eastAsia="zh-CN"/>
        </w:rPr>
        <w:t>生产设备包括清洗机、切割机、磨边机、钢化炉、抛光机、上片机、下片机等设备以及与生产配套的供辅工程和环保设备</w:t>
      </w:r>
      <w:r>
        <w:rPr>
          <w:rFonts w:hint="default" w:ascii="Times New Roman" w:hAnsi="Times New Roman" w:eastAsia="宋体" w:cs="Times New Roman"/>
          <w:sz w:val="24"/>
          <w:szCs w:val="24"/>
        </w:rPr>
        <w:t>等。</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1.2.3验收目的</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本次验收的主要目的是通过对项目污染物排放达标情况、环保设施运行情况、污染物治理效果、环境风险及环境管理调查，综合分析、评价得出结论，以验收报告的形式为建设项目竣工环境保护验收及验收后的日常监督管理提供技术依据。</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3" w:name="_Toc20706"/>
      <w:r>
        <w:rPr>
          <w:rFonts w:hint="default" w:ascii="Times New Roman" w:hAnsi="Times New Roman" w:eastAsia="宋体" w:cs="Times New Roman"/>
          <w:b/>
          <w:sz w:val="32"/>
          <w:szCs w:val="32"/>
        </w:rPr>
        <w:t>2、验收依据</w:t>
      </w:r>
      <w:bookmarkEnd w:id="3"/>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 w:name="_Toc29635"/>
      <w:bookmarkStart w:id="5" w:name="_Toc502136283"/>
      <w:bookmarkStart w:id="6" w:name="_Toc867"/>
      <w:r>
        <w:rPr>
          <w:rFonts w:hint="default" w:ascii="Times New Roman" w:hAnsi="Times New Roman" w:eastAsia="宋体" w:cs="Times New Roman"/>
          <w:b/>
          <w:sz w:val="28"/>
          <w:szCs w:val="32"/>
        </w:rPr>
        <w:t>2.1</w:t>
      </w:r>
      <w:bookmarkEnd w:id="4"/>
      <w:bookmarkStart w:id="7" w:name="_Toc501815002"/>
      <w:bookmarkStart w:id="8" w:name="_Toc502061656"/>
      <w:r>
        <w:rPr>
          <w:rFonts w:hint="default" w:ascii="Times New Roman" w:hAnsi="Times New Roman" w:eastAsia="宋体" w:cs="Times New Roman"/>
          <w:b/>
          <w:sz w:val="28"/>
          <w:szCs w:val="32"/>
        </w:rPr>
        <w:t>法律</w:t>
      </w:r>
      <w:bookmarkEnd w:id="7"/>
      <w:bookmarkEnd w:id="8"/>
      <w:r>
        <w:rPr>
          <w:rFonts w:hint="default" w:ascii="Times New Roman" w:hAnsi="Times New Roman" w:eastAsia="宋体" w:cs="Times New Roman"/>
          <w:b/>
          <w:sz w:val="28"/>
          <w:szCs w:val="32"/>
        </w:rPr>
        <w:t>依据</w:t>
      </w:r>
      <w:bookmarkEnd w:id="5"/>
      <w:bookmarkEnd w:id="6"/>
    </w:p>
    <w:p>
      <w:pPr>
        <w:spacing w:line="360" w:lineRule="auto"/>
        <w:ind w:firstLine="480" w:firstLineChars="200"/>
        <w:rPr>
          <w:rFonts w:hint="default" w:ascii="Times New Roman" w:hAnsi="Times New Roman" w:eastAsia="宋体" w:cs="Times New Roman"/>
          <w:color w:val="000000"/>
          <w:sz w:val="24"/>
          <w:szCs w:val="28"/>
        </w:rPr>
      </w:pPr>
      <w:bookmarkStart w:id="9" w:name="_Toc502136284"/>
      <w:r>
        <w:rPr>
          <w:rFonts w:hint="default" w:ascii="Times New Roman" w:hAnsi="Times New Roman" w:eastAsia="宋体" w:cs="Times New Roman"/>
          <w:color w:val="000000"/>
          <w:sz w:val="24"/>
          <w:szCs w:val="28"/>
        </w:rPr>
        <w:t>1、《中华人民共和国环境保护法》，（2015年1月1日起施行）；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2、《中华人民共和国环境影响评价法》，（2018年12月29日，修订）；</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 xml:space="preserve">3、《中华人民共和国水污染防治法》（2018 </w:t>
      </w:r>
      <w:r>
        <w:rPr>
          <w:rFonts w:hint="default" w:ascii="Times New Roman" w:hAnsi="Times New Roman" w:eastAsia="宋体" w:cs="Times New Roman"/>
          <w:color w:val="000000"/>
          <w:sz w:val="24"/>
          <w:szCs w:val="28"/>
          <w:lang w:val="en-US" w:eastAsia="zh-CN"/>
        </w:rPr>
        <w:t>年</w:t>
      </w:r>
      <w:r>
        <w:rPr>
          <w:rFonts w:hint="default" w:ascii="Times New Roman" w:hAnsi="Times New Roman" w:eastAsia="宋体" w:cs="Times New Roman"/>
          <w:color w:val="000000"/>
          <w:sz w:val="24"/>
          <w:szCs w:val="28"/>
        </w:rPr>
        <w:t>1月1日起施行）；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4、《中华人民共和国大气污染防治法》，（2018年10月26日，修订）；</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5、《中华人民共和国环境噪声污染防治法》，（</w:t>
      </w:r>
      <w:r>
        <w:rPr>
          <w:rFonts w:hint="default" w:ascii="Times New Roman" w:hAnsi="Times New Roman" w:eastAsia="宋体" w:cs="Times New Roman"/>
          <w:color w:val="000000"/>
          <w:sz w:val="24"/>
          <w:szCs w:val="28"/>
          <w:lang w:val="en-US" w:eastAsia="zh-CN"/>
        </w:rPr>
        <w:t>2022年06月06日，实施</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6、《中华人民共和国固体废物污染环境防治法》，（2020年</w:t>
      </w:r>
      <w:r>
        <w:rPr>
          <w:rFonts w:hint="default" w:ascii="Times New Roman" w:hAnsi="Times New Roman" w:eastAsia="宋体" w:cs="Times New Roman"/>
          <w:color w:val="000000"/>
          <w:sz w:val="24"/>
          <w:szCs w:val="28"/>
          <w:lang w:val="en-US" w:eastAsia="zh-CN"/>
        </w:rPr>
        <w:t>09</w:t>
      </w:r>
      <w:r>
        <w:rPr>
          <w:rFonts w:hint="default" w:ascii="Times New Roman" w:hAnsi="Times New Roman" w:eastAsia="宋体" w:cs="Times New Roman"/>
          <w:color w:val="000000"/>
          <w:sz w:val="24"/>
          <w:szCs w:val="28"/>
        </w:rPr>
        <w:t>月</w:t>
      </w:r>
      <w:r>
        <w:rPr>
          <w:rFonts w:hint="default" w:ascii="Times New Roman" w:hAnsi="Times New Roman" w:eastAsia="宋体" w:cs="Times New Roman"/>
          <w:color w:val="000000"/>
          <w:sz w:val="24"/>
          <w:szCs w:val="28"/>
          <w:lang w:val="en-US" w:eastAsia="zh-CN"/>
        </w:rPr>
        <w:t>01</w:t>
      </w:r>
      <w:r>
        <w:rPr>
          <w:rFonts w:hint="default" w:ascii="Times New Roman" w:hAnsi="Times New Roman" w:eastAsia="宋体" w:cs="Times New Roman"/>
          <w:color w:val="000000"/>
          <w:sz w:val="24"/>
          <w:szCs w:val="28"/>
        </w:rPr>
        <w:t>日，</w:t>
      </w:r>
      <w:r>
        <w:rPr>
          <w:rFonts w:hint="default" w:ascii="Times New Roman" w:hAnsi="Times New Roman" w:eastAsia="宋体" w:cs="Times New Roman"/>
          <w:color w:val="000000"/>
          <w:sz w:val="24"/>
          <w:szCs w:val="28"/>
          <w:lang w:val="en-US" w:eastAsia="zh-CN"/>
        </w:rPr>
        <w:t>施行</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7、《建设项目环境保护管理条例》，（2017 年</w:t>
      </w:r>
      <w:r>
        <w:rPr>
          <w:rFonts w:hint="default" w:ascii="Times New Roman" w:hAnsi="Times New Roman" w:eastAsia="宋体" w:cs="Times New Roman"/>
          <w:color w:val="000000"/>
          <w:sz w:val="24"/>
          <w:szCs w:val="28"/>
          <w:lang w:val="en-US" w:eastAsia="zh-CN"/>
        </w:rPr>
        <w:t>07</w:t>
      </w:r>
      <w:r>
        <w:rPr>
          <w:rFonts w:hint="default" w:ascii="Times New Roman" w:hAnsi="Times New Roman" w:eastAsia="宋体" w:cs="Times New Roman"/>
          <w:color w:val="000000"/>
          <w:sz w:val="24"/>
          <w:szCs w:val="28"/>
        </w:rPr>
        <w:t>月</w:t>
      </w:r>
      <w:r>
        <w:rPr>
          <w:rFonts w:hint="default" w:ascii="Times New Roman" w:hAnsi="Times New Roman" w:eastAsia="宋体" w:cs="Times New Roman"/>
          <w:color w:val="000000"/>
          <w:sz w:val="24"/>
          <w:szCs w:val="28"/>
          <w:lang w:val="en-US" w:eastAsia="zh-CN"/>
        </w:rPr>
        <w:t>16</w:t>
      </w:r>
      <w:r>
        <w:rPr>
          <w:rFonts w:hint="default" w:ascii="Times New Roman" w:hAnsi="Times New Roman" w:eastAsia="宋体" w:cs="Times New Roman"/>
          <w:color w:val="000000"/>
          <w:sz w:val="24"/>
          <w:szCs w:val="28"/>
        </w:rPr>
        <w:t>日起施行）；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8、《建设项目环境影响评价分类管理名录》（2021年版）；</w:t>
      </w:r>
    </w:p>
    <w:p>
      <w:pPr>
        <w:pStyle w:val="51"/>
        <w:spacing w:line="360" w:lineRule="auto"/>
        <w:ind w:firstLine="0" w:firstLineChars="0"/>
        <w:jc w:val="left"/>
        <w:outlineLvl w:val="1"/>
        <w:rPr>
          <w:rFonts w:hint="default" w:ascii="Times New Roman" w:hAnsi="Times New Roman" w:eastAsia="宋体" w:cs="Times New Roman"/>
          <w:color w:val="000000"/>
          <w:sz w:val="24"/>
          <w:szCs w:val="28"/>
        </w:rPr>
      </w:pPr>
      <w:bookmarkStart w:id="10" w:name="_Toc373"/>
      <w:r>
        <w:rPr>
          <w:rFonts w:hint="default" w:ascii="Times New Roman" w:hAnsi="Times New Roman" w:eastAsia="宋体" w:cs="Times New Roman"/>
          <w:b/>
          <w:sz w:val="28"/>
          <w:szCs w:val="32"/>
        </w:rPr>
        <w:t>2.2 验收技术规范</w:t>
      </w:r>
      <w:bookmarkEnd w:id="10"/>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1、《环境影响评价技术导则 总纲》（HJ 2.1-2016）；</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2、《环境影响评价技术导则 大气环境》（HJ 2.2-2018）；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3、《环境影响评价技术导则 地表水环境》（HJ 2.3-2018）；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4、《环境影响评价技术导则 地下水环境》（HJ 610-2016）；</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5、《环境影响评价技术导则 声环境》（HJ 2.4-</w:t>
      </w:r>
      <w:r>
        <w:rPr>
          <w:rFonts w:hint="default" w:ascii="Times New Roman" w:hAnsi="Times New Roman" w:eastAsia="宋体" w:cs="Times New Roman"/>
          <w:color w:val="000000"/>
          <w:sz w:val="24"/>
          <w:szCs w:val="28"/>
          <w:lang w:val="en-US" w:eastAsia="zh-CN"/>
        </w:rPr>
        <w:t>2021</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6、《环境影响评价技术导则 生态影响》（HJ 19-20</w:t>
      </w:r>
      <w:r>
        <w:rPr>
          <w:rFonts w:hint="default" w:ascii="Times New Roman" w:hAnsi="Times New Roman" w:eastAsia="宋体" w:cs="Times New Roman"/>
          <w:color w:val="000000"/>
          <w:sz w:val="24"/>
          <w:szCs w:val="28"/>
          <w:lang w:val="en-US" w:eastAsia="zh-CN"/>
        </w:rPr>
        <w:t>22</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7、《环境空气质量标准》（GB3095-2012）；</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8、《声环境质量标准》（GB3096-2008）；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9、《地下水质量标准》（GB/14848-2017）；</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10、《地表水环境质量标准》（GB3838-2002）；</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11、《工业企业厂界环境噪声排放标准》（GB12348-2008）；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12、《一般工业固体废物贮存、处置场污染控制标准》（GB18599-20</w:t>
      </w:r>
      <w:r>
        <w:rPr>
          <w:rFonts w:hint="default" w:ascii="Times New Roman" w:hAnsi="Times New Roman" w:eastAsia="宋体" w:cs="Times New Roman"/>
          <w:color w:val="000000"/>
          <w:sz w:val="24"/>
          <w:szCs w:val="28"/>
          <w:lang w:val="en-US" w:eastAsia="zh-CN"/>
        </w:rPr>
        <w:t>20</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13、《危险废物贮存污染控制标准》(GB18597-20</w:t>
      </w:r>
      <w:r>
        <w:rPr>
          <w:rFonts w:hint="default" w:ascii="Times New Roman" w:hAnsi="Times New Roman" w:eastAsia="宋体" w:cs="Times New Roman"/>
          <w:color w:val="000000"/>
          <w:sz w:val="24"/>
          <w:szCs w:val="28"/>
          <w:lang w:val="en-US" w:eastAsia="zh-CN"/>
        </w:rPr>
        <w:t>23</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14、《生活垃圾填埋场污染控制标准》（GB16899-2008）；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15、《关于规范建设单位自主开展建设项目竣工环境保护验收的通知（征求意见稿）》（环境保护部）；</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16、《建设项目竣工环境保护验收技术指南 污染影响类》（环境生态部）；</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1" w:name="_Toc13806"/>
      <w:r>
        <w:rPr>
          <w:rFonts w:hint="default" w:ascii="Times New Roman" w:hAnsi="Times New Roman" w:eastAsia="宋体" w:cs="Times New Roman"/>
          <w:b/>
          <w:sz w:val="28"/>
          <w:szCs w:val="32"/>
        </w:rPr>
        <w:t>2.2其他法规、条例</w:t>
      </w:r>
      <w:bookmarkEnd w:id="9"/>
      <w:bookmarkEnd w:id="11"/>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1、《建设项目环境保护管理条例》（国务院令第682号）；</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2、《建设项目环境影响评价文件审批及建设单位自主开展环境保护设施验收工作指引（试行）》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3、《建设项目竣工环境保护验收暂行办法》（国环规环评（2017）4号）；</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4、原国家环境保护总局环发［2000］38号《关于建设项目环境保护设施竣工验收监测管理有关问题的通知》；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5、原山东省环境保护局鲁环发〔2007〕147号《关于印发《建设项目环评审批的具体操作程序》和《建设项目竣工环境保护验收的具体操作程序》的通知》；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6、山东省环境保护厅鲁环发[2012]509转发《关于切实加强风险防范严格影响评价管理》的通知；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7、《建设项目竣工环境保护验收技术指南污染影响类》（生态环境部公告2018年第9号）；</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8、菏泽市环境保护局菏环发[2016]26号《关于严格环评审批和“三同时”验收加强国土资源执法监管建立共同责任机制的通知》（2016.05.30）；</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9、</w:t>
      </w:r>
      <w:r>
        <w:rPr>
          <w:rFonts w:hint="default" w:ascii="Times New Roman" w:hAnsi="Times New Roman" w:eastAsia="宋体" w:cs="Times New Roman"/>
          <w:color w:val="000000"/>
          <w:sz w:val="24"/>
          <w:szCs w:val="28"/>
          <w:lang w:val="en-US" w:eastAsia="zh-CN"/>
        </w:rPr>
        <w:t>生态环境部办公厅关于印发《污染影响类建设项目重大变动清单（试行）》的通知；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10、</w:t>
      </w:r>
      <w:r>
        <w:rPr>
          <w:rFonts w:hint="default" w:ascii="Times New Roman" w:hAnsi="Times New Roman" w:eastAsia="宋体" w:cs="Times New Roman"/>
          <w:color w:val="000000"/>
          <w:sz w:val="24"/>
          <w:szCs w:val="28"/>
        </w:rPr>
        <w:t>环境保护部《关于印发环评管理中部分行业建设项目重大变动清单的通知》(环办〔2015〕52号)重大变更清单。</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2" w:name="_Toc32291"/>
      <w:bookmarkStart w:id="13" w:name="_Toc502136285"/>
      <w:r>
        <w:rPr>
          <w:rFonts w:hint="default" w:ascii="Times New Roman" w:hAnsi="Times New Roman" w:eastAsia="宋体" w:cs="Times New Roman"/>
          <w:b/>
          <w:sz w:val="28"/>
          <w:szCs w:val="32"/>
        </w:rPr>
        <w:t>2.3技术文件依据</w:t>
      </w:r>
      <w:bookmarkEnd w:id="12"/>
      <w:bookmarkEnd w:id="13"/>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1、山东省环保厅鲁环函[2012]493号《山东省环境保护厅关于加强建设项目竣工环境保护验收等有关环境监管问题的通知》，2012年；</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2、山东省环保厅鲁环发[2013]4号《山东省环境保护厅关于进一步加强环境安全应急管理工作的通知》，2012年1月；</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3、山东省环保厅鲁环评函[2013]138号《山东省环境保护厅关于加强建设项目特征污染物监管和绿色生态屏障建设的通知》，2013年；</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w:t>
      </w:r>
      <w:r>
        <w:rPr>
          <w:rFonts w:hint="eastAsia" w:ascii="Times New Roman" w:hAnsi="Times New Roman" w:eastAsia="宋体" w:cs="Times New Roman"/>
          <w:color w:val="000000"/>
          <w:sz w:val="24"/>
          <w:szCs w:val="28"/>
          <w:lang w:eastAsia="zh-CN"/>
        </w:rPr>
        <w:t>山东省朗荣玻璃科技股份有限公司</w:t>
      </w:r>
      <w:r>
        <w:rPr>
          <w:rFonts w:hint="default" w:ascii="Times New Roman" w:hAnsi="Times New Roman" w:eastAsia="宋体" w:cs="Times New Roman"/>
          <w:color w:val="000000"/>
          <w:sz w:val="24"/>
          <w:szCs w:val="28"/>
          <w:lang w:eastAsia="zh-CN"/>
        </w:rPr>
        <w:t>钢化玻璃、夹层玻璃、中空玻璃生产项目</w:t>
      </w:r>
      <w:r>
        <w:rPr>
          <w:rFonts w:hint="default" w:ascii="Times New Roman" w:hAnsi="Times New Roman" w:eastAsia="宋体" w:cs="Times New Roman"/>
          <w:color w:val="000000"/>
          <w:sz w:val="24"/>
          <w:szCs w:val="28"/>
        </w:rPr>
        <w:t>环境影响报告表》（</w:t>
      </w:r>
      <w:r>
        <w:rPr>
          <w:rFonts w:hint="default" w:ascii="Times New Roman" w:hAnsi="Times New Roman" w:eastAsia="宋体" w:cs="Times New Roman"/>
          <w:color w:val="000000"/>
          <w:sz w:val="24"/>
          <w:szCs w:val="28"/>
          <w:lang w:val="en-US" w:eastAsia="zh-CN"/>
        </w:rPr>
        <w:t>菏泽国润环境科技有限公司编制</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5、《关于</w:t>
      </w:r>
      <w:r>
        <w:rPr>
          <w:rFonts w:hint="eastAsia" w:ascii="Times New Roman" w:hAnsi="Times New Roman" w:eastAsia="宋体" w:cs="Times New Roman"/>
          <w:color w:val="000000" w:themeColor="text1"/>
          <w:sz w:val="24"/>
          <w:szCs w:val="28"/>
          <w:lang w:eastAsia="zh-CN"/>
          <w14:textFill>
            <w14:solidFill>
              <w14:schemeClr w14:val="tx1"/>
            </w14:solidFill>
          </w14:textFill>
        </w:rPr>
        <w:t>山东省朗荣玻璃科技股份有限公司</w:t>
      </w:r>
      <w:r>
        <w:rPr>
          <w:rFonts w:hint="default" w:ascii="Times New Roman" w:hAnsi="Times New Roman" w:eastAsia="宋体" w:cs="Times New Roman"/>
          <w:color w:val="000000" w:themeColor="text1"/>
          <w:sz w:val="24"/>
          <w:szCs w:val="28"/>
          <w:lang w:eastAsia="zh-CN"/>
          <w14:textFill>
            <w14:solidFill>
              <w14:schemeClr w14:val="tx1"/>
            </w14:solidFill>
          </w14:textFill>
        </w:rPr>
        <w:t>钢化玻璃、夹层玻璃、中空玻璃生产项目</w:t>
      </w:r>
      <w:r>
        <w:rPr>
          <w:rFonts w:hint="default" w:ascii="Times New Roman" w:hAnsi="Times New Roman" w:eastAsia="宋体" w:cs="Times New Roman"/>
          <w:color w:val="000000" w:themeColor="text1"/>
          <w:sz w:val="24"/>
          <w:szCs w:val="28"/>
          <w14:textFill>
            <w14:solidFill>
              <w14:schemeClr w14:val="tx1"/>
            </w14:solidFill>
          </w14:textFill>
        </w:rPr>
        <w:t>环境影响报告表的批复》（</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曹环报告表【2023】027号</w:t>
      </w:r>
      <w:r>
        <w:rPr>
          <w:rFonts w:hint="default" w:ascii="Times New Roman" w:hAnsi="Times New Roman" w:eastAsia="宋体" w:cs="Times New Roman"/>
          <w:color w:val="000000"/>
          <w:sz w:val="24"/>
          <w:szCs w:val="28"/>
        </w:rPr>
        <w:t>，</w:t>
      </w:r>
      <w:r>
        <w:rPr>
          <w:rFonts w:hint="default" w:ascii="Times New Roman" w:hAnsi="Times New Roman" w:eastAsia="宋体" w:cs="Times New Roman"/>
          <w:color w:val="000000"/>
          <w:sz w:val="24"/>
          <w:szCs w:val="28"/>
          <w:lang w:val="en-US" w:eastAsia="zh-CN"/>
        </w:rPr>
        <w:t>2023</w:t>
      </w:r>
      <w:r>
        <w:rPr>
          <w:rFonts w:hint="default" w:ascii="Times New Roman" w:hAnsi="Times New Roman" w:eastAsia="宋体" w:cs="Times New Roman"/>
          <w:color w:val="000000"/>
          <w:sz w:val="24"/>
          <w:szCs w:val="28"/>
        </w:rPr>
        <w:t>年</w:t>
      </w:r>
      <w:r>
        <w:rPr>
          <w:rFonts w:hint="default" w:ascii="Times New Roman" w:hAnsi="Times New Roman" w:eastAsia="宋体" w:cs="Times New Roman"/>
          <w:color w:val="000000"/>
          <w:sz w:val="24"/>
          <w:szCs w:val="28"/>
          <w:lang w:val="en-US" w:eastAsia="zh-CN"/>
        </w:rPr>
        <w:t>3</w:t>
      </w:r>
      <w:r>
        <w:rPr>
          <w:rFonts w:hint="default" w:ascii="Times New Roman" w:hAnsi="Times New Roman" w:eastAsia="宋体" w:cs="Times New Roman"/>
          <w:color w:val="000000"/>
          <w:sz w:val="24"/>
          <w:szCs w:val="28"/>
        </w:rPr>
        <w:t>月</w:t>
      </w:r>
      <w:r>
        <w:rPr>
          <w:rFonts w:hint="default" w:ascii="Times New Roman" w:hAnsi="Times New Roman" w:eastAsia="宋体" w:cs="Times New Roman"/>
          <w:color w:val="000000"/>
          <w:sz w:val="24"/>
          <w:szCs w:val="28"/>
          <w:lang w:val="en-US" w:eastAsia="zh-CN"/>
        </w:rPr>
        <w:t>31日</w:t>
      </w:r>
      <w:r>
        <w:rPr>
          <w:rFonts w:hint="default" w:ascii="Times New Roman" w:hAnsi="Times New Roman" w:eastAsia="宋体" w:cs="Times New Roman"/>
          <w:color w:val="000000" w:themeColor="text1"/>
          <w:sz w:val="24"/>
          <w:szCs w:val="28"/>
          <w14:textFill>
            <w14:solidFill>
              <w14:schemeClr w14:val="tx1"/>
            </w14:solidFill>
          </w14:textFill>
        </w:rPr>
        <w:t>）；</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6、《</w:t>
      </w:r>
      <w:r>
        <w:rPr>
          <w:rFonts w:hint="eastAsia" w:ascii="Times New Roman" w:hAnsi="Times New Roman" w:eastAsia="宋体" w:cs="Times New Roman"/>
          <w:sz w:val="24"/>
          <w:szCs w:val="28"/>
          <w:lang w:eastAsia="zh-CN"/>
        </w:rPr>
        <w:t>山东省朗荣玻璃科技股份有限公司</w:t>
      </w:r>
      <w:r>
        <w:rPr>
          <w:rFonts w:hint="default" w:ascii="Times New Roman" w:hAnsi="Times New Roman" w:eastAsia="宋体" w:cs="Times New Roman"/>
          <w:sz w:val="24"/>
          <w:szCs w:val="28"/>
        </w:rPr>
        <w:t>环评项目验收监测方案》；</w:t>
      </w:r>
    </w:p>
    <w:p>
      <w:pPr>
        <w:spacing w:line="360" w:lineRule="auto"/>
        <w:ind w:firstLine="480" w:firstLineChars="200"/>
        <w:rPr>
          <w:rFonts w:hint="default" w:ascii="Times New Roman" w:hAnsi="Times New Roman" w:eastAsia="宋体" w:cs="Times New Roman"/>
          <w:sz w:val="24"/>
          <w:szCs w:val="28"/>
          <w:lang w:eastAsia="zh-CN"/>
        </w:rPr>
      </w:pPr>
      <w:r>
        <w:rPr>
          <w:rFonts w:hint="default" w:ascii="Times New Roman" w:hAnsi="Times New Roman" w:eastAsia="宋体" w:cs="Times New Roman"/>
          <w:sz w:val="24"/>
          <w:szCs w:val="28"/>
          <w:lang w:eastAsia="zh-CN"/>
        </w:rPr>
        <w:t>7、《</w:t>
      </w:r>
      <w:r>
        <w:rPr>
          <w:rFonts w:hint="eastAsia" w:ascii="Times New Roman" w:hAnsi="Times New Roman" w:eastAsia="宋体" w:cs="Times New Roman"/>
          <w:sz w:val="24"/>
          <w:szCs w:val="28"/>
          <w:lang w:eastAsia="zh-CN"/>
        </w:rPr>
        <w:t>山东省朗荣玻璃科技股份有限公司</w:t>
      </w:r>
      <w:r>
        <w:rPr>
          <w:rFonts w:hint="default" w:ascii="Times New Roman" w:hAnsi="Times New Roman" w:eastAsia="宋体" w:cs="Times New Roman"/>
          <w:sz w:val="24"/>
          <w:szCs w:val="28"/>
          <w:lang w:eastAsia="zh-CN"/>
        </w:rPr>
        <w:t>检测报告》（</w:t>
      </w:r>
      <w:r>
        <w:rPr>
          <w:rFonts w:hint="default" w:ascii="Times New Roman" w:hAnsi="Times New Roman" w:eastAsia="宋体" w:cs="Times New Roman"/>
          <w:sz w:val="24"/>
          <w:szCs w:val="28"/>
          <w:lang w:val="en-US" w:eastAsia="zh-CN"/>
        </w:rPr>
        <w:t>HC23121602</w:t>
      </w:r>
      <w:r>
        <w:rPr>
          <w:rFonts w:hint="default" w:ascii="Times New Roman" w:hAnsi="Times New Roman" w:eastAsia="宋体" w:cs="Times New Roman"/>
          <w:sz w:val="24"/>
          <w:szCs w:val="28"/>
          <w:highlight w:val="none"/>
          <w:lang w:val="en-US" w:eastAsia="zh-CN"/>
        </w:rPr>
        <w:t>，山东汇成检测科技有限公司</w:t>
      </w:r>
      <w:r>
        <w:rPr>
          <w:rFonts w:hint="default" w:ascii="Times New Roman" w:hAnsi="Times New Roman" w:eastAsia="宋体" w:cs="Times New Roman"/>
          <w:sz w:val="24"/>
          <w:szCs w:val="28"/>
          <w:lang w:eastAsia="zh-CN"/>
        </w:rPr>
        <w:t>）。</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4" w:name="_Toc24475"/>
      <w:bookmarkStart w:id="15" w:name="_Toc502136286"/>
      <w:bookmarkStart w:id="16" w:name="_Toc502061658"/>
      <w:bookmarkStart w:id="17" w:name="_Toc501815004"/>
      <w:r>
        <w:rPr>
          <w:rFonts w:hint="default" w:ascii="Times New Roman" w:hAnsi="Times New Roman" w:eastAsia="宋体" w:cs="Times New Roman"/>
          <w:b/>
          <w:sz w:val="28"/>
          <w:szCs w:val="32"/>
        </w:rPr>
        <w:t>2.4验收监测评价标准</w:t>
      </w:r>
      <w:bookmarkEnd w:id="14"/>
      <w:bookmarkEnd w:id="15"/>
      <w:bookmarkEnd w:id="16"/>
      <w:bookmarkEnd w:id="17"/>
    </w:p>
    <w:p>
      <w:pPr>
        <w:numPr>
          <w:ilvl w:val="0"/>
          <w:numId w:val="2"/>
        </w:numPr>
        <w:spacing w:line="360" w:lineRule="auto"/>
        <w:ind w:firstLine="470" w:firstLineChars="196"/>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rPr>
        <w:t>该项目</w:t>
      </w:r>
      <w:r>
        <w:rPr>
          <w:rFonts w:hint="default" w:ascii="Times New Roman" w:hAnsi="Times New Roman" w:eastAsia="宋体" w:cs="Times New Roman"/>
          <w:sz w:val="24"/>
          <w:szCs w:val="20"/>
          <w:lang w:val="en-US" w:eastAsia="zh-CN"/>
        </w:rPr>
        <w:t>排放的有组织VOCs排放浓度、速率满足《挥发性有机物排放标准 第7部分：其他行业》(DB37/ 2801.7—2019)表1非重点行业底II时段对应限值(VOCs最高允许排放浓度≤60mg/m3，最高排放速率≤3.0kg/h）。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8"/>
        </w:rPr>
      </w:pPr>
      <w:r>
        <w:rPr>
          <w:rFonts w:hint="eastAsia" w:ascii="Times New Roman" w:hAnsi="Times New Roman" w:eastAsia="宋体" w:cs="Times New Roman"/>
          <w:color w:val="000000"/>
          <w:sz w:val="24"/>
          <w:szCs w:val="28"/>
          <w:lang w:val="en-US" w:eastAsia="zh-CN"/>
        </w:rPr>
        <w:t xml:space="preserve">  </w:t>
      </w:r>
      <w:r>
        <w:rPr>
          <w:rFonts w:hint="default" w:ascii="Times New Roman" w:hAnsi="Times New Roman" w:eastAsia="宋体" w:cs="Times New Roman"/>
          <w:color w:val="000000"/>
          <w:sz w:val="24"/>
          <w:szCs w:val="28"/>
          <w:lang w:val="en-US" w:eastAsia="zh-CN"/>
        </w:rPr>
        <w:t>VOCs无组织排放浓度执行山东省《挥发性有机物排放标准 第7部分：其他行业》(DB37/2801.7—2019)表2厂界监控点浓度限值（VOCs≤2.0mg/m</w:t>
      </w:r>
      <w:r>
        <w:rPr>
          <w:rFonts w:hint="default" w:ascii="Times New Roman" w:hAnsi="Times New Roman" w:eastAsia="宋体" w:cs="Times New Roman"/>
          <w:color w:val="000000"/>
          <w:sz w:val="24"/>
          <w:szCs w:val="28"/>
          <w:vertAlign w:val="superscript"/>
          <w:lang w:val="en-US" w:eastAsia="zh-CN"/>
        </w:rPr>
        <w:t>3</w:t>
      </w:r>
      <w:r>
        <w:rPr>
          <w:rFonts w:hint="default" w:ascii="Times New Roman" w:hAnsi="Times New Roman" w:eastAsia="宋体" w:cs="Times New Roman"/>
          <w:color w:val="000000"/>
          <w:sz w:val="24"/>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color w:val="000000"/>
          <w:sz w:val="24"/>
          <w:szCs w:val="28"/>
          <w:lang w:val="en-US" w:eastAsia="zh-CN"/>
        </w:rPr>
        <w:t xml:space="preserve">  </w:t>
      </w:r>
      <w:r>
        <w:rPr>
          <w:rFonts w:hint="default" w:ascii="Times New Roman" w:hAnsi="Times New Roman" w:eastAsia="宋体" w:cs="Times New Roman"/>
          <w:color w:val="000000"/>
          <w:sz w:val="24"/>
          <w:szCs w:val="28"/>
          <w:lang w:val="en-US" w:eastAsia="zh-CN"/>
        </w:rPr>
        <w:t>厂区内VOCs无组织排放执行《挥发性有机物无组织排放控制标准》（GB37822-2019）表A.1中厂区内无组织特别排放限值。</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2、厂界噪声执行《工业企业厂界环境噪声排放标准》（GB12348-2008）</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类标准要求。</w:t>
      </w:r>
    </w:p>
    <w:p>
      <w:pPr>
        <w:numPr>
          <w:ilvl w:val="0"/>
          <w:numId w:val="0"/>
        </w:numPr>
        <w:spacing w:line="36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val="en-US" w:eastAsia="zh-CN"/>
        </w:rPr>
        <w:t>3、一般固体废物执行《一般工业固体废物贮存和填埋污染控制标准》（GB18599-2020）中的要求；危险固体废物执行《危险废物贮存污染控制标准》（GB18597-2023）中的要求。</w:t>
      </w:r>
    </w:p>
    <w:p>
      <w:pPr>
        <w:widowControl/>
        <w:jc w:val="left"/>
        <w:rPr>
          <w:rFonts w:hint="default" w:ascii="Times New Roman" w:hAnsi="Times New Roman" w:eastAsia="宋体" w:cs="Times New Roman"/>
          <w:b/>
          <w:sz w:val="24"/>
          <w:szCs w:val="28"/>
        </w:rPr>
      </w:pPr>
      <w:r>
        <w:rPr>
          <w:rFonts w:hint="default" w:ascii="Times New Roman" w:hAnsi="Times New Roman" w:eastAsia="宋体" w:cs="Times New Roman"/>
          <w:b/>
          <w:sz w:val="24"/>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18" w:name="_Toc3104"/>
      <w:r>
        <w:rPr>
          <w:rFonts w:hint="default" w:ascii="Times New Roman" w:hAnsi="Times New Roman" w:eastAsia="宋体" w:cs="Times New Roman"/>
          <w:b/>
          <w:sz w:val="32"/>
          <w:szCs w:val="32"/>
        </w:rPr>
        <w:t>3、工程建设情况</w:t>
      </w:r>
      <w:bookmarkEnd w:id="18"/>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9" w:name="_Toc22071"/>
      <w:r>
        <w:rPr>
          <w:rFonts w:hint="default" w:ascii="Times New Roman" w:hAnsi="Times New Roman" w:eastAsia="宋体" w:cs="Times New Roman"/>
          <w:b/>
          <w:sz w:val="28"/>
          <w:szCs w:val="32"/>
        </w:rPr>
        <w:t>3.1地理位置及平面布置</w:t>
      </w:r>
      <w:bookmarkEnd w:id="19"/>
    </w:p>
    <w:p>
      <w:pPr>
        <w:spacing w:line="360" w:lineRule="auto"/>
        <w:ind w:firstLine="480" w:firstLineChars="200"/>
        <w:rPr>
          <w:rFonts w:hint="default" w:ascii="Times New Roman" w:hAnsi="Times New Roman" w:eastAsia="宋体" w:cs="Times New Roman"/>
          <w:sz w:val="24"/>
          <w:szCs w:val="20"/>
          <w:lang w:eastAsia="zh-CN"/>
        </w:rPr>
      </w:pPr>
      <w:r>
        <w:rPr>
          <w:rFonts w:hint="eastAsia" w:ascii="Times New Roman" w:hAnsi="Times New Roman" w:eastAsia="宋体" w:cs="Times New Roman"/>
          <w:color w:val="000000"/>
          <w:sz w:val="24"/>
          <w:szCs w:val="28"/>
          <w:lang w:eastAsia="zh-CN"/>
        </w:rPr>
        <w:t>山东省朗荣玻璃科技股份有限公司</w:t>
      </w:r>
      <w:r>
        <w:rPr>
          <w:rFonts w:hint="default" w:ascii="Times New Roman" w:hAnsi="Times New Roman" w:eastAsia="宋体" w:cs="Times New Roman"/>
          <w:color w:val="000000"/>
          <w:sz w:val="24"/>
          <w:szCs w:val="28"/>
          <w:lang w:eastAsia="zh-CN"/>
        </w:rPr>
        <w:t>钢化玻璃、夹层玻璃、中空玻璃生产项目</w:t>
      </w:r>
      <w:r>
        <w:rPr>
          <w:rFonts w:hint="default" w:ascii="Times New Roman" w:hAnsi="Times New Roman" w:eastAsia="宋体" w:cs="Times New Roman"/>
          <w:color w:val="000000"/>
          <w:sz w:val="24"/>
          <w:szCs w:val="28"/>
        </w:rPr>
        <w:t>位于</w:t>
      </w:r>
      <w:r>
        <w:rPr>
          <w:rFonts w:hint="default" w:ascii="Times New Roman" w:hAnsi="Times New Roman" w:eastAsia="宋体" w:cs="Times New Roman"/>
          <w:color w:val="000000"/>
          <w:sz w:val="24"/>
          <w:szCs w:val="28"/>
          <w:lang w:val="en-US" w:eastAsia="zh-CN"/>
        </w:rPr>
        <w:t>山东省曹县中小企业孵化园</w:t>
      </w:r>
      <w:r>
        <w:rPr>
          <w:rFonts w:hint="default" w:ascii="Times New Roman" w:hAnsi="Times New Roman" w:eastAsia="宋体" w:cs="Times New Roman"/>
          <w:sz w:val="24"/>
          <w:szCs w:val="20"/>
        </w:rPr>
        <w:t>。</w:t>
      </w:r>
    </w:p>
    <w:p>
      <w:pPr>
        <w:adjustRightInd w:val="0"/>
        <w:snapToGrid w:val="0"/>
        <w:spacing w:line="360" w:lineRule="auto"/>
        <w:ind w:firstLine="480" w:firstLineChars="200"/>
        <w:rPr>
          <w:rFonts w:hint="eastAsia" w:ascii="Times New Roman" w:hAnsi="Times New Roman" w:eastAsia="宋体" w:cs="Times New Roman"/>
          <w:color w:val="000000"/>
          <w:sz w:val="24"/>
          <w:szCs w:val="28"/>
          <w:lang w:eastAsia="zh-CN"/>
        </w:rPr>
      </w:pPr>
      <w:r>
        <w:rPr>
          <w:rFonts w:hint="default" w:ascii="Times New Roman" w:hAnsi="Times New Roman" w:eastAsia="宋体" w:cs="Times New Roman"/>
          <w:sz w:val="24"/>
          <w:szCs w:val="20"/>
          <w:lang w:eastAsia="zh-CN"/>
        </w:rPr>
        <w:drawing>
          <wp:anchor distT="0" distB="0" distL="114300" distR="114300" simplePos="0" relativeHeight="251677696" behindDoc="0" locked="0" layoutInCell="1" allowOverlap="1">
            <wp:simplePos x="0" y="0"/>
            <wp:positionH relativeFrom="column">
              <wp:posOffset>4781550</wp:posOffset>
            </wp:positionH>
            <wp:positionV relativeFrom="paragraph">
              <wp:posOffset>282575</wp:posOffset>
            </wp:positionV>
            <wp:extent cx="648970" cy="643890"/>
            <wp:effectExtent l="0" t="0" r="17780" b="3810"/>
            <wp:wrapNone/>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15"/>
                    <a:stretch>
                      <a:fillRect/>
                    </a:stretch>
                  </pic:blipFill>
                  <pic:spPr>
                    <a:xfrm>
                      <a:off x="0" y="0"/>
                      <a:ext cx="648970" cy="643890"/>
                    </a:xfrm>
                    <a:prstGeom prst="rect">
                      <a:avLst/>
                    </a:prstGeom>
                  </pic:spPr>
                </pic:pic>
              </a:graphicData>
            </a:graphic>
          </wp:anchor>
        </w:drawing>
      </w:r>
      <w:r>
        <w:rPr>
          <w:rFonts w:hint="default" w:ascii="Times New Roman" w:hAnsi="Times New Roman" w:eastAsia="宋体" w:cs="Times New Roman"/>
          <w:color w:val="000000"/>
          <w:sz w:val="24"/>
          <w:szCs w:val="28"/>
        </w:rPr>
        <w:t>项目具体地理位置见图3-1，厂区平面布置见图3</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w:t>
      </w:r>
    </w:p>
    <w:p>
      <w:pPr>
        <w:spacing w:line="360" w:lineRule="auto"/>
        <w:jc w:val="center"/>
        <w:rPr>
          <w:rFonts w:hint="default" w:ascii="Times New Roman" w:hAnsi="Times New Roman" w:eastAsia="宋体" w:cs="Times New Roman"/>
          <w:color w:val="000000"/>
          <w:sz w:val="24"/>
          <w:szCs w:val="28"/>
        </w:rPr>
      </w:pPr>
      <w:r>
        <w:rPr>
          <w:rFonts w:hint="default" w:ascii="Times New Roman" w:hAnsi="Times New Roman" w:eastAsia="宋体" w:cs="Times New Roman"/>
        </w:rPr>
        <w:drawing>
          <wp:inline distT="0" distB="0" distL="114300" distR="114300">
            <wp:extent cx="5400040" cy="2924810"/>
            <wp:effectExtent l="9525" t="9525" r="19685"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400040" cy="292481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default" w:ascii="Times New Roman" w:hAnsi="Times New Roman" w:eastAsia="宋体" w:cs="Times New Roman"/>
        </w:rPr>
        <w:drawing>
          <wp:anchor distT="0" distB="0" distL="114300" distR="114300" simplePos="0" relativeHeight="251676672" behindDoc="0" locked="0" layoutInCell="1" allowOverlap="1">
            <wp:simplePos x="0" y="0"/>
            <wp:positionH relativeFrom="column">
              <wp:posOffset>8743315</wp:posOffset>
            </wp:positionH>
            <wp:positionV relativeFrom="paragraph">
              <wp:posOffset>1591310</wp:posOffset>
            </wp:positionV>
            <wp:extent cx="962025" cy="765175"/>
            <wp:effectExtent l="0" t="0" r="9525" b="15875"/>
            <wp:wrapNone/>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pic:cNvPicPr>
                      <a:picLocks noChangeAspect="1"/>
                    </pic:cNvPicPr>
                  </pic:nvPicPr>
                  <pic:blipFill>
                    <a:blip r:embed="rId15"/>
                    <a:stretch>
                      <a:fillRect/>
                    </a:stretch>
                  </pic:blipFill>
                  <pic:spPr>
                    <a:xfrm>
                      <a:off x="0" y="0"/>
                      <a:ext cx="962025" cy="765175"/>
                    </a:xfrm>
                    <a:prstGeom prst="rect">
                      <a:avLst/>
                    </a:prstGeom>
                    <a:noFill/>
                    <a:ln>
                      <a:noFill/>
                    </a:ln>
                  </pic:spPr>
                </pic:pic>
              </a:graphicData>
            </a:graphic>
          </wp:anchor>
        </w:drawing>
      </w:r>
    </w:p>
    <w:p>
      <w:pPr>
        <w:adjustRightInd w:val="0"/>
        <w:snapToGrid w:val="0"/>
        <w:spacing w:line="360" w:lineRule="auto"/>
        <w:ind w:firstLine="442" w:firstLineChars="200"/>
        <w:jc w:val="center"/>
        <w:rPr>
          <w:rFonts w:hint="eastAsia" w:ascii="Times New Roman" w:hAnsi="Times New Roman" w:eastAsia="宋体" w:cs="Times New Roman"/>
          <w:color w:val="000000"/>
          <w:sz w:val="24"/>
          <w:szCs w:val="28"/>
          <w:lang w:eastAsia="zh-CN"/>
        </w:rPr>
      </w:pPr>
      <w:r>
        <w:rPr>
          <w:rFonts w:hint="default" w:ascii="Times New Roman" w:hAnsi="Times New Roman" w:eastAsia="宋体" w:cs="Times New Roman"/>
          <w:b/>
          <w:sz w:val="22"/>
          <w:szCs w:val="24"/>
        </w:rPr>
        <w:t>图3-1  项目地理位置</w:t>
      </w:r>
      <w:r>
        <w:rPr>
          <w:rFonts w:hint="default" w:ascii="Times New Roman" w:hAnsi="Times New Roman" w:eastAsia="宋体" w:cs="Times New Roman"/>
          <w:b/>
          <w:bCs w:val="0"/>
          <w:sz w:val="22"/>
          <w:szCs w:val="24"/>
        </w:rPr>
        <w:t>图</w:t>
      </w:r>
      <w:r>
        <w:rPr>
          <w:rFonts w:hint="eastAsia" w:ascii="Times New Roman" w:hAnsi="Times New Roman" w:eastAsia="宋体" w:cs="Times New Roman"/>
          <w:b/>
          <w:bCs w:val="0"/>
          <w:color w:val="000000"/>
          <w:sz w:val="24"/>
          <w:szCs w:val="28"/>
          <w:lang w:eastAsia="zh-CN"/>
        </w:rPr>
        <w:t>（</w:t>
      </w:r>
      <w:r>
        <w:rPr>
          <w:rFonts w:hint="eastAsia" w:ascii="Times New Roman" w:hAnsi="Times New Roman" w:eastAsia="宋体" w:cs="Times New Roman"/>
          <w:b/>
          <w:bCs w:val="0"/>
          <w:color w:val="000000"/>
          <w:sz w:val="24"/>
          <w:szCs w:val="28"/>
          <w:lang w:val="en-US" w:eastAsia="zh-CN"/>
        </w:rPr>
        <w:t>比例尺1:500</w:t>
      </w:r>
      <w:r>
        <w:rPr>
          <w:rFonts w:hint="eastAsia" w:ascii="Times New Roman" w:hAnsi="Times New Roman" w:eastAsia="宋体" w:cs="Times New Roman"/>
          <w:b/>
          <w:bCs w:val="0"/>
          <w:color w:val="000000"/>
          <w:sz w:val="24"/>
          <w:szCs w:val="28"/>
          <w:lang w:eastAsia="zh-CN"/>
        </w:rPr>
        <w:t>）</w:t>
      </w:r>
    </w:p>
    <w:p>
      <w:pPr>
        <w:pStyle w:val="9"/>
        <w:spacing w:after="0" w:line="360" w:lineRule="auto"/>
        <w:ind w:left="0"/>
        <w:rPr>
          <w:rFonts w:hint="default" w:ascii="Times New Roman" w:hAnsi="Times New Roman" w:eastAsia="宋体" w:cs="Times New Roman"/>
          <w:sz w:val="21"/>
        </w:rPr>
      </w:pPr>
      <w:r>
        <w:rPr>
          <w:rFonts w:hint="default" w:ascii="Times New Roman" w:hAnsi="Times New Roman" w:eastAsia="宋体" w:cs="Times New Roman"/>
        </w:rPr>
        <w:drawing>
          <wp:inline distT="0" distB="0" distL="114300" distR="114300">
            <wp:extent cx="5467985" cy="2703195"/>
            <wp:effectExtent l="0" t="0" r="18415" b="190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7"/>
                    <a:stretch>
                      <a:fillRect/>
                    </a:stretch>
                  </pic:blipFill>
                  <pic:spPr>
                    <a:xfrm>
                      <a:off x="0" y="0"/>
                      <a:ext cx="5467985" cy="2703195"/>
                    </a:xfrm>
                    <a:prstGeom prst="rect">
                      <a:avLst/>
                    </a:prstGeom>
                    <a:noFill/>
                    <a:ln>
                      <a:noFill/>
                    </a:ln>
                  </pic:spPr>
                </pic:pic>
              </a:graphicData>
            </a:graphic>
          </wp:inline>
        </w:drawing>
      </w:r>
      <w:r>
        <w:rPr>
          <w:rFonts w:hint="default" w:ascii="Times New Roman" w:hAnsi="Times New Roman" w:eastAsia="宋体" w:cs="Times New Roman"/>
          <w:sz w:val="21"/>
        </w:rPr>
        <mc:AlternateContent>
          <mc:Choice Requires="wps">
            <w:drawing>
              <wp:anchor distT="0" distB="0" distL="114300" distR="114300" simplePos="0" relativeHeight="251673600" behindDoc="0" locked="0" layoutInCell="1" allowOverlap="1">
                <wp:simplePos x="0" y="0"/>
                <wp:positionH relativeFrom="column">
                  <wp:posOffset>896620</wp:posOffset>
                </wp:positionH>
                <wp:positionV relativeFrom="paragraph">
                  <wp:posOffset>6157595</wp:posOffset>
                </wp:positionV>
                <wp:extent cx="0" cy="138430"/>
                <wp:effectExtent l="4445" t="0" r="14605" b="13970"/>
                <wp:wrapNone/>
                <wp:docPr id="63" name="直接连接符 63"/>
                <wp:cNvGraphicFramePr/>
                <a:graphic xmlns:a="http://schemas.openxmlformats.org/drawingml/2006/main">
                  <a:graphicData uri="http://schemas.microsoft.com/office/word/2010/wordprocessingShape">
                    <wps:wsp>
                      <wps:cNvCnPr/>
                      <wps:spPr>
                        <a:xfrm>
                          <a:off x="1247140" y="5646420"/>
                          <a:ext cx="0"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0.6pt;margin-top:484.85pt;height:10.9pt;width:0pt;z-index:251673600;mso-width-relative:page;mso-height-relative:page;" filled="f" stroked="t" coordsize="21600,21600" o:gfxdata="UEsDBAoAAAAAAIdO4kAAAAAAAAAAAAAAAAAEAAAAZHJzL1BLAwQUAAAACACHTuJAfsA6iNcAAAAL&#10;AQAADwAAAGRycy9kb3ducmV2LnhtbE2PwU7DMBBE70j8g7VI3KiTCpomxOkBiQMSEhA4cHSTbRKw&#10;18F2k/D3bLnAcWafZmfK3WKNmNCHwZGCdJWAQGpcO1Cn4O31/moLIkRNrTaOUME3BthV52elLlo3&#10;0wtOdewEh1AotII+xrGQMjQ9Wh1WbkTi28F5qyNL38nW65nDrZHrJNlIqwfiD70e8a7H5rM+Wk6h&#10;7OuwGP/+/PTYb+v5Ax+mDJW6vEiTWxARl/gHw6k+V4eKO+3dkdogDOvrdM2ognyTZyBOxK+zZydP&#10;b0BWpfy/ofoBUEsDBBQAAAAIAIdO4kC1r8007wEAAL4DAAAOAAAAZHJzL2Uyb0RvYy54bWytU0uO&#10;1DAQ3SNxB8t7Ov2bphV1ehbTGjYIWgIO4HacxJJ/qvJ0ui/BBZDYwYole27DcAzKTpgZhs0syMIp&#10;u8qv/J6fN5cna9hRAWrvKj6bTDlTTvpau7biH95fv1hzhlG4WhjvVMXPCvnl9vmzTR9KNfedN7UC&#10;RiAOyz5UvIsxlEWBslNW4MQH5SjZeLAi0hTaogbRE7o1xXw6XRW9hzqAlwqRVndDko+I8BRA3zRa&#10;qp2XN1a5OKCCMiISJex0QL7Np20aJePbpkEVmak4MY15pCYUH9JYbDeibEGETsvxCOIpR3jEyQrt&#10;qOkd1E5EwW5A/wNltQSPvokT6W0xEMmKEIvZ9JE27zoRVOZCUmO4Ex3/H6x8c9wD03XFVwvOnLB0&#10;47efvv/8+OXXj8803n77yihDMvUBS6q+cnsYZxj2kDifGrDpT2zYiSw1X76cLUngc8UvVsvVcj7K&#10;rE6RSSqglKTcbLFeLnKquMcIgPGV8paloOJGuySAKMXxNUbqS6V/StKy89famHyJxrE+sbhI8IKM&#10;2ZAhKLSByKFrOROmJcfLCBkRvdF12p1wENrDlQF2FMkn+UucqdtfZan1TmA31OXU4CCrIz0Ko23F&#10;1w93G0cgSblBqxQdfH3OEuZ1utbcZrRg8s3Ded59/+y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DqI1wAAAAsBAAAPAAAAAAAAAAEAIAAAACIAAABkcnMvZG93bnJldi54bWxQSwECFAAUAAAA&#10;CACHTuJAta/NNO8BAAC+AwAADgAAAAAAAAABACAAAAAmAQAAZHJzL2Uyb0RvYy54bWxQSwUGAAAA&#10;AAYABgBZAQAAhwUAAAAA&#10;">
                <v:fill on="f" focussize="0,0"/>
                <v:stroke weight="0.5pt" color="#000000 [3200]" miterlimit="8" joinstyle="miter"/>
                <v:imagedata o:title=""/>
                <o:lock v:ext="edit" aspectratio="f"/>
              </v:line>
            </w:pict>
          </mc:Fallback>
        </mc:AlternateContent>
      </w:r>
    </w:p>
    <w:p>
      <w:pPr>
        <w:pStyle w:val="9"/>
        <w:spacing w:after="0" w:line="360" w:lineRule="auto"/>
        <w:ind w:left="0"/>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图3</w:t>
      </w:r>
      <w:r>
        <w:rPr>
          <w:rFonts w:hint="default"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厂区平面布置图</w:t>
      </w:r>
      <w:r>
        <w:rPr>
          <w:rFonts w:hint="eastAsia"/>
          <w:b/>
          <w:bCs/>
          <w:sz w:val="24"/>
          <w:szCs w:val="24"/>
          <w:lang w:eastAsia="zh-CN"/>
        </w:rPr>
        <w:t>（</w:t>
      </w:r>
      <w:r>
        <w:rPr>
          <w:rFonts w:hint="eastAsia"/>
          <w:b/>
          <w:bCs/>
          <w:sz w:val="24"/>
          <w:szCs w:val="24"/>
          <w:lang w:val="en-US" w:eastAsia="zh-CN"/>
        </w:rPr>
        <w:t>比例尺1:10</w:t>
      </w:r>
      <w:r>
        <w:rPr>
          <w:rFonts w:hint="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在项目</w:t>
      </w:r>
      <w:r>
        <w:rPr>
          <w:rFonts w:hint="default" w:ascii="Times New Roman" w:hAnsi="Times New Roman" w:eastAsia="宋体" w:cs="Times New Roman"/>
          <w:color w:val="000000"/>
          <w:sz w:val="24"/>
          <w:szCs w:val="28"/>
          <w:lang w:val="en-US" w:eastAsia="zh-CN"/>
        </w:rPr>
        <w:t>1</w:t>
      </w:r>
      <w:r>
        <w:rPr>
          <w:rFonts w:hint="default" w:ascii="Times New Roman" w:hAnsi="Times New Roman" w:eastAsia="宋体" w:cs="Times New Roman"/>
          <w:color w:val="000000"/>
          <w:sz w:val="24"/>
          <w:szCs w:val="28"/>
        </w:rPr>
        <w:t>km范围内，</w:t>
      </w:r>
      <w:r>
        <w:rPr>
          <w:rFonts w:hint="default" w:ascii="Times New Roman" w:hAnsi="Times New Roman" w:eastAsia="宋体" w:cs="Times New Roman"/>
          <w:sz w:val="24"/>
        </w:rPr>
        <w:t>距离项目边界最近的敏感</w:t>
      </w:r>
      <w:r>
        <w:rPr>
          <w:rFonts w:hint="default" w:ascii="Times New Roman" w:hAnsi="Times New Roman" w:eastAsia="宋体" w:cs="Times New Roman"/>
          <w:sz w:val="24"/>
          <w:szCs w:val="24"/>
        </w:rPr>
        <w:t>点为项目厂区</w:t>
      </w:r>
      <w:r>
        <w:rPr>
          <w:rFonts w:hint="default" w:ascii="Times New Roman" w:hAnsi="Times New Roman" w:eastAsia="宋体" w:cs="Times New Roman"/>
          <w:sz w:val="24"/>
          <w:szCs w:val="24"/>
          <w:lang w:val="en-US" w:eastAsia="zh-CN"/>
        </w:rPr>
        <w:t>东侧</w:t>
      </w:r>
      <w:r>
        <w:rPr>
          <w:rFonts w:hint="default" w:ascii="Times New Roman" w:hAnsi="Times New Roman" w:eastAsia="宋体" w:cs="Times New Roman"/>
          <w:sz w:val="24"/>
          <w:szCs w:val="24"/>
        </w:rPr>
        <w:t>的</w:t>
      </w:r>
      <w:r>
        <w:rPr>
          <w:rFonts w:hint="default" w:ascii="Times New Roman" w:hAnsi="Times New Roman" w:eastAsia="宋体" w:cs="Times New Roman"/>
          <w:sz w:val="24"/>
          <w:szCs w:val="24"/>
          <w:lang w:val="en-US" w:eastAsia="zh-CN"/>
        </w:rPr>
        <w:t>前张庄，东侧的后张庄</w:t>
      </w:r>
      <w:r>
        <w:rPr>
          <w:rFonts w:hint="default" w:ascii="Times New Roman" w:hAnsi="Times New Roman" w:eastAsia="宋体" w:cs="Times New Roman"/>
          <w:sz w:val="24"/>
        </w:rPr>
        <w:t>。</w:t>
      </w:r>
      <w:r>
        <w:rPr>
          <w:rFonts w:hint="default" w:ascii="Times New Roman" w:hAnsi="Times New Roman" w:eastAsia="宋体" w:cs="Times New Roman"/>
          <w:color w:val="000000"/>
          <w:sz w:val="24"/>
          <w:szCs w:val="28"/>
        </w:rPr>
        <w:t>项目周边敏感目标分布情况见表3-1及图3-3。</w:t>
      </w:r>
      <w:r>
        <w:rPr>
          <w:rFonts w:hint="default" w:ascii="Times New Roman" w:hAnsi="Times New Roman" w:eastAsia="宋体" w:cs="Times New Roman"/>
          <w:color w:val="000000"/>
          <w:sz w:val="24"/>
          <w:szCs w:val="28"/>
          <w:lang w:val="en-US" w:eastAsia="zh-CN"/>
        </w:rPr>
        <w:t xml:space="preserve"> </w:t>
      </w:r>
    </w:p>
    <w:p>
      <w:pPr>
        <w:pStyle w:val="9"/>
        <w:spacing w:after="0" w:line="240" w:lineRule="auto"/>
        <w:ind w:left="0"/>
        <w:jc w:val="center"/>
        <w:rPr>
          <w:rFonts w:hint="default" w:ascii="Times New Roman" w:hAnsi="Times New Roman" w:eastAsia="宋体" w:cs="Times New Roman"/>
          <w:b/>
          <w:sz w:val="24"/>
          <w:szCs w:val="24"/>
        </w:rPr>
      </w:pP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表3-1 项目敏感目标一览表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963"/>
        <w:gridCol w:w="1778"/>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395" w:type="pct"/>
            <w:tcBorders>
              <w:tl2br w:val="nil"/>
              <w:tr2bl w:val="nil"/>
            </w:tcBorders>
            <w:noWrap w:val="0"/>
            <w:vAlign w:val="center"/>
          </w:tcPr>
          <w:p>
            <w:pPr>
              <w:pStyle w:val="7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保护目标名称</w:t>
            </w:r>
          </w:p>
        </w:tc>
        <w:tc>
          <w:tcPr>
            <w:tcW w:w="545" w:type="pct"/>
            <w:tcBorders>
              <w:tl2br w:val="nil"/>
              <w:tr2bl w:val="nil"/>
            </w:tcBorders>
            <w:noWrap w:val="0"/>
            <w:vAlign w:val="center"/>
          </w:tcPr>
          <w:p>
            <w:pPr>
              <w:pStyle w:val="7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方位</w:t>
            </w:r>
          </w:p>
        </w:tc>
        <w:tc>
          <w:tcPr>
            <w:tcW w:w="1006" w:type="pct"/>
            <w:tcBorders>
              <w:tl2br w:val="nil"/>
              <w:tr2bl w:val="nil"/>
            </w:tcBorders>
            <w:noWrap w:val="0"/>
            <w:vAlign w:val="center"/>
          </w:tcPr>
          <w:p>
            <w:pPr>
              <w:pStyle w:val="7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距离</w:t>
            </w:r>
            <w:r>
              <w:rPr>
                <w:rFonts w:hint="default" w:ascii="Times New Roman" w:hAnsi="Times New Roman" w:eastAsia="宋体" w:cs="Times New Roman"/>
                <w:color w:val="auto"/>
                <w:szCs w:val="21"/>
                <w:lang w:eastAsia="zh-CN"/>
              </w:rPr>
              <w:t>厂界</w:t>
            </w:r>
            <w:r>
              <w:rPr>
                <w:rFonts w:hint="default" w:ascii="Times New Roman" w:hAnsi="Times New Roman" w:eastAsia="宋体" w:cs="Times New Roman"/>
                <w:color w:val="auto"/>
                <w:szCs w:val="21"/>
              </w:rPr>
              <w:t>（m）</w:t>
            </w:r>
          </w:p>
        </w:tc>
        <w:tc>
          <w:tcPr>
            <w:tcW w:w="2052" w:type="pct"/>
            <w:tcBorders>
              <w:tl2br w:val="nil"/>
              <w:tr2bl w:val="nil"/>
            </w:tcBorders>
            <w:noWrap w:val="0"/>
            <w:vAlign w:val="center"/>
          </w:tcPr>
          <w:p>
            <w:pPr>
              <w:pStyle w:val="7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保护目标说明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95"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前张庄</w:t>
            </w:r>
          </w:p>
        </w:tc>
        <w:tc>
          <w:tcPr>
            <w:tcW w:w="545"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SE</w:t>
            </w:r>
          </w:p>
        </w:tc>
        <w:tc>
          <w:tcPr>
            <w:tcW w:w="1006"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290</w:t>
            </w:r>
          </w:p>
        </w:tc>
        <w:tc>
          <w:tcPr>
            <w:tcW w:w="2052" w:type="pct"/>
            <w:vMerge w:val="restar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shd w:val="clear" w:color="auto" w:fill="FFFFFF"/>
              </w:rPr>
              <w:t>《环境空气质量标准》（GB3095-2012）及其修改单中二级标准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95"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后张庄</w:t>
            </w:r>
          </w:p>
        </w:tc>
        <w:tc>
          <w:tcPr>
            <w:tcW w:w="545"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E</w:t>
            </w:r>
          </w:p>
        </w:tc>
        <w:tc>
          <w:tcPr>
            <w:tcW w:w="1006"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83</w:t>
            </w:r>
          </w:p>
        </w:tc>
        <w:tc>
          <w:tcPr>
            <w:tcW w:w="2052" w:type="pct"/>
            <w:vMerge w:val="continue"/>
            <w:tcBorders>
              <w:tl2br w:val="nil"/>
              <w:tr2bl w:val="nil"/>
            </w:tcBorders>
            <w:noWrap w:val="0"/>
            <w:vAlign w:val="center"/>
          </w:tcPr>
          <w:p>
            <w:pPr>
              <w:pStyle w:val="77"/>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95"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项目周围地下水</w:t>
            </w:r>
          </w:p>
        </w:tc>
        <w:tc>
          <w:tcPr>
            <w:tcW w:w="545"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006"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052"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《地下水质量标准》(GB/T14848-2017) 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95" w:type="pct"/>
            <w:tcBorders>
              <w:tl2br w:val="nil"/>
              <w:tr2bl w:val="nil"/>
            </w:tcBorders>
            <w:noWrap w:val="0"/>
            <w:vAlign w:val="center"/>
          </w:tcPr>
          <w:p>
            <w:pPr>
              <w:pStyle w:val="7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545" w:type="pct"/>
            <w:tcBorders>
              <w:tl2br w:val="nil"/>
              <w:tr2bl w:val="nil"/>
            </w:tcBorders>
            <w:noWrap w:val="0"/>
            <w:vAlign w:val="center"/>
          </w:tcPr>
          <w:p>
            <w:pPr>
              <w:pStyle w:val="7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6" w:type="pct"/>
            <w:tcBorders>
              <w:tl2br w:val="nil"/>
              <w:tr2bl w:val="nil"/>
            </w:tcBorders>
            <w:noWrap w:val="0"/>
            <w:vAlign w:val="center"/>
          </w:tcPr>
          <w:p>
            <w:pPr>
              <w:pStyle w:val="78"/>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52"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《声环境质量标准》</w:t>
            </w:r>
          </w:p>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（GB3096-2008）</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类标准</w:t>
            </w:r>
          </w:p>
        </w:tc>
      </w:tr>
    </w:tbl>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20" w:name="_Toc10825"/>
      <w:bookmarkStart w:id="21" w:name="_Toc7462"/>
      <w:bookmarkStart w:id="22" w:name="_Toc430"/>
      <w:r>
        <w:rPr>
          <w:rFonts w:hint="default" w:ascii="Times New Roman" w:hAnsi="Times New Roman" w:eastAsia="宋体" w:cs="Times New Roman"/>
        </w:rPr>
        <w:drawing>
          <wp:inline distT="0" distB="0" distL="114300" distR="114300">
            <wp:extent cx="5466715" cy="2976880"/>
            <wp:effectExtent l="0" t="0" r="635" b="1397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8"/>
                    <a:stretch>
                      <a:fillRect/>
                    </a:stretch>
                  </pic:blipFill>
                  <pic:spPr>
                    <a:xfrm>
                      <a:off x="0" y="0"/>
                      <a:ext cx="5466715" cy="2976880"/>
                    </a:xfrm>
                    <a:prstGeom prst="rect">
                      <a:avLst/>
                    </a:prstGeom>
                    <a:noFill/>
                    <a:ln>
                      <a:noFill/>
                    </a:ln>
                  </pic:spPr>
                </pic:pic>
              </a:graphicData>
            </a:graphic>
          </wp:inline>
        </w:drawing>
      </w:r>
      <w:bookmarkEnd w:id="20"/>
      <w:bookmarkEnd w:id="21"/>
      <w:bookmarkEnd w:id="22"/>
    </w:p>
    <w:p>
      <w:pPr>
        <w:pStyle w:val="51"/>
        <w:spacing w:line="240" w:lineRule="auto"/>
        <w:ind w:firstLine="0" w:firstLineChars="0"/>
        <w:jc w:val="center"/>
        <w:outlineLvl w:val="1"/>
        <w:rPr>
          <w:rFonts w:hint="default" w:ascii="Times New Roman" w:hAnsi="Times New Roman" w:eastAsia="宋体" w:cs="Times New Roman"/>
          <w:b/>
          <w:bCs w:val="0"/>
          <w:sz w:val="24"/>
          <w:szCs w:val="24"/>
          <w:lang w:val="en-US" w:eastAsia="zh-CN"/>
        </w:rPr>
      </w:pPr>
      <w:bookmarkStart w:id="23" w:name="_Toc14340"/>
      <w:bookmarkStart w:id="24" w:name="_Toc31978"/>
      <w:r>
        <w:rPr>
          <w:rFonts w:hint="default" w:ascii="Times New Roman" w:hAnsi="Times New Roman" w:eastAsia="宋体" w:cs="Times New Roman"/>
          <w:b/>
          <w:bCs w:val="0"/>
          <w:sz w:val="24"/>
          <w:szCs w:val="24"/>
          <w:lang w:val="en-US" w:eastAsia="zh-CN"/>
        </w:rPr>
        <w:t>图3-3</w:t>
      </w:r>
      <w:r>
        <w:rPr>
          <w:rFonts w:hint="default" w:ascii="Times New Roman" w:hAnsi="Times New Roman" w:eastAsia="宋体" w:cs="Times New Roman"/>
          <w:b/>
          <w:bCs w:val="0"/>
          <w:color w:val="000000"/>
          <w:sz w:val="24"/>
          <w:szCs w:val="24"/>
        </w:rPr>
        <w:t>项目周边敏感目标分布</w:t>
      </w:r>
      <w:r>
        <w:rPr>
          <w:rFonts w:hint="default" w:ascii="Times New Roman" w:hAnsi="Times New Roman" w:eastAsia="宋体" w:cs="Times New Roman"/>
          <w:b/>
          <w:bCs w:val="0"/>
          <w:color w:val="000000"/>
          <w:sz w:val="24"/>
          <w:szCs w:val="24"/>
          <w:lang w:val="en-US" w:eastAsia="zh-CN"/>
        </w:rPr>
        <w:t>图</w:t>
      </w:r>
      <w:bookmarkEnd w:id="23"/>
      <w:bookmarkEnd w:id="24"/>
      <w:r>
        <w:rPr>
          <w:rFonts w:hint="eastAsia" w:ascii="Times New Roman" w:hAnsi="Times New Roman" w:eastAsia="宋体" w:cs="Times New Roman"/>
          <w:b/>
          <w:bCs w:val="0"/>
          <w:color w:val="000000"/>
          <w:sz w:val="24"/>
          <w:szCs w:val="24"/>
          <w:lang w:val="en-US" w:eastAsia="zh-CN"/>
        </w:rPr>
        <w:t>（比例尺1:10）</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25" w:name="_Toc10499"/>
      <w:r>
        <w:rPr>
          <w:rFonts w:hint="default" w:ascii="Times New Roman" w:hAnsi="Times New Roman" w:eastAsia="宋体" w:cs="Times New Roman"/>
          <w:b/>
          <w:sz w:val="28"/>
          <w:szCs w:val="32"/>
        </w:rPr>
        <w:t>3.2建设内容</w:t>
      </w:r>
      <w:bookmarkEnd w:id="25"/>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项目名称：</w:t>
      </w:r>
      <w:r>
        <w:rPr>
          <w:rFonts w:hint="eastAsia" w:ascii="Times New Roman" w:hAnsi="Times New Roman" w:eastAsia="宋体" w:cs="Times New Roman"/>
          <w:sz w:val="24"/>
          <w:lang w:eastAsia="zh-CN"/>
        </w:rPr>
        <w:t>山东省朗荣玻璃科技股份有限公司</w:t>
      </w:r>
      <w:r>
        <w:rPr>
          <w:rFonts w:hint="default" w:ascii="Times New Roman" w:hAnsi="Times New Roman" w:eastAsia="宋体" w:cs="Times New Roman"/>
          <w:sz w:val="24"/>
          <w:lang w:eastAsia="zh-CN"/>
        </w:rPr>
        <w:t>钢化玻璃、夹层玻璃、中空玻璃生产项目</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生产规模：</w:t>
      </w:r>
      <w:r>
        <w:rPr>
          <w:rFonts w:hint="default" w:ascii="Times New Roman" w:hAnsi="Times New Roman" w:eastAsia="宋体" w:cs="Times New Roman"/>
          <w:kern w:val="0"/>
          <w:sz w:val="24"/>
          <w:szCs w:val="24"/>
        </w:rPr>
        <w:t>项目</w:t>
      </w:r>
      <w:r>
        <w:rPr>
          <w:rFonts w:hint="default" w:ascii="Times New Roman" w:hAnsi="Times New Roman" w:eastAsia="宋体" w:cs="Times New Roman"/>
          <w:kern w:val="0"/>
          <w:sz w:val="24"/>
          <w:szCs w:val="24"/>
          <w:lang w:val="en-US" w:eastAsia="zh-CN"/>
        </w:rPr>
        <w:t>实际</w:t>
      </w:r>
      <w:r>
        <w:rPr>
          <w:rFonts w:hint="default" w:ascii="Times New Roman" w:hAnsi="Times New Roman" w:eastAsia="宋体" w:cs="Times New Roman"/>
          <w:kern w:val="0"/>
          <w:sz w:val="24"/>
          <w:szCs w:val="24"/>
        </w:rPr>
        <w:t>总投资</w:t>
      </w:r>
      <w:r>
        <w:rPr>
          <w:rFonts w:hint="default" w:ascii="Times New Roman" w:hAnsi="Times New Roman" w:eastAsia="宋体" w:cs="Times New Roman"/>
          <w:kern w:val="0"/>
          <w:sz w:val="24"/>
          <w:szCs w:val="24"/>
          <w:lang w:val="en-US" w:eastAsia="zh-CN"/>
        </w:rPr>
        <w:t>1000</w:t>
      </w:r>
      <w:r>
        <w:rPr>
          <w:rFonts w:hint="default" w:ascii="Times New Roman" w:hAnsi="Times New Roman" w:eastAsia="宋体" w:cs="Times New Roman"/>
          <w:kern w:val="0"/>
          <w:sz w:val="24"/>
          <w:szCs w:val="24"/>
          <w:lang w:eastAsia="zh-CN"/>
        </w:rPr>
        <w:t>万</w:t>
      </w:r>
      <w:r>
        <w:rPr>
          <w:rFonts w:hint="default" w:ascii="Times New Roman" w:hAnsi="Times New Roman" w:eastAsia="宋体" w:cs="Times New Roman"/>
          <w:kern w:val="0"/>
          <w:sz w:val="24"/>
          <w:szCs w:val="24"/>
        </w:rPr>
        <w:t>元，</w:t>
      </w:r>
      <w:r>
        <w:rPr>
          <w:rFonts w:hint="default" w:ascii="Times New Roman" w:hAnsi="Times New Roman" w:eastAsia="宋体" w:cs="Times New Roman"/>
          <w:kern w:val="0"/>
          <w:sz w:val="24"/>
          <w:szCs w:val="24"/>
          <w:lang w:val="en-US" w:eastAsia="zh-CN"/>
        </w:rPr>
        <w:t>建设</w:t>
      </w:r>
      <w:r>
        <w:rPr>
          <w:rFonts w:hint="eastAsia" w:ascii="Times New Roman" w:hAnsi="Times New Roman" w:eastAsia="宋体" w:cs="Times New Roman"/>
          <w:sz w:val="24"/>
          <w:lang w:eastAsia="zh-CN"/>
        </w:rPr>
        <w:t>山东省朗荣玻璃科技股份有限公司</w:t>
      </w:r>
      <w:r>
        <w:rPr>
          <w:rFonts w:hint="default" w:ascii="Times New Roman" w:hAnsi="Times New Roman" w:eastAsia="宋体" w:cs="Times New Roman"/>
          <w:sz w:val="24"/>
          <w:lang w:eastAsia="zh-CN"/>
        </w:rPr>
        <w:t>钢化玻璃、夹层玻璃、中空玻璃生产项目</w:t>
      </w:r>
      <w:r>
        <w:rPr>
          <w:rFonts w:hint="default" w:ascii="Times New Roman" w:hAnsi="Times New Roman" w:eastAsia="宋体" w:cs="Times New Roman"/>
          <w:kern w:val="0"/>
          <w:sz w:val="24"/>
          <w:szCs w:val="24"/>
        </w:rPr>
        <w:t>。</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建设地点：</w:t>
      </w:r>
      <w:r>
        <w:rPr>
          <w:rFonts w:hint="default" w:ascii="Times New Roman" w:hAnsi="Times New Roman" w:eastAsia="宋体" w:cs="Times New Roman"/>
          <w:color w:val="000000"/>
          <w:sz w:val="24"/>
          <w:szCs w:val="28"/>
          <w:lang w:val="en-US" w:eastAsia="zh-CN"/>
        </w:rPr>
        <w:t>山东省曹县中小企业孵化园</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劳动定员及工作制度：</w:t>
      </w:r>
      <w:r>
        <w:rPr>
          <w:rFonts w:hint="default" w:ascii="Times New Roman" w:hAnsi="Times New Roman" w:eastAsia="宋体" w:cs="Times New Roman"/>
          <w:sz w:val="24"/>
          <w:lang w:val="en-US" w:eastAsia="zh-CN"/>
        </w:rPr>
        <w:t>本项目劳动定员50人</w:t>
      </w:r>
      <w:r>
        <w:rPr>
          <w:rFonts w:hint="default" w:ascii="Times New Roman" w:hAnsi="Times New Roman" w:eastAsia="宋体" w:cs="Times New Roman"/>
          <w:sz w:val="24"/>
        </w:rPr>
        <w:t>，每班工作8小时，</w:t>
      </w:r>
      <w:r>
        <w:rPr>
          <w:rFonts w:hint="default" w:ascii="Times New Roman" w:hAnsi="Times New Roman" w:eastAsia="宋体" w:cs="Times New Roman"/>
          <w:sz w:val="24"/>
          <w:lang w:val="en-US" w:eastAsia="zh-CN"/>
        </w:rPr>
        <w:t>长白班，</w:t>
      </w:r>
      <w:r>
        <w:rPr>
          <w:rFonts w:hint="default" w:ascii="Times New Roman" w:hAnsi="Times New Roman" w:eastAsia="宋体" w:cs="Times New Roman"/>
          <w:sz w:val="24"/>
        </w:rPr>
        <w:t>年工作300天。</w:t>
      </w:r>
      <w:r>
        <w:rPr>
          <w:rFonts w:hint="default" w:ascii="Times New Roman" w:hAnsi="Times New Roman" w:eastAsia="宋体" w:cs="Times New Roman"/>
          <w:sz w:val="24"/>
          <w:lang w:val="en-US" w:eastAsia="zh-CN"/>
        </w:rPr>
        <w:t xml:space="preserve"> </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项目投资：该项目</w:t>
      </w:r>
      <w:r>
        <w:rPr>
          <w:rFonts w:hint="default" w:ascii="Times New Roman" w:hAnsi="Times New Roman" w:eastAsia="宋体" w:cs="Times New Roman"/>
          <w:sz w:val="24"/>
          <w:lang w:val="en-US" w:eastAsia="zh-CN"/>
        </w:rPr>
        <w:t>设计</w:t>
      </w:r>
      <w:r>
        <w:rPr>
          <w:rFonts w:hint="default" w:ascii="Times New Roman" w:hAnsi="Times New Roman" w:eastAsia="宋体" w:cs="Times New Roman"/>
          <w:sz w:val="24"/>
        </w:rPr>
        <w:t>总投资</w:t>
      </w:r>
      <w:r>
        <w:rPr>
          <w:rFonts w:hint="default" w:ascii="Times New Roman" w:hAnsi="Times New Roman" w:eastAsia="宋体" w:cs="Times New Roman"/>
          <w:sz w:val="24"/>
          <w:lang w:val="en-US" w:eastAsia="zh-CN"/>
        </w:rPr>
        <w:t>1000</w:t>
      </w:r>
      <w:r>
        <w:rPr>
          <w:rFonts w:hint="default" w:ascii="Times New Roman" w:hAnsi="Times New Roman" w:eastAsia="宋体" w:cs="Times New Roman"/>
          <w:sz w:val="24"/>
          <w:lang w:eastAsia="zh-CN"/>
        </w:rPr>
        <w:t>万</w:t>
      </w:r>
      <w:r>
        <w:rPr>
          <w:rFonts w:hint="default" w:ascii="Times New Roman" w:hAnsi="Times New Roman" w:eastAsia="宋体" w:cs="Times New Roman"/>
          <w:sz w:val="24"/>
        </w:rPr>
        <w:t>元，</w:t>
      </w:r>
      <w:r>
        <w:rPr>
          <w:rFonts w:hint="default" w:ascii="Times New Roman" w:hAnsi="Times New Roman" w:eastAsia="宋体" w:cs="Times New Roman"/>
          <w:sz w:val="24"/>
          <w:lang w:val="en-US" w:eastAsia="zh-CN"/>
        </w:rPr>
        <w:t>实际投资1000万元，</w:t>
      </w:r>
      <w:r>
        <w:rPr>
          <w:rFonts w:hint="default" w:ascii="Times New Roman" w:hAnsi="Times New Roman" w:eastAsia="宋体" w:cs="Times New Roman"/>
          <w:sz w:val="24"/>
        </w:rPr>
        <w:t>其中环保投资</w:t>
      </w:r>
      <w:r>
        <w:rPr>
          <w:rFonts w:hint="default" w:ascii="Times New Roman" w:hAnsi="Times New Roman" w:eastAsia="宋体" w:cs="Times New Roman"/>
          <w:sz w:val="24"/>
          <w:lang w:val="en-US" w:eastAsia="zh-CN"/>
        </w:rPr>
        <w:t>10</w:t>
      </w:r>
      <w:r>
        <w:rPr>
          <w:rFonts w:hint="default" w:ascii="Times New Roman" w:hAnsi="Times New Roman" w:eastAsia="宋体" w:cs="Times New Roman"/>
          <w:sz w:val="24"/>
          <w:lang w:eastAsia="zh-CN"/>
        </w:rPr>
        <w:t>万</w:t>
      </w:r>
      <w:r>
        <w:rPr>
          <w:rFonts w:hint="default" w:ascii="Times New Roman" w:hAnsi="Times New Roman" w:eastAsia="宋体" w:cs="Times New Roman"/>
          <w:sz w:val="24"/>
        </w:rPr>
        <w:t>元，占总投资的</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该项目主要包括主体工程</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公用工程、环保工程等</w:t>
      </w:r>
      <w:r>
        <w:rPr>
          <w:rFonts w:hint="default" w:ascii="Times New Roman" w:hAnsi="Times New Roman" w:eastAsia="宋体" w:cs="Times New Roman"/>
          <w:sz w:val="24"/>
        </w:rPr>
        <w:t>。项目组成见表3-2。</w:t>
      </w:r>
    </w:p>
    <w:p>
      <w:pPr>
        <w:pStyle w:val="9"/>
        <w:spacing w:after="0" w:line="240" w:lineRule="auto"/>
        <w:ind w:left="0"/>
        <w:jc w:val="center"/>
        <w:rPr>
          <w:rFonts w:hint="default" w:ascii="Times New Roman" w:hAnsi="Times New Roman" w:eastAsia="宋体" w:cs="Times New Roman"/>
          <w:b/>
          <w:sz w:val="24"/>
          <w:szCs w:val="24"/>
        </w:rPr>
      </w:pP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表3-2  项目组成一览表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645"/>
        <w:gridCol w:w="47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tcBorders>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931" w:type="pct"/>
            <w:tcBorders>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项目名称</w:t>
            </w:r>
          </w:p>
        </w:tc>
        <w:tc>
          <w:tcPr>
            <w:tcW w:w="2670" w:type="pct"/>
            <w:tcBorders>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环评</w:t>
            </w:r>
            <w:r>
              <w:rPr>
                <w:rFonts w:hint="default" w:ascii="Times New Roman" w:hAnsi="Times New Roman" w:eastAsia="宋体" w:cs="Times New Roman"/>
                <w:b/>
                <w:bCs/>
                <w:color w:val="auto"/>
                <w:highlight w:val="none"/>
              </w:rPr>
              <w:t>内容</w:t>
            </w:r>
          </w:p>
        </w:tc>
        <w:tc>
          <w:tcPr>
            <w:tcW w:w="839" w:type="pct"/>
            <w:tcBorders>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Merge w:val="restart"/>
            <w:tcBorders>
              <w:top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主体</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工程</w:t>
            </w:r>
          </w:p>
        </w:tc>
        <w:tc>
          <w:tcPr>
            <w:tcW w:w="931" w:type="pct"/>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1#生产车间</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color w:val="auto"/>
                <w:highlight w:val="none"/>
                <w:lang w:val="en-US" w:eastAsia="zh-CN"/>
              </w:rPr>
              <w:t>位于厂区北侧，建筑面积为4600m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rPr>
              <w:t>车间内规划建设</w:t>
            </w:r>
            <w:r>
              <w:rPr>
                <w:rFonts w:hint="default" w:ascii="Times New Roman" w:hAnsi="Times New Roman" w:eastAsia="宋体" w:cs="Times New Roman"/>
                <w:color w:val="auto"/>
                <w:lang w:val="en-US" w:eastAsia="zh-CN"/>
              </w:rPr>
              <w:t>一般固废暂存区</w:t>
            </w:r>
            <w:r>
              <w:rPr>
                <w:rFonts w:hint="default" w:ascii="Times New Roman" w:hAnsi="Times New Roman" w:eastAsia="宋体" w:cs="Times New Roman"/>
                <w:color w:val="auto"/>
                <w:highlight w:val="none"/>
                <w:lang w:val="en-US" w:eastAsia="zh-CN"/>
              </w:rPr>
              <w:t>、危废暂存区以及钢化玻璃生产线二条，主要设备有清洗机、</w:t>
            </w:r>
            <w:r>
              <w:rPr>
                <w:rFonts w:hint="default" w:ascii="Times New Roman" w:hAnsi="Times New Roman" w:eastAsia="宋体" w:cs="Times New Roman"/>
                <w:color w:val="auto"/>
                <w:lang w:val="en-US" w:eastAsia="zh-CN"/>
              </w:rPr>
              <w:t>切割机、磨边机、钢化炉等。</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危废间建设在二车间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8" w:type="pct"/>
            <w:vMerge w:val="continue"/>
            <w:tcBorders>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p>
        </w:tc>
        <w:tc>
          <w:tcPr>
            <w:tcW w:w="931" w:type="pct"/>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2#生产车间</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位于厂区东南侧，建筑面积为1975m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rPr>
              <w:t>车间内规划建设</w:t>
            </w:r>
            <w:r>
              <w:rPr>
                <w:rFonts w:hint="default" w:ascii="Times New Roman" w:hAnsi="Times New Roman" w:eastAsia="宋体" w:cs="Times New Roman"/>
                <w:color w:val="auto"/>
                <w:lang w:val="en-US" w:eastAsia="zh-CN"/>
              </w:rPr>
              <w:t>仓库、成品和原料储存区、密封胶暂存区以及二条中空玻璃生产线、一条夹层玻璃生产线。</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增加一座危废间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58" w:type="pct"/>
            <w:tcBorders>
              <w:top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辅助</w:t>
            </w:r>
          </w:p>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931" w:type="pct"/>
            <w:tcBorders>
              <w:top w:val="single" w:color="auto" w:sz="4" w:space="0"/>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办公室</w:t>
            </w:r>
          </w:p>
        </w:tc>
        <w:tc>
          <w:tcPr>
            <w:tcW w:w="2670" w:type="pct"/>
            <w:tcBorders>
              <w:top w:val="single" w:color="auto" w:sz="4" w:space="0"/>
              <w:left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color w:val="auto"/>
                <w:highlight w:val="yellow"/>
              </w:rPr>
            </w:pPr>
            <w:r>
              <w:rPr>
                <w:rFonts w:hint="default" w:ascii="Times New Roman" w:hAnsi="Times New Roman" w:eastAsia="宋体" w:cs="Times New Roman"/>
                <w:color w:val="auto"/>
                <w:highlight w:val="none"/>
                <w:lang w:val="en-US" w:eastAsia="zh-CN"/>
              </w:rPr>
              <w:t>建筑面积为300m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vertAlign w:val="baseline"/>
                <w:lang w:val="en-US" w:eastAsia="zh-CN"/>
              </w:rPr>
              <w:t>，</w:t>
            </w:r>
            <w:r>
              <w:rPr>
                <w:rFonts w:hint="default" w:ascii="Times New Roman" w:hAnsi="Times New Roman" w:eastAsia="宋体" w:cs="Times New Roman"/>
                <w:color w:val="auto"/>
                <w:highlight w:val="none"/>
                <w:lang w:eastAsia="zh-CN"/>
              </w:rPr>
              <w:t>位于</w:t>
            </w:r>
            <w:r>
              <w:rPr>
                <w:rFonts w:hint="default" w:ascii="Times New Roman" w:hAnsi="Times New Roman" w:eastAsia="宋体" w:cs="Times New Roman"/>
                <w:color w:val="auto"/>
                <w:highlight w:val="none"/>
                <w:lang w:val="en-US" w:eastAsia="zh-CN"/>
              </w:rPr>
              <w:t>1#生产车间南侧，</w:t>
            </w:r>
            <w:r>
              <w:rPr>
                <w:rFonts w:hint="default" w:ascii="Times New Roman" w:hAnsi="Times New Roman" w:eastAsia="宋体" w:cs="Times New Roman"/>
                <w:color w:val="auto"/>
                <w:highlight w:val="none"/>
              </w:rPr>
              <w:t>主要用于企业的办公和管理</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Merge w:val="restart"/>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储运</w:t>
            </w:r>
          </w:p>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工程</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成品</w:t>
            </w:r>
            <w:r>
              <w:rPr>
                <w:rFonts w:hint="default" w:ascii="Times New Roman" w:hAnsi="Times New Roman" w:eastAsia="宋体" w:cs="Times New Roman"/>
                <w:color w:val="auto"/>
                <w:highlight w:val="none"/>
              </w:rPr>
              <w:t>储存</w:t>
            </w:r>
            <w:r>
              <w:rPr>
                <w:rFonts w:hint="default" w:ascii="Times New Roman" w:hAnsi="Times New Roman" w:eastAsia="宋体" w:cs="Times New Roman"/>
                <w:color w:val="auto"/>
                <w:highlight w:val="none"/>
                <w:lang w:val="en-US" w:eastAsia="zh-CN"/>
              </w:rPr>
              <w:t>区</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color w:val="auto"/>
                <w:highlight w:val="none"/>
                <w:vertAlign w:val="baseline"/>
                <w:lang w:val="en-US" w:eastAsia="zh-CN"/>
              </w:rPr>
              <w:t>成品</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highlight w:val="none"/>
                <w:lang w:val="en-US" w:eastAsia="zh-CN"/>
              </w:rPr>
              <w:t>2#生产车间。</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Merge w:val="continue"/>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密封胶、热熔丁基胶暂区</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val="en-US" w:eastAsia="zh-CN"/>
              </w:rPr>
              <w:t>密封胶、热熔丁基胶暂区位于2#生产车间。</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Merge w:val="continue"/>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固废暂存区</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固废暂存区位于1#生产车间，</w:t>
            </w:r>
            <w:r>
              <w:rPr>
                <w:rFonts w:hint="default" w:ascii="Times New Roman" w:hAnsi="Times New Roman" w:eastAsia="宋体" w:cs="Times New Roman"/>
                <w:color w:val="auto"/>
                <w:sz w:val="21"/>
                <w:szCs w:val="21"/>
              </w:rPr>
              <w:t>主要用于暂存一般固废</w:t>
            </w:r>
            <w:r>
              <w:rPr>
                <w:rFonts w:hint="default" w:ascii="Times New Roman" w:hAnsi="Times New Roman" w:eastAsia="宋体" w:cs="Times New Roman"/>
                <w:color w:val="auto"/>
                <w:highlight w:val="none"/>
                <w:lang w:val="en-US" w:eastAsia="zh-CN"/>
              </w:rPr>
              <w:t>。</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pct"/>
            <w:vMerge w:val="continue"/>
            <w:tcBorders>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危废暂存间</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危废暂存间位于1#生产车间，</w:t>
            </w:r>
            <w:r>
              <w:rPr>
                <w:rFonts w:hint="default" w:ascii="Times New Roman" w:hAnsi="Times New Roman" w:eastAsia="宋体" w:cs="Times New Roman"/>
                <w:color w:val="auto"/>
                <w:sz w:val="21"/>
                <w:szCs w:val="21"/>
              </w:rPr>
              <w:t>主要用于暂存危险废物</w:t>
            </w:r>
            <w:r>
              <w:rPr>
                <w:rFonts w:hint="default" w:ascii="Times New Roman" w:hAnsi="Times New Roman" w:eastAsia="宋体" w:cs="Times New Roman"/>
                <w:color w:val="auto"/>
                <w:highlight w:val="none"/>
                <w:lang w:val="en-US" w:eastAsia="zh-CN"/>
              </w:rPr>
              <w:t>。</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58" w:type="pct"/>
            <w:vMerge w:val="restart"/>
            <w:tcBorders>
              <w:top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公用</w:t>
            </w:r>
          </w:p>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供电工程</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项目年用电量为</w:t>
            </w:r>
            <w:r>
              <w:rPr>
                <w:rFonts w:hint="default" w:ascii="Times New Roman" w:hAnsi="Times New Roman" w:eastAsia="宋体" w:cs="Times New Roman"/>
                <w:color w:val="auto"/>
                <w:highlight w:val="none"/>
                <w:lang w:val="en-US" w:eastAsia="zh-CN"/>
              </w:rPr>
              <w:t>200</w:t>
            </w:r>
            <w:r>
              <w:rPr>
                <w:rFonts w:hint="default" w:ascii="Times New Roman" w:hAnsi="Times New Roman" w:eastAsia="宋体" w:cs="Times New Roman"/>
                <w:color w:val="auto"/>
                <w:highlight w:val="none"/>
              </w:rPr>
              <w:t>万kWh</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58" w:type="pct"/>
            <w:vMerge w:val="continue"/>
            <w:tcBorders>
              <w:top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供水工程</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项目用水量为</w:t>
            </w:r>
            <w:r>
              <w:rPr>
                <w:rFonts w:hint="default" w:ascii="Times New Roman" w:hAnsi="Times New Roman" w:eastAsia="宋体" w:cs="Times New Roman"/>
                <w:color w:val="auto"/>
                <w:highlight w:val="none"/>
                <w:lang w:val="en-US" w:eastAsia="zh-CN"/>
              </w:rPr>
              <w:t>696</w:t>
            </w:r>
            <w:r>
              <w:rPr>
                <w:rFonts w:hint="default" w:ascii="Times New Roman" w:hAnsi="Times New Roman" w:eastAsia="宋体" w:cs="Times New Roman"/>
                <w:color w:val="auto"/>
                <w:highlight w:val="none"/>
              </w:rPr>
              <w:t>m³/a</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58" w:type="pct"/>
            <w:vMerge w:val="restart"/>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w:t>
            </w:r>
          </w:p>
        </w:tc>
        <w:tc>
          <w:tcPr>
            <w:tcW w:w="931" w:type="pct"/>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废气处</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理措施</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组框、涂胶、封胶、夹胶合片等工序产生的有机废气经集气罩收集后，通过二级活性炭处理，由15m高DA001排气筒排放；</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58" w:type="pct"/>
            <w:vMerge w:val="continue"/>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废水处</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理措施</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产生的生产废水经</w:t>
            </w:r>
            <w:r>
              <w:rPr>
                <w:rFonts w:hint="default" w:ascii="Times New Roman" w:hAnsi="Times New Roman" w:eastAsia="宋体" w:cs="Times New Roman"/>
                <w:color w:val="auto"/>
                <w:kern w:val="0"/>
                <w:sz w:val="21"/>
                <w:szCs w:val="21"/>
                <w:vertAlign w:val="baseline"/>
                <w:lang w:val="en-US" w:eastAsia="zh-CN"/>
              </w:rPr>
              <w:t>二级沉淀池</w:t>
            </w:r>
            <w:r>
              <w:rPr>
                <w:rFonts w:hint="default" w:ascii="Times New Roman" w:hAnsi="Times New Roman" w:eastAsia="宋体" w:cs="Times New Roman"/>
                <w:color w:val="auto"/>
                <w:kern w:val="0"/>
                <w:sz w:val="21"/>
                <w:szCs w:val="21"/>
                <w:highlight w:val="none"/>
                <w:vertAlign w:val="baseline"/>
                <w:lang w:val="en-US" w:eastAsia="zh-CN"/>
              </w:rPr>
              <w:t>沉淀后循环使用不外排，</w:t>
            </w:r>
            <w:r>
              <w:rPr>
                <w:rFonts w:hint="default" w:ascii="Times New Roman" w:hAnsi="Times New Roman" w:eastAsia="宋体" w:cs="Times New Roman"/>
                <w:color w:val="auto"/>
                <w:lang w:val="en-US" w:eastAsia="zh-CN"/>
              </w:rPr>
              <w:t>其他</w:t>
            </w:r>
            <w:r>
              <w:rPr>
                <w:rFonts w:hint="default" w:ascii="Times New Roman" w:hAnsi="Times New Roman" w:eastAsia="宋体" w:cs="Times New Roman"/>
                <w:b w:val="0"/>
                <w:bCs w:val="0"/>
                <w:color w:val="auto"/>
                <w:kern w:val="0"/>
                <w:sz w:val="21"/>
                <w:szCs w:val="21"/>
                <w:highlight w:val="none"/>
                <w:lang w:val="en-US" w:eastAsia="zh-CN"/>
              </w:rPr>
              <w:t>生活污水经化粪池处理后由</w:t>
            </w:r>
            <w:r>
              <w:rPr>
                <w:rFonts w:hint="default" w:ascii="Times New Roman" w:hAnsi="Times New Roman" w:eastAsia="宋体" w:cs="Times New Roman"/>
                <w:b w:val="0"/>
                <w:bCs w:val="0"/>
                <w:color w:val="auto"/>
                <w:kern w:val="0"/>
                <w:sz w:val="21"/>
                <w:szCs w:val="21"/>
                <w:lang w:val="en-US" w:eastAsia="zh-CN"/>
              </w:rPr>
              <w:t>环卫部门定期清运处理</w:t>
            </w:r>
            <w:r>
              <w:rPr>
                <w:rFonts w:hint="default" w:ascii="Times New Roman" w:hAnsi="Times New Roman" w:eastAsia="宋体" w:cs="Times New Roman"/>
                <w:i w:val="0"/>
                <w:iCs w:val="0"/>
                <w:caps w:val="0"/>
                <w:color w:val="auto"/>
                <w:spacing w:val="0"/>
                <w:sz w:val="21"/>
                <w:szCs w:val="21"/>
                <w:shd w:val="clear" w:color="auto" w:fill="FFFFFF"/>
                <w:lang w:val="en-US" w:eastAsia="zh-CN"/>
              </w:rPr>
              <w:t>。</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58" w:type="pct"/>
            <w:vMerge w:val="continue"/>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固废处</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置措施</w:t>
            </w:r>
          </w:p>
        </w:tc>
        <w:tc>
          <w:tcPr>
            <w:tcW w:w="2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1"/>
                <w:highlight w:val="none"/>
                <w:lang w:val="en-US" w:eastAsia="zh-CN"/>
              </w:rPr>
              <w:t>废胶桶由厂家回收后再利用；废润滑油、废润滑油桶、废活性炭收集后暂存于危废暂存间，委托有资质的单位定期处理；废玻璃下脚料，PVB胶片边角料、玻璃沉渣、废包装箱、废包装袋、废铝条小角料收集后外售综合利用；生活垃圾由环卫部门定期清运处置。</w:t>
            </w:r>
          </w:p>
        </w:tc>
        <w:tc>
          <w:tcPr>
            <w:tcW w:w="839" w:type="pct"/>
            <w:tcBorders>
              <w:top w:val="single" w:color="auto" w:sz="4" w:space="0"/>
              <w:left w:val="single" w:color="auto" w:sz="4" w:space="0"/>
              <w:bottom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8" w:type="pct"/>
            <w:vMerge w:val="continue"/>
            <w:tcBorders>
              <w:top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p>
        </w:tc>
        <w:tc>
          <w:tcPr>
            <w:tcW w:w="931" w:type="pct"/>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噪声控</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制措施</w:t>
            </w:r>
          </w:p>
        </w:tc>
        <w:tc>
          <w:tcPr>
            <w:tcW w:w="2670" w:type="pct"/>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采取厂房隔声、基础减震等措施</w:t>
            </w:r>
          </w:p>
        </w:tc>
        <w:tc>
          <w:tcPr>
            <w:tcW w:w="839" w:type="pct"/>
            <w:tcBorders>
              <w:top w:val="single" w:color="auto" w:sz="4" w:space="0"/>
              <w:left w:val="single" w:color="auto" w:sz="4" w:space="0"/>
            </w:tcBorders>
            <w:noWrap w:val="0"/>
            <w:vAlign w:val="center"/>
          </w:tcPr>
          <w:p>
            <w:pPr>
              <w:keepNext w:val="0"/>
              <w:keepLines w:val="0"/>
              <w:widowControl/>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与环评一致</w:t>
            </w:r>
          </w:p>
        </w:tc>
      </w:tr>
    </w:tbl>
    <w:p>
      <w:pPr>
        <w:pStyle w:val="51"/>
        <w:spacing w:line="360" w:lineRule="auto"/>
        <w:ind w:firstLine="281" w:firstLineChars="100"/>
        <w:jc w:val="left"/>
        <w:outlineLvl w:val="1"/>
        <w:rPr>
          <w:rFonts w:hint="default" w:ascii="Times New Roman" w:hAnsi="Times New Roman" w:eastAsia="宋体" w:cs="Times New Roman"/>
          <w:b/>
          <w:sz w:val="28"/>
          <w:szCs w:val="32"/>
        </w:rPr>
      </w:pPr>
      <w:bookmarkStart w:id="26" w:name="_Toc504031145"/>
      <w:bookmarkStart w:id="27" w:name="_Toc8046"/>
      <w:r>
        <w:rPr>
          <w:rFonts w:hint="default" w:ascii="Times New Roman" w:hAnsi="Times New Roman" w:eastAsia="宋体" w:cs="Times New Roman"/>
          <w:b/>
          <w:sz w:val="28"/>
          <w:szCs w:val="32"/>
        </w:rPr>
        <w:t>3.3主要产品</w:t>
      </w:r>
      <w:r>
        <w:rPr>
          <w:rFonts w:hint="default" w:ascii="Times New Roman" w:hAnsi="Times New Roman" w:eastAsia="宋体" w:cs="Times New Roman"/>
          <w:b/>
          <w:sz w:val="28"/>
          <w:szCs w:val="32"/>
          <w:lang w:eastAsia="zh-CN"/>
        </w:rPr>
        <w:t>、</w:t>
      </w:r>
      <w:r>
        <w:rPr>
          <w:rFonts w:hint="default" w:ascii="Times New Roman" w:hAnsi="Times New Roman" w:eastAsia="宋体" w:cs="Times New Roman"/>
          <w:b/>
          <w:sz w:val="28"/>
          <w:szCs w:val="32"/>
        </w:rPr>
        <w:t>原辅材料</w:t>
      </w:r>
      <w:bookmarkEnd w:id="26"/>
      <w:r>
        <w:rPr>
          <w:rFonts w:hint="default" w:ascii="Times New Roman" w:hAnsi="Times New Roman" w:eastAsia="宋体" w:cs="Times New Roman"/>
          <w:b/>
          <w:sz w:val="28"/>
          <w:szCs w:val="32"/>
        </w:rPr>
        <w:t>、及生产设备</w:t>
      </w:r>
      <w:bookmarkEnd w:id="27"/>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该项目产品产量详见表3-3</w:t>
      </w:r>
    </w:p>
    <w:p>
      <w:pPr>
        <w:spacing w:line="240" w:lineRule="auto"/>
        <w:ind w:firstLine="482" w:firstLineChars="200"/>
        <w:jc w:val="center"/>
        <w:rPr>
          <w:rFonts w:hint="default" w:ascii="Times New Roman" w:hAnsi="Times New Roman" w:eastAsia="宋体" w:cs="Times New Roman"/>
          <w:b/>
          <w:bCs/>
          <w:color w:val="000000"/>
          <w:sz w:val="24"/>
          <w:szCs w:val="28"/>
          <w:lang w:val="en-US" w:eastAsia="zh-CN"/>
        </w:rPr>
      </w:pPr>
      <w:r>
        <w:rPr>
          <w:rFonts w:hint="default" w:ascii="Times New Roman" w:hAnsi="Times New Roman" w:eastAsia="宋体" w:cs="Times New Roman"/>
          <w:b/>
          <w:bCs/>
          <w:color w:val="000000"/>
          <w:sz w:val="24"/>
          <w:szCs w:val="28"/>
          <w:lang w:val="en-US" w:eastAsia="zh-CN"/>
        </w:rPr>
        <w:t>表3-3产品产量一览表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2653"/>
        <w:gridCol w:w="201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pct"/>
            <w:tcBorders>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产品种类</w:t>
            </w:r>
          </w:p>
        </w:tc>
        <w:tc>
          <w:tcPr>
            <w:tcW w:w="1501" w:type="pct"/>
            <w:tcBorders>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环评</w:t>
            </w:r>
            <w:r>
              <w:rPr>
                <w:rFonts w:hint="default" w:ascii="Times New Roman" w:hAnsi="Times New Roman" w:eastAsia="宋体" w:cs="Times New Roman"/>
                <w:b/>
                <w:bCs/>
                <w:color w:val="auto"/>
                <w:sz w:val="21"/>
                <w:szCs w:val="21"/>
              </w:rPr>
              <w:t>量</w:t>
            </w:r>
          </w:p>
        </w:tc>
        <w:tc>
          <w:tcPr>
            <w:tcW w:w="1139" w:type="pct"/>
            <w:tcBorders>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实际量</w:t>
            </w:r>
          </w:p>
        </w:tc>
        <w:tc>
          <w:tcPr>
            <w:tcW w:w="1283" w:type="pct"/>
            <w:tcBorders>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pct"/>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钢化玻璃</w:t>
            </w:r>
          </w:p>
        </w:tc>
        <w:tc>
          <w:tcPr>
            <w:tcW w:w="1501" w:type="pct"/>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45万m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p>
        </w:tc>
        <w:tc>
          <w:tcPr>
            <w:tcW w:w="1139" w:type="pct"/>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45万m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p>
        </w:tc>
        <w:tc>
          <w:tcPr>
            <w:tcW w:w="1283" w:type="pct"/>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074" w:type="pct"/>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中空玻璃</w:t>
            </w:r>
          </w:p>
        </w:tc>
        <w:tc>
          <w:tcPr>
            <w:tcW w:w="1501" w:type="pct"/>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p>
        </w:tc>
        <w:tc>
          <w:tcPr>
            <w:tcW w:w="1139" w:type="pct"/>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p>
        </w:tc>
        <w:tc>
          <w:tcPr>
            <w:tcW w:w="1283" w:type="pct"/>
            <w:tcBorders>
              <w:left w:val="single" w:color="auto" w:sz="4" w:space="0"/>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pct"/>
            <w:tcBorders>
              <w:top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夹层玻璃</w:t>
            </w:r>
          </w:p>
        </w:tc>
        <w:tc>
          <w:tcPr>
            <w:tcW w:w="1501" w:type="pct"/>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p>
        </w:tc>
        <w:tc>
          <w:tcPr>
            <w:tcW w:w="1139" w:type="pct"/>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p>
        </w:tc>
        <w:tc>
          <w:tcPr>
            <w:tcW w:w="1283" w:type="pct"/>
            <w:tcBorders>
              <w:left w:val="single" w:color="auto" w:sz="4" w:space="0"/>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bl>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该项目原辅材料详见表3-</w:t>
      </w:r>
      <w:r>
        <w:rPr>
          <w:rFonts w:hint="default" w:ascii="Times New Roman" w:hAnsi="Times New Roman" w:eastAsia="宋体" w:cs="Times New Roman"/>
          <w:color w:val="000000"/>
          <w:sz w:val="24"/>
          <w:szCs w:val="28"/>
          <w:lang w:val="en-US" w:eastAsia="zh-CN"/>
        </w:rPr>
        <w:t>4</w:t>
      </w:r>
      <w:r>
        <w:rPr>
          <w:rFonts w:hint="default" w:ascii="Times New Roman" w:hAnsi="Times New Roman" w:eastAsia="宋体" w:cs="Times New Roman"/>
          <w:color w:val="000000"/>
          <w:sz w:val="24"/>
          <w:szCs w:val="28"/>
        </w:rPr>
        <w:t>。</w:t>
      </w: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w:t>
      </w:r>
      <w:r>
        <w:rPr>
          <w:rFonts w:hint="default"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rPr>
        <w:t xml:space="preserve">  项目主要原辅料及</w:t>
      </w:r>
      <w:r>
        <w:rPr>
          <w:rFonts w:hint="default" w:ascii="Times New Roman" w:hAnsi="Times New Roman" w:eastAsia="宋体" w:cs="Times New Roman"/>
          <w:b/>
          <w:sz w:val="24"/>
          <w:szCs w:val="24"/>
          <w:lang w:val="en-US" w:eastAsia="zh-CN"/>
        </w:rPr>
        <w:t>能源消耗</w:t>
      </w:r>
      <w:r>
        <w:rPr>
          <w:rFonts w:hint="default" w:ascii="Times New Roman" w:hAnsi="Times New Roman" w:eastAsia="宋体" w:cs="Times New Roman"/>
          <w:b/>
          <w:sz w:val="24"/>
          <w:szCs w:val="24"/>
        </w:rPr>
        <w:t>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828"/>
        <w:gridCol w:w="1722"/>
        <w:gridCol w:w="1722"/>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601" w:type="pct"/>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原料名称</w:t>
            </w:r>
          </w:p>
        </w:tc>
        <w:tc>
          <w:tcPr>
            <w:tcW w:w="975" w:type="pct"/>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环评量</w:t>
            </w:r>
          </w:p>
        </w:tc>
        <w:tc>
          <w:tcPr>
            <w:tcW w:w="975" w:type="pct"/>
            <w:tcBorders>
              <w:left w:val="single" w:color="auto" w:sz="4" w:space="0"/>
              <w:bottom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实际量</w:t>
            </w:r>
          </w:p>
        </w:tc>
        <w:tc>
          <w:tcPr>
            <w:tcW w:w="962" w:type="pct"/>
            <w:tcBorders>
              <w:left w:val="single" w:color="auto" w:sz="4" w:space="0"/>
              <w:bottom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top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0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玻璃原片</w:t>
            </w:r>
          </w:p>
        </w:tc>
        <w:tc>
          <w:tcPr>
            <w:tcW w:w="9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75.1万m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p>
        </w:tc>
        <w:tc>
          <w:tcPr>
            <w:tcW w:w="97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75.1万m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/a</w:t>
            </w:r>
          </w:p>
        </w:tc>
        <w:tc>
          <w:tcPr>
            <w:tcW w:w="962"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top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601"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双组分硅酮密封胶</w:t>
            </w:r>
          </w:p>
        </w:tc>
        <w:tc>
          <w:tcPr>
            <w:tcW w:w="975"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6.0t/a</w:t>
            </w:r>
          </w:p>
        </w:tc>
        <w:tc>
          <w:tcPr>
            <w:tcW w:w="97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6.0t/a</w:t>
            </w:r>
          </w:p>
        </w:tc>
        <w:tc>
          <w:tcPr>
            <w:tcW w:w="962"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top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601"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中空玻璃热熔丁基胶</w:t>
            </w:r>
          </w:p>
        </w:tc>
        <w:tc>
          <w:tcPr>
            <w:tcW w:w="975"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1.0t/a</w:t>
            </w:r>
          </w:p>
        </w:tc>
        <w:tc>
          <w:tcPr>
            <w:tcW w:w="97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1.0t/a</w:t>
            </w:r>
          </w:p>
        </w:tc>
        <w:tc>
          <w:tcPr>
            <w:tcW w:w="962"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top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60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铝条</w:t>
            </w:r>
          </w:p>
        </w:tc>
        <w:tc>
          <w:tcPr>
            <w:tcW w:w="9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sz w:val="21"/>
                <w:szCs w:val="21"/>
                <w:lang w:val="en-US" w:eastAsia="zh-CN"/>
              </w:rPr>
              <w:t>t/a</w:t>
            </w:r>
          </w:p>
        </w:tc>
        <w:tc>
          <w:tcPr>
            <w:tcW w:w="97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sz w:val="21"/>
                <w:szCs w:val="21"/>
                <w:lang w:val="en-US" w:eastAsia="zh-CN"/>
              </w:rPr>
              <w:t>t/a</w:t>
            </w:r>
          </w:p>
        </w:tc>
        <w:tc>
          <w:tcPr>
            <w:tcW w:w="962"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top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60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分子筛</w:t>
            </w:r>
          </w:p>
        </w:tc>
        <w:tc>
          <w:tcPr>
            <w:tcW w:w="9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5.0t/a</w:t>
            </w:r>
          </w:p>
        </w:tc>
        <w:tc>
          <w:tcPr>
            <w:tcW w:w="97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5.0t/a</w:t>
            </w:r>
          </w:p>
        </w:tc>
        <w:tc>
          <w:tcPr>
            <w:tcW w:w="962"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top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0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PVB胶片</w:t>
            </w:r>
          </w:p>
        </w:tc>
        <w:tc>
          <w:tcPr>
            <w:tcW w:w="9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4.67t/a</w:t>
            </w:r>
          </w:p>
        </w:tc>
        <w:tc>
          <w:tcPr>
            <w:tcW w:w="97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4.67t/a</w:t>
            </w:r>
          </w:p>
        </w:tc>
        <w:tc>
          <w:tcPr>
            <w:tcW w:w="962"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top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60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机油</w:t>
            </w:r>
          </w:p>
        </w:tc>
        <w:tc>
          <w:tcPr>
            <w:tcW w:w="9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0.01t/a</w:t>
            </w:r>
          </w:p>
        </w:tc>
        <w:tc>
          <w:tcPr>
            <w:tcW w:w="97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0.01t/a</w:t>
            </w:r>
          </w:p>
        </w:tc>
        <w:tc>
          <w:tcPr>
            <w:tcW w:w="962"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bottom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top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60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w:t>
            </w:r>
          </w:p>
        </w:tc>
        <w:tc>
          <w:tcPr>
            <w:tcW w:w="9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619.2m</w:t>
            </w:r>
            <w:r>
              <w:rPr>
                <w:rFonts w:hint="default" w:ascii="Times New Roman" w:hAnsi="Times New Roman" w:eastAsia="宋体" w:cs="Times New Roman"/>
                <w:color w:val="auto"/>
                <w:sz w:val="21"/>
                <w:szCs w:val="21"/>
                <w:vertAlign w:val="superscript"/>
                <w:lang w:val="en-US" w:eastAsia="zh-CN"/>
              </w:rPr>
              <w:t>3</w:t>
            </w:r>
          </w:p>
        </w:tc>
        <w:tc>
          <w:tcPr>
            <w:tcW w:w="97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619.2m</w:t>
            </w:r>
            <w:r>
              <w:rPr>
                <w:rFonts w:hint="default" w:ascii="Times New Roman" w:hAnsi="Times New Roman" w:eastAsia="宋体" w:cs="Times New Roman"/>
                <w:color w:val="auto"/>
                <w:sz w:val="21"/>
                <w:szCs w:val="21"/>
                <w:vertAlign w:val="superscript"/>
                <w:lang w:val="en-US" w:eastAsia="zh-CN"/>
              </w:rPr>
              <w:t>3</w:t>
            </w:r>
          </w:p>
        </w:tc>
        <w:tc>
          <w:tcPr>
            <w:tcW w:w="962"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tcBorders>
              <w:top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601"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w:t>
            </w:r>
          </w:p>
        </w:tc>
        <w:tc>
          <w:tcPr>
            <w:tcW w:w="975"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200万Kwh</w:t>
            </w:r>
          </w:p>
        </w:tc>
        <w:tc>
          <w:tcPr>
            <w:tcW w:w="975" w:type="pct"/>
            <w:tcBorders>
              <w:top w:val="single" w:color="auto" w:sz="4" w:space="0"/>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200万Kwh</w:t>
            </w:r>
          </w:p>
        </w:tc>
        <w:tc>
          <w:tcPr>
            <w:tcW w:w="962" w:type="pct"/>
            <w:tcBorders>
              <w:top w:val="single" w:color="auto" w:sz="4" w:space="0"/>
              <w:left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bl>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该项目主要生产设备及环保设施详见表3-</w:t>
      </w:r>
      <w:r>
        <w:rPr>
          <w:rFonts w:hint="default" w:ascii="Times New Roman" w:hAnsi="Times New Roman" w:eastAsia="宋体" w:cs="Times New Roman"/>
          <w:color w:val="000000"/>
          <w:sz w:val="24"/>
          <w:szCs w:val="28"/>
          <w:lang w:val="en-US" w:eastAsia="zh-CN"/>
        </w:rPr>
        <w:t>5</w:t>
      </w:r>
      <w:r>
        <w:rPr>
          <w:rFonts w:hint="default" w:ascii="Times New Roman" w:hAnsi="Times New Roman" w:eastAsia="宋体" w:cs="Times New Roman"/>
          <w:color w:val="000000"/>
          <w:sz w:val="24"/>
          <w:szCs w:val="28"/>
        </w:rPr>
        <w:t>。</w:t>
      </w:r>
    </w:p>
    <w:p>
      <w:pPr>
        <w:pStyle w:val="9"/>
        <w:spacing w:after="0" w:line="240" w:lineRule="auto"/>
        <w:ind w:left="0"/>
        <w:jc w:val="center"/>
        <w:rPr>
          <w:rFonts w:hint="default" w:ascii="Times New Roman" w:hAnsi="Times New Roman" w:eastAsia="宋体" w:cs="Times New Roman"/>
          <w:b/>
          <w:sz w:val="24"/>
          <w:szCs w:val="24"/>
        </w:rPr>
      </w:pPr>
      <w:bookmarkStart w:id="28" w:name="_Toc1336"/>
      <w:r>
        <w:rPr>
          <w:rFonts w:hint="default" w:ascii="Times New Roman" w:hAnsi="Times New Roman" w:eastAsia="宋体" w:cs="Times New Roman"/>
          <w:b/>
          <w:sz w:val="24"/>
          <w:szCs w:val="24"/>
        </w:rPr>
        <w:t>表3-</w:t>
      </w:r>
      <w:r>
        <w:rPr>
          <w:rFonts w:hint="default"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项目主要生产设备及环保设施一览表</w:t>
      </w:r>
      <w:bookmarkEnd w:id="28"/>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3534"/>
        <w:gridCol w:w="2004"/>
        <w:gridCol w:w="1613"/>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序号</w:t>
            </w:r>
          </w:p>
        </w:tc>
        <w:tc>
          <w:tcPr>
            <w:tcW w:w="2000" w:type="pct"/>
            <w:noWrap w:val="0"/>
            <w:vAlign w:val="center"/>
          </w:tcPr>
          <w:p>
            <w:pPr>
              <w:widowControl/>
              <w:overflowPunct w:val="0"/>
              <w:topLinePunct/>
              <w:snapToGrid w:val="0"/>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Cs w:val="21"/>
              </w:rPr>
              <w:t>名称</w:t>
            </w:r>
          </w:p>
        </w:tc>
        <w:tc>
          <w:tcPr>
            <w:tcW w:w="1134" w:type="pct"/>
            <w:noWrap w:val="0"/>
            <w:vAlign w:val="center"/>
          </w:tcPr>
          <w:p>
            <w:pPr>
              <w:widowControl/>
              <w:overflowPunct w:val="0"/>
              <w:topLinePunct/>
              <w:snapToGrid w:val="0"/>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环评数量（台/套）</w:t>
            </w:r>
          </w:p>
        </w:tc>
        <w:tc>
          <w:tcPr>
            <w:tcW w:w="913" w:type="pct"/>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rPr>
              <w:t>实际数（台/套）</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1</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高速玻璃清洗机</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2</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空压机</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3</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环保水处理设备</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4</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上片机</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5</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下片机</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34"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6</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磨边机</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7</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朝阳全自动玻璃水切机</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8</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奥拓福水切割机</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9</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钢化炉</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10</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抛光机</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航吊</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b w:val="0"/>
                <w:bCs w:val="0"/>
                <w:szCs w:val="21"/>
                <w:lang w:val="en-US" w:eastAsia="zh-CN"/>
              </w:rPr>
              <w:t>11</w:t>
            </w: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夹胶玻璃生产线</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p>
        </w:tc>
        <w:tc>
          <w:tcPr>
            <w:tcW w:w="2000"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中空玻璃生产线</w:t>
            </w:r>
          </w:p>
        </w:tc>
        <w:tc>
          <w:tcPr>
            <w:tcW w:w="1134"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913" w:type="pct"/>
            <w:noWrap w:val="0"/>
            <w:vAlign w:val="center"/>
          </w:tcPr>
          <w:p>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616" w:type="pct"/>
            <w:noWrap w:val="0"/>
            <w:vAlign w:val="center"/>
          </w:tcPr>
          <w:p>
            <w:pPr>
              <w:widowControl/>
              <w:overflowPunct w:val="0"/>
              <w:topLinePunct/>
              <w:snapToGrid w:val="0"/>
              <w:jc w:val="center"/>
              <w:rPr>
                <w:rFonts w:hint="default" w:ascii="Times New Roman" w:hAnsi="Times New Roman" w:eastAsia="宋体" w:cs="Times New Roman"/>
                <w:b w:val="0"/>
                <w:bCs w:val="0"/>
                <w:szCs w:val="21"/>
                <w:lang w:val="en-US" w:eastAsia="zh-CN"/>
              </w:rPr>
            </w:pPr>
            <w:r>
              <w:rPr>
                <w:rFonts w:hint="default" w:ascii="Times New Roman" w:hAnsi="Times New Roman" w:eastAsia="宋体" w:cs="Times New Roman"/>
                <w:color w:val="000000"/>
                <w:sz w:val="21"/>
                <w:szCs w:val="21"/>
                <w:vertAlign w:val="baseline"/>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2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2"/>
                <w:sz w:val="21"/>
                <w:szCs w:val="21"/>
              </w:rPr>
              <w:t>集</w:t>
            </w:r>
            <w:r>
              <w:rPr>
                <w:rFonts w:hint="default" w:ascii="Times New Roman" w:hAnsi="Times New Roman" w:eastAsia="宋体" w:cs="Times New Roman"/>
                <w:spacing w:val="8"/>
                <w:sz w:val="21"/>
                <w:szCs w:val="21"/>
              </w:rPr>
              <w:t>气罩+二级活性炭吸附+15</w:t>
            </w:r>
            <w:r>
              <w:rPr>
                <w:rFonts w:hint="default" w:ascii="Times New Roman" w:hAnsi="Times New Roman" w:eastAsia="宋体" w:cs="Times New Roman"/>
                <w:sz w:val="21"/>
                <w:szCs w:val="21"/>
              </w:rPr>
              <w:t>m</w:t>
            </w:r>
            <w:r>
              <w:rPr>
                <w:rFonts w:hint="default" w:ascii="Times New Roman" w:hAnsi="Times New Roman" w:eastAsia="宋体" w:cs="Times New Roman"/>
                <w:spacing w:val="8"/>
                <w:sz w:val="21"/>
                <w:szCs w:val="21"/>
              </w:rPr>
              <w:t>高排</w:t>
            </w:r>
            <w:r>
              <w:rPr>
                <w:rFonts w:hint="default" w:ascii="Times New Roman" w:hAnsi="Times New Roman" w:eastAsia="宋体" w:cs="Times New Roman"/>
                <w:spacing w:val="-8"/>
                <w:sz w:val="21"/>
                <w:szCs w:val="21"/>
              </w:rPr>
              <w:t>气</w:t>
            </w:r>
            <w:r>
              <w:rPr>
                <w:rFonts w:hint="default" w:ascii="Times New Roman" w:hAnsi="Times New Roman" w:eastAsia="宋体" w:cs="Times New Roman"/>
                <w:spacing w:val="-5"/>
                <w:sz w:val="21"/>
                <w:szCs w:val="21"/>
              </w:rPr>
              <w:t>筒</w:t>
            </w:r>
            <w:r>
              <w:rPr>
                <w:rFonts w:hint="default" w:ascii="Times New Roman" w:hAnsi="Times New Roman" w:eastAsia="宋体" w:cs="Times New Roman"/>
                <w:spacing w:val="-5"/>
                <w:sz w:val="21"/>
                <w:szCs w:val="21"/>
                <w:lang w:val="en-US" w:eastAsia="zh-CN"/>
              </w:rPr>
              <w:t>DA001</w:t>
            </w:r>
          </w:p>
        </w:tc>
        <w:tc>
          <w:tcPr>
            <w:tcW w:w="1134" w:type="pct"/>
            <w:noWrap w:val="0"/>
            <w:vAlign w:val="center"/>
          </w:tcPr>
          <w:p>
            <w:pPr>
              <w:spacing w:before="245" w:line="195"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1</w:t>
            </w:r>
          </w:p>
        </w:tc>
        <w:tc>
          <w:tcPr>
            <w:tcW w:w="913" w:type="pct"/>
            <w:noWrap w:val="0"/>
            <w:vAlign w:val="center"/>
          </w:tcPr>
          <w:p>
            <w:pPr>
              <w:spacing w:before="245" w:line="195"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1</w:t>
            </w:r>
          </w:p>
        </w:tc>
        <w:tc>
          <w:tcPr>
            <w:tcW w:w="616" w:type="pct"/>
            <w:noWrap w:val="0"/>
            <w:vAlign w:val="center"/>
          </w:tcPr>
          <w:p>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同环评一致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p>
        </w:tc>
        <w:tc>
          <w:tcPr>
            <w:tcW w:w="2000"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二级沉淀池</w:t>
            </w:r>
          </w:p>
        </w:tc>
        <w:tc>
          <w:tcPr>
            <w:tcW w:w="1134"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p>
        </w:tc>
        <w:tc>
          <w:tcPr>
            <w:tcW w:w="913" w:type="pct"/>
            <w:noWrap w:val="0"/>
            <w:vAlign w:val="center"/>
          </w:tcPr>
          <w:p>
            <w:pPr>
              <w:widowControl/>
              <w:overflowPunct w:val="0"/>
              <w:topLinePunct/>
              <w:snapToGrid w:val="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p>
        </w:tc>
        <w:tc>
          <w:tcPr>
            <w:tcW w:w="616" w:type="pct"/>
            <w:noWrap w:val="0"/>
            <w:vAlign w:val="center"/>
          </w:tcPr>
          <w:p>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同环评一致</w:t>
            </w:r>
          </w:p>
        </w:tc>
      </w:tr>
    </w:tbl>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29" w:name="_Toc4004"/>
      <w:r>
        <w:rPr>
          <w:rFonts w:hint="default" w:ascii="Times New Roman" w:hAnsi="Times New Roman" w:eastAsia="宋体" w:cs="Times New Roman"/>
          <w:b/>
          <w:sz w:val="28"/>
          <w:szCs w:val="32"/>
        </w:rPr>
        <w:t>3.4水源及水平衡</w:t>
      </w:r>
      <w:bookmarkEnd w:id="29"/>
    </w:p>
    <w:p>
      <w:pPr>
        <w:pStyle w:val="51"/>
        <w:spacing w:line="360" w:lineRule="auto"/>
        <w:ind w:firstLine="0" w:firstLineChars="0"/>
        <w:jc w:val="left"/>
        <w:outlineLvl w:val="1"/>
        <w:rPr>
          <w:rFonts w:hint="default" w:ascii="Times New Roman" w:hAnsi="Times New Roman" w:eastAsia="宋体" w:cs="Times New Roman"/>
          <w:lang w:val="en-US" w:eastAsia="zh-CN"/>
        </w:rPr>
      </w:pPr>
      <w:bookmarkStart w:id="30" w:name="_Toc30092"/>
      <w:bookmarkStart w:id="31" w:name="_Toc24879"/>
      <w:r>
        <w:rPr>
          <w:rFonts w:hint="default" w:ascii="Times New Roman" w:hAnsi="Times New Roman" w:eastAsia="宋体" w:cs="Times New Roman"/>
          <w:lang w:val="en-US" w:eastAsia="zh-CN"/>
        </w:rPr>
        <w:t>本项目水平衡见图3-4</w:t>
      </w:r>
      <w:bookmarkEnd w:id="30"/>
      <w:bookmarkEnd w:id="31"/>
    </w:p>
    <w:p>
      <w:pPr>
        <w:pStyle w:val="51"/>
        <w:spacing w:line="360" w:lineRule="auto"/>
        <w:ind w:firstLine="0" w:firstLineChars="0"/>
        <w:jc w:val="left"/>
        <w:outlineLvl w:val="1"/>
        <w:rPr>
          <w:rFonts w:hint="default" w:ascii="Times New Roman" w:hAnsi="Times New Roman" w:eastAsia="宋体" w:cs="Times New Roman"/>
          <w:b/>
          <w:color w:val="000000" w:themeColor="text1"/>
          <w:sz w:val="28"/>
          <w:szCs w:val="32"/>
          <w14:textFill>
            <w14:solidFill>
              <w14:schemeClr w14:val="tx1"/>
            </w14:solidFill>
          </w14:textFill>
        </w:rPr>
      </w:pPr>
      <w:bookmarkStart w:id="32" w:name="_Toc19817"/>
      <w:bookmarkStart w:id="33" w:name="_Toc26240"/>
      <w:r>
        <w:rPr>
          <w:rFonts w:hint="default" w:ascii="Times New Roman" w:hAnsi="Times New Roman" w:eastAsia="宋体" w:cs="Times New Roman"/>
        </w:rPr>
        <w:drawing>
          <wp:inline distT="0" distB="0" distL="114300" distR="114300">
            <wp:extent cx="5467350" cy="2462530"/>
            <wp:effectExtent l="0" t="0" r="0" b="1397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9"/>
                    <a:stretch>
                      <a:fillRect/>
                    </a:stretch>
                  </pic:blipFill>
                  <pic:spPr>
                    <a:xfrm>
                      <a:off x="0" y="0"/>
                      <a:ext cx="5467350" cy="2462530"/>
                    </a:xfrm>
                    <a:prstGeom prst="rect">
                      <a:avLst/>
                    </a:prstGeom>
                    <a:noFill/>
                    <a:ln>
                      <a:noFill/>
                    </a:ln>
                  </pic:spPr>
                </pic:pic>
              </a:graphicData>
            </a:graphic>
          </wp:inline>
        </w:drawing>
      </w:r>
      <w:bookmarkEnd w:id="32"/>
      <w:bookmarkEnd w:id="33"/>
    </w:p>
    <w:p>
      <w:pPr>
        <w:pStyle w:val="51"/>
        <w:spacing w:line="360" w:lineRule="auto"/>
        <w:ind w:firstLine="0" w:firstLineChars="0"/>
        <w:jc w:val="center"/>
        <w:outlineLvl w:val="1"/>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bookmarkStart w:id="34" w:name="_Toc24966"/>
      <w:bookmarkStart w:id="35" w:name="_Toc1262"/>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图3-4项目水平衡图（m³/a）</w:t>
      </w:r>
      <w:bookmarkEnd w:id="34"/>
      <w:bookmarkEnd w:id="35"/>
    </w:p>
    <w:p>
      <w:pPr>
        <w:pStyle w:val="51"/>
        <w:spacing w:line="360" w:lineRule="auto"/>
        <w:ind w:firstLine="0" w:firstLineChars="0"/>
        <w:jc w:val="left"/>
        <w:outlineLvl w:val="1"/>
        <w:rPr>
          <w:rFonts w:hint="default" w:ascii="Times New Roman" w:hAnsi="Times New Roman" w:eastAsia="宋体" w:cs="Times New Roman"/>
          <w:b/>
          <w:color w:val="000000" w:themeColor="text1"/>
          <w:sz w:val="28"/>
          <w:szCs w:val="32"/>
          <w14:textFill>
            <w14:solidFill>
              <w14:schemeClr w14:val="tx1"/>
            </w14:solidFill>
          </w14:textFill>
        </w:rPr>
      </w:pPr>
      <w:bookmarkStart w:id="36" w:name="_Toc26814"/>
      <w:r>
        <w:rPr>
          <w:rFonts w:hint="default" w:ascii="Times New Roman" w:hAnsi="Times New Roman" w:eastAsia="宋体" w:cs="Times New Roman"/>
          <w:b/>
          <w:color w:val="000000" w:themeColor="text1"/>
          <w:sz w:val="28"/>
          <w:szCs w:val="32"/>
          <w14:textFill>
            <w14:solidFill>
              <w14:schemeClr w14:val="tx1"/>
            </w14:solidFill>
          </w14:textFill>
        </w:rPr>
        <w:t>3.5</w:t>
      </w:r>
      <w:r>
        <w:rPr>
          <w:rFonts w:hint="default" w:ascii="Times New Roman" w:hAnsi="Times New Roman" w:eastAsia="宋体" w:cs="Times New Roman"/>
          <w:b/>
          <w:color w:val="000000" w:themeColor="text1"/>
          <w:sz w:val="28"/>
          <w:szCs w:val="32"/>
          <w:lang w:val="en-US" w:eastAsia="zh-CN"/>
          <w14:textFill>
            <w14:solidFill>
              <w14:schemeClr w14:val="tx1"/>
            </w14:solidFill>
          </w14:textFill>
        </w:rPr>
        <w:t>项目</w:t>
      </w:r>
      <w:r>
        <w:rPr>
          <w:rFonts w:hint="default" w:ascii="Times New Roman" w:hAnsi="Times New Roman" w:eastAsia="宋体" w:cs="Times New Roman"/>
          <w:b/>
          <w:color w:val="000000" w:themeColor="text1"/>
          <w:sz w:val="28"/>
          <w:szCs w:val="32"/>
          <w14:textFill>
            <w14:solidFill>
              <w14:schemeClr w14:val="tx1"/>
            </w14:solidFill>
          </w14:textFill>
        </w:rPr>
        <w:t>生产工艺</w:t>
      </w:r>
      <w:bookmarkEnd w:id="36"/>
    </w:p>
    <w:p>
      <w:pPr>
        <w:tabs>
          <w:tab w:val="left" w:pos="7528"/>
        </w:tabs>
        <w:spacing w:line="360" w:lineRule="auto"/>
        <w:ind w:firstLine="420" w:firstLineChars="200"/>
        <w:rPr>
          <w:rFonts w:hint="default" w:ascii="Times New Roman" w:hAnsi="Times New Roman" w:eastAsia="宋体" w:cs="Times New Roman"/>
          <w:sz w:val="24"/>
        </w:rPr>
      </w:pPr>
      <w:bookmarkStart w:id="37" w:name="_Toc497001470"/>
      <w:r>
        <w:rPr>
          <w:rFonts w:hint="default" w:ascii="Times New Roman" w:hAnsi="Times New Roman" w:eastAsia="宋体" w:cs="Times New Roman"/>
          <w:color w:val="auto"/>
        </w:rPr>
        <w:drawing>
          <wp:inline distT="0" distB="0" distL="114300" distR="114300">
            <wp:extent cx="3124835" cy="4103370"/>
            <wp:effectExtent l="0" t="0" r="18415" b="11430"/>
            <wp:docPr id="7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4"/>
                    <pic:cNvPicPr>
                      <a:picLocks noChangeAspect="1"/>
                    </pic:cNvPicPr>
                  </pic:nvPicPr>
                  <pic:blipFill>
                    <a:blip r:embed="rId20"/>
                    <a:stretch>
                      <a:fillRect/>
                    </a:stretch>
                  </pic:blipFill>
                  <pic:spPr>
                    <a:xfrm>
                      <a:off x="0" y="0"/>
                      <a:ext cx="3124835" cy="4103370"/>
                    </a:xfrm>
                    <a:prstGeom prst="rect">
                      <a:avLst/>
                    </a:prstGeom>
                    <a:noFill/>
                    <a:ln>
                      <a:noFill/>
                    </a:ln>
                  </pic:spPr>
                </pic:pic>
              </a:graphicData>
            </a:graphic>
          </wp:inline>
        </w:drawing>
      </w:r>
    </w:p>
    <w:p>
      <w:pPr>
        <w:pStyle w:val="51"/>
        <w:spacing w:line="360" w:lineRule="auto"/>
        <w:ind w:firstLine="0" w:firstLineChars="0"/>
        <w:jc w:val="center"/>
        <w:outlineLvl w:val="1"/>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bookmarkStart w:id="38" w:name="_Toc21445"/>
      <w:bookmarkStart w:id="39" w:name="_Toc1115"/>
      <w:r>
        <w:rPr>
          <w:rFonts w:hint="default" w:ascii="Times New Roman" w:hAnsi="Times New Roman" w:eastAsia="宋体" w:cs="Times New Roman"/>
          <w:b/>
          <w:bCs/>
          <w:color w:val="auto"/>
          <w:sz w:val="24"/>
          <w:szCs w:val="24"/>
          <w:lang w:val="en-US" w:eastAsia="zh-CN"/>
        </w:rPr>
        <w:t>图3-5.1 钢化玻璃生产工艺流程及产污环节图</w:t>
      </w:r>
      <w:bookmarkEnd w:id="38"/>
      <w:bookmarkEnd w:id="39"/>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备注：N1噪声、S1固废、G1废气、W1废水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right="0" w:right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1、钢化玻璃生产工艺简述：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（1）裁切：根据客户需要的规格尺寸将玻璃原片由人工使用切割机切割成不同尺寸。</w:t>
      </w:r>
      <w:r>
        <w:rPr>
          <w:rFonts w:hint="default" w:ascii="Times New Roman" w:hAnsi="Times New Roman" w:eastAsia="宋体" w:cs="Times New Roman"/>
          <w:color w:val="auto"/>
          <w:sz w:val="24"/>
          <w:szCs w:val="24"/>
        </w:rPr>
        <w:t>切割原理为：在一个工作平面上，用三轴控制切割头的动作，XY两向移动来确定机器的行走，用C轴旋转控制转刀角度，利用气压和弹簧23并控制下刀</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刀具为台金</w:t>
      </w:r>
      <w:r>
        <w:rPr>
          <w:rFonts w:hint="default" w:ascii="Times New Roman" w:hAnsi="Times New Roman" w:eastAsia="宋体" w:cs="Times New Roman"/>
          <w:color w:val="auto"/>
          <w:sz w:val="24"/>
          <w:szCs w:val="24"/>
          <w:lang w:val="en-US" w:eastAsia="zh-CN"/>
        </w:rPr>
        <w:t>刀轮，在玻璃上切出划痕后由人工沿刀纹施加压力将玻璃掰开。不会产生切割粉尘。此过程主要污染物为噪声及玻璃边角料。玻璃边角料收集后外售给玻璃厂家用作原料。</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（2）磨边：该过程为湿式打磨，为避免产生玻璃粉尘，企业拟在设备下方设置集水槽，收集废水进入</w:t>
      </w:r>
      <w:r>
        <w:rPr>
          <w:rFonts w:hint="default" w:ascii="Times New Roman" w:hAnsi="Times New Roman" w:eastAsia="宋体" w:cs="Times New Roman"/>
          <w:color w:val="auto"/>
          <w:kern w:val="0"/>
          <w:sz w:val="24"/>
          <w:szCs w:val="24"/>
          <w:vertAlign w:val="baseline"/>
          <w:lang w:val="en-US" w:eastAsia="zh-CN"/>
        </w:rPr>
        <w:t>二级沉淀池</w:t>
      </w:r>
      <w:r>
        <w:rPr>
          <w:rFonts w:hint="default" w:ascii="Times New Roman" w:hAnsi="Times New Roman" w:eastAsia="宋体" w:cs="Times New Roman"/>
          <w:color w:val="auto"/>
          <w:sz w:val="24"/>
          <w:szCs w:val="24"/>
          <w:lang w:val="en-US" w:eastAsia="zh-CN"/>
        </w:rPr>
        <w:t>沉淀后上清液循环回用，不外排。此过程使用磨边机，主要污染物为噪声、生产废水、玻璃沉渣。</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3）钻孔：依照产品要求对裁切后的玻璃采取湿式钻孔，为避免产生玻璃粉尘，企业拟在设备下方设置集水槽，收集废水进入沉淀池沉淀后上清液循环回用，不外排。此过程使用钻孔机，主要污染物为噪声、生产废水、玻璃沉渣。 </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（4）清洗：磨边后，玻璃进入清洗机进行清洗，去除表面尘土，清洗过程中不使用任何辅助清洁添加剂。清洗机自带循环水箱，循环水箱内清洗水每 15天更换一次，更换清洗水进入沉淀池沉淀后上清液进入钻孔、磨边、清洗工序作为补充水再利用，不外排。此过程主要污染物为噪声、生产废水、玻璃沉渣。</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打孔、磨边、清洗废水收集后排至沉淀池沉淀后上层清水循环回用，沉淀废渣每3个月清掏一次，主要为玻璃废渣，可外售给生产厂家回做原材料。</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钢化处理：经清洗后的玻璃运送至钢化生产线，玻璃匀速通过钢化炉，根据玻璃厚度控制通过速度，一般加热时间在15-30min之间，加热温度至680℃左右，刚好到玻璃软化点，快速移至风栅中进行淬冷。在钢化风栅中用压缩空气均匀、迅速地喷吹玻璃的两个表面，使玻璃急剧冷却。在玻璃的冷却过程中，玻璃的内层和表层之间产生很大的温度梯度，因而在玻璃表面层产生压应力，内层产生拉应力，从而提高玻璃的机械强度和耐热冲击性， 形成了高强度的钢化玻璃。过程中采用热源为电能，冷却方式通过大功率鼓风机产生的大量冷风实现，该过程不产生排放废气，仅排放热空气，通过设备专用排风口排出。此过程使用钢化炉，主要污染物为噪声。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（6）检验：钢化处理后的玻璃从风栅中移出，检验合格品入库待售，不合格品在场地堆存，定期返回玻璃厂回收利用，制造原料玻璃。此过程主要污染物为不合格品。</w:t>
      </w:r>
    </w:p>
    <w:p>
      <w:pPr>
        <w:pStyle w:val="8"/>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2、中空玻璃生产工艺流程</w:t>
      </w:r>
    </w:p>
    <w:p>
      <w:pPr>
        <w:bidi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drawing>
          <wp:inline distT="0" distB="0" distL="114300" distR="114300">
            <wp:extent cx="4001135" cy="5896610"/>
            <wp:effectExtent l="0" t="0" r="18415" b="889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1"/>
                    <a:stretch>
                      <a:fillRect/>
                    </a:stretch>
                  </pic:blipFill>
                  <pic:spPr>
                    <a:xfrm>
                      <a:off x="0" y="0"/>
                      <a:ext cx="4001135" cy="58966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图3-5.2 运营期中空玻璃生产工艺流程及产污环节图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备注：N2噪声、S2固废、G2废气</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工艺流程描述：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（1）裁剪：用液压裁剪机将外购的铝条按照不同尺寸经裁剪生产线进行裁剪开料，此过程会产生铝条边角料和噪声。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（2）组框：人工将裁剪后的铝条用中空玻璃热熔丁基胶组成生产所需的间隔框，此过程会产生组框废气和噪声、废胶桶。</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（3）灌分子筛：</w:t>
      </w:r>
      <w:r>
        <w:rPr>
          <w:rFonts w:hint="default" w:ascii="Times New Roman" w:hAnsi="Times New Roman" w:eastAsia="宋体" w:cs="Times New Roman"/>
          <w:color w:val="auto"/>
          <w:sz w:val="24"/>
          <w:szCs w:val="24"/>
        </w:rPr>
        <w:t>项目采用全自动分子筛灌装机，在铝框内填充分子筛，分子筛灌装好待涂胶工序使用</w:t>
      </w:r>
      <w:r>
        <w:rPr>
          <w:rFonts w:hint="default" w:ascii="Times New Roman" w:hAnsi="Times New Roman" w:eastAsia="宋体" w:cs="Times New Roman"/>
          <w:color w:val="auto"/>
          <w:sz w:val="24"/>
          <w:szCs w:val="24"/>
          <w:lang w:val="en-US" w:eastAsia="zh-CN"/>
        </w:rPr>
        <w:t>,此过程会产生噪声和废包装袋。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涂胶：对加工好的间隔框四周使用双组分硅酮密封胶涂胶，涂胶前对出胶口尺寸进行调整以保证涂胶厚度。本项目中空玻璃(机械生产）生产线使用自动涂胶机，能保证出胶均匀，不漏胶、断胶，并均匀涂抹在间隔框表面，构成第一道密封。此过程会产生涂胶废气、噪声、废胶和废胶桶。</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（5）合片：将加工好的间隔框和自制钢化玻璃（两片）送入自动合片机内，自动合片机通过定位系统将玻璃、铝框准确定位，使铝框和玻璃均匀、紧密粘结。此过程会产生有机废气、噪声。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（6）封胶：间隔框外边部和玻璃边部留有5mm距离，将双组分硅酮密封胶均匀注入玻璃四周封胶区，完全填实间隔框两侧，完成第二道密封。该过程会产生有机废气、噪声、废胶和废胶桶。</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（7）检验：检验合格品入库待售，不合格品在场地堆存，定期返回玻璃厂回收利用，制造原料玻璃。此过程主要污染物为不合格品。</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3、夹层玻璃生产工艺流程</w:t>
      </w:r>
    </w:p>
    <w:p>
      <w:pPr>
        <w:bidi w:val="0"/>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drawing>
          <wp:inline distT="0" distB="0" distL="114300" distR="114300">
            <wp:extent cx="4662805" cy="3952240"/>
            <wp:effectExtent l="0" t="0" r="4445" b="10160"/>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22"/>
                    <a:stretch>
                      <a:fillRect/>
                    </a:stretch>
                  </pic:blipFill>
                  <pic:spPr>
                    <a:xfrm>
                      <a:off x="0" y="0"/>
                      <a:ext cx="4662805" cy="39522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图3-5.3运营期夹层玻璃生产工艺流程及产污环节图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备注：N3噪声、S3固废、G3废气</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工艺流程描述：</w:t>
      </w:r>
    </w:p>
    <w:p>
      <w:pPr>
        <w:keepNext w:val="0"/>
        <w:keepLines w:val="0"/>
        <w:pageBreakBefore w:val="0"/>
        <w:widowControl w:val="0"/>
        <w:numPr>
          <w:ilvl w:val="0"/>
          <w:numId w:val="3"/>
        </w:numPr>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裁剪：用湿式剪切机将PVB 胶片按照设计尺寸进行裁剪，此过程产生PVB胶片边角料。</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（2）夹胶合片：将裁剪后的PVB胶片放置在钢化玻璃中间，对合片完成的半成品进行加热(采用电加热)，加热时间在4min ~5min之间，加热温度120~130°C左右，使PVB胶片达到软化温度，未达到分解温度(200-240°C)使其紧密粘合在一起。此过程产生有机废气、废包装箱、噪声。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固化：由于玻璃叠片预热后虽基本胶合，但叠片中间仍然残留存在一部分气体，胶合的牢固度不强，需要使叠片的气泡完全排出和牢固粘合，具体做法如下：将预热后的玻璃通过夹胶玻璃釜设备(采用电加热)进行加压处理，排除残留的气体使钢化玻璃与夹层胶片完全粘结在一起。此过程产生有机废气、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检验：成品入库前要对刚度和外观进行检查，检验合格品入库待售，不合格品在场地堆存，定期返回玻璃厂回收利用，制造原料玻璃。此过程主要污染物为不合格品、噪声。项目运营期生产工艺中主要污染物产生环节一览表见表3-</w:t>
      </w:r>
      <w:r>
        <w:rPr>
          <w:rFonts w:hint="eastAsia"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  表3-</w:t>
      </w:r>
      <w:r>
        <w:rPr>
          <w:rFonts w:hint="eastAsia" w:ascii="Times New Roman" w:hAnsi="Times New Roman" w:eastAsia="宋体" w:cs="Times New Roman"/>
          <w:b/>
          <w:bCs/>
          <w:color w:val="auto"/>
          <w:sz w:val="24"/>
          <w:szCs w:val="24"/>
          <w:lang w:val="en-US" w:eastAsia="zh-CN"/>
        </w:rPr>
        <w:t>5.1</w:t>
      </w:r>
      <w:r>
        <w:rPr>
          <w:rFonts w:hint="default" w:ascii="Times New Roman" w:hAnsi="Times New Roman" w:eastAsia="宋体" w:cs="Times New Roman"/>
          <w:b/>
          <w:bCs/>
          <w:color w:val="auto"/>
          <w:sz w:val="24"/>
          <w:szCs w:val="24"/>
          <w:lang w:val="en-US" w:eastAsia="zh-CN"/>
        </w:rPr>
        <w:t xml:space="preserve"> 污染物产生环节一览表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336"/>
        <w:gridCol w:w="2876"/>
        <w:gridCol w:w="2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类别</w:t>
            </w: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工序</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主要污染因子</w:t>
            </w:r>
          </w:p>
        </w:tc>
        <w:tc>
          <w:tcPr>
            <w:tcW w:w="1509"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w:t>
            </w: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中空玻璃组框</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VOCs(G2-1）</w:t>
            </w:r>
          </w:p>
        </w:tc>
        <w:tc>
          <w:tcPr>
            <w:tcW w:w="1509" w:type="pct"/>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集气罩+二级活性炭吸附装置+15米高排气筒</w:t>
            </w:r>
            <w:r>
              <w:rPr>
                <w:rFonts w:hint="default" w:ascii="Times New Roman" w:hAnsi="Times New Roman" w:eastAsia="宋体" w:cs="Times New Roman"/>
                <w:color w:val="auto"/>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中空玻璃涂胶</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VOCs(G2-2）</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中空玻璃合片</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VOCs(G2-3）</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中空玻璃封胶</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VOCs(G2-4）</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夹层玻璃夹胶合片</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VOCs(G3-1）</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夹层玻璃固化</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VOCs(G3-2）</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w:t>
            </w: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职工生活</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COD、氨氮、SS、TP</w:t>
            </w:r>
          </w:p>
        </w:tc>
        <w:tc>
          <w:tcPr>
            <w:tcW w:w="1509"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生活废水经化粪池预处理后由环卫统一清运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生产废水</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COD、氨氮、SS、TP</w:t>
            </w:r>
          </w:p>
        </w:tc>
        <w:tc>
          <w:tcPr>
            <w:tcW w:w="1509"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生产废水进入沉淀池沉淀循环使用不外排。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一般工业固废</w:t>
            </w: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钢化玻璃裁切</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玻璃边角料(S1-1)</w:t>
            </w:r>
          </w:p>
        </w:tc>
        <w:tc>
          <w:tcPr>
            <w:tcW w:w="1509" w:type="pct"/>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钢化玻璃磨边</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碎玻璃渣(S1-2)</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钢化玻璃钻孔</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碎玻璃渣(S1-3)</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钢化玻璃清洗</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碎玻璃渣(S1-4)</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钢化玻璃检验</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不合格品(S1-5)</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中空玻璃裁剪</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铝条边角料(S2-1)</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中空玻璃灌干燥剂</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废包装袋（S2-3）</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中空玻璃检验</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不合格品（S2-5）</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夹层玻璃剪切</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PVB胶片、废包装箱(S3-1）</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夹层玻璃检验</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不合格品（S3-2）</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垃圾</w:t>
            </w: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办公生活</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生活垃圾</w:t>
            </w:r>
          </w:p>
        </w:tc>
        <w:tc>
          <w:tcPr>
            <w:tcW w:w="1509"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危险</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废物</w:t>
            </w: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中空玻璃涂胶</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废胶(S2-4)</w:t>
            </w:r>
          </w:p>
        </w:tc>
        <w:tc>
          <w:tcPr>
            <w:tcW w:w="1509" w:type="pct"/>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中空玻璃封胶</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废胶(S2-6)</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废气处理</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废活性炭</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中空玻璃涂胶</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废胶桶(S2-4)</w:t>
            </w:r>
          </w:p>
        </w:tc>
        <w:tc>
          <w:tcPr>
            <w:tcW w:w="1509" w:type="pct"/>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厂家回收利用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c>
          <w:tcPr>
            <w:tcW w:w="1322"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中空玻璃封胶</w:t>
            </w:r>
          </w:p>
        </w:tc>
        <w:tc>
          <w:tcPr>
            <w:tcW w:w="1628" w:type="pc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废胶桶(S2-6)</w:t>
            </w:r>
          </w:p>
        </w:tc>
        <w:tc>
          <w:tcPr>
            <w:tcW w:w="1509" w:type="pct"/>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lang w:val="en-US" w:eastAsia="zh-CN"/>
              </w:rPr>
            </w:pPr>
          </w:p>
        </w:tc>
      </w:tr>
    </w:tbl>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0" w:name="_Toc27108"/>
      <w:r>
        <w:rPr>
          <w:rFonts w:hint="default" w:ascii="Times New Roman" w:hAnsi="Times New Roman" w:eastAsia="宋体" w:cs="Times New Roman"/>
          <w:b/>
          <w:sz w:val="28"/>
          <w:szCs w:val="32"/>
        </w:rPr>
        <w:t>3.6项目变动情况</w:t>
      </w:r>
      <w:bookmarkEnd w:id="40"/>
    </w:p>
    <w:p>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3.6.1审批意见落实情况</w:t>
      </w:r>
      <w:bookmarkEnd w:id="37"/>
    </w:p>
    <w:p>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8"/>
        </w:rPr>
      </w:pPr>
      <w:bookmarkStart w:id="41" w:name="_Toc497001471"/>
      <w:r>
        <w:rPr>
          <w:rFonts w:hint="default" w:ascii="Times New Roman" w:hAnsi="Times New Roman" w:eastAsia="宋体" w:cs="Times New Roman"/>
          <w:color w:val="000000"/>
          <w:sz w:val="24"/>
          <w:szCs w:val="28"/>
        </w:rPr>
        <w:t>审批意见落实情况</w:t>
      </w:r>
      <w:bookmarkEnd w:id="41"/>
      <w:r>
        <w:rPr>
          <w:rFonts w:hint="default" w:ascii="Times New Roman" w:hAnsi="Times New Roman" w:eastAsia="宋体" w:cs="Times New Roman"/>
          <w:color w:val="000000"/>
          <w:sz w:val="24"/>
          <w:szCs w:val="28"/>
        </w:rPr>
        <w:t>一览表见表3.6-1。</w:t>
      </w: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表3.6-1  环评审批意见落实情况一览表</w:t>
      </w:r>
    </w:p>
    <w:tbl>
      <w:tblPr>
        <w:tblStyle w:val="29"/>
        <w:tblW w:w="8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9"/>
        <w:gridCol w:w="3747"/>
        <w:gridCol w:w="44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b/>
                <w:szCs w:val="21"/>
              </w:rPr>
            </w:pPr>
            <w:bookmarkStart w:id="42" w:name="_Hlk49447808"/>
            <w:r>
              <w:rPr>
                <w:rFonts w:hint="default" w:ascii="Times New Roman" w:hAnsi="Times New Roman" w:eastAsia="宋体" w:cs="Times New Roman"/>
                <w:b/>
                <w:szCs w:val="21"/>
              </w:rPr>
              <w:t>序号</w:t>
            </w:r>
          </w:p>
        </w:tc>
        <w:tc>
          <w:tcPr>
            <w:tcW w:w="3747"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审批意见内容</w:t>
            </w:r>
          </w:p>
        </w:tc>
        <w:tc>
          <w:tcPr>
            <w:tcW w:w="4400"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747"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建设单位：</w:t>
            </w:r>
            <w:r>
              <w:rPr>
                <w:rFonts w:hint="eastAsia" w:ascii="Times New Roman" w:hAnsi="Times New Roman" w:eastAsia="宋体" w:cs="Times New Roman"/>
                <w:szCs w:val="21"/>
                <w:lang w:val="en-US" w:eastAsia="zh-CN"/>
              </w:rPr>
              <w:t>山东省朗荣玻璃科技股份有限公司</w:t>
            </w:r>
          </w:p>
        </w:tc>
        <w:tc>
          <w:tcPr>
            <w:tcW w:w="440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建设单位名称不变。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747"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建设地点：</w:t>
            </w:r>
            <w:r>
              <w:rPr>
                <w:rFonts w:hint="default" w:ascii="Times New Roman" w:hAnsi="Times New Roman" w:eastAsia="宋体" w:cs="Times New Roman"/>
                <w:szCs w:val="21"/>
                <w:lang w:val="en-US" w:eastAsia="zh-CN"/>
              </w:rPr>
              <w:t>山东省曹县中小企业孵化园</w:t>
            </w:r>
          </w:p>
        </w:tc>
        <w:tc>
          <w:tcPr>
            <w:tcW w:w="440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建设地点不变。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c>
          <w:tcPr>
            <w:tcW w:w="3747" w:type="dxa"/>
            <w:vAlign w:val="center"/>
          </w:tcPr>
          <w:p>
            <w:pPr>
              <w:spacing w:line="300" w:lineRule="exact"/>
              <w:jc w:val="both"/>
              <w:rPr>
                <w:rFonts w:hint="default" w:ascii="Times New Roman" w:hAnsi="Times New Roman" w:eastAsia="宋体" w:cs="Times New Roman"/>
              </w:rPr>
            </w:pPr>
            <w:r>
              <w:rPr>
                <w:rFonts w:hint="default" w:ascii="Times New Roman" w:hAnsi="Times New Roman" w:eastAsia="宋体" w:cs="Times New Roman"/>
              </w:rPr>
              <w:t>项目生活污水经化粪池处理后由环卫部门统一清运。生产废水经厂内二级沉淀池沉淀处理后循环使用不外排。</w:t>
            </w:r>
          </w:p>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rPr>
              <w:t>地下水保护与污染防治按照"源头控制、分区防治、污染监控、应急响应"的原则，重点防渗区、一般防渗区分别按照《危险废物贮存污染控制标准》(GB18597-2023）和《一般工业固体废物贮存和填埋污染控制标准》(GB18599-2020）要求做好防渗工作，防止地下水和土壤受到污染。</w:t>
            </w:r>
          </w:p>
        </w:tc>
        <w:tc>
          <w:tcPr>
            <w:tcW w:w="4400"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项目生活污水经化粪池处理后由环卫部门统一清运。生产废水经厂内二级沉淀池沉淀处理后循环使用不外排。</w:t>
            </w:r>
          </w:p>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地下水保护与污染防治已按照"源头控制、分区防治、污染监控、应急响应"的原则，重点防渗区、一般防渗区分别按照《危险废物贮存污染控制标准》(GB18597-2023）和《一般工业固体废物贮存和填埋污染控制标准》(GB18599-2020）要求做好防渗工作，防止地下水和土壤受到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69"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3747"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项目组框、涂胶、封胶、夹胶合片工序产生的有机废气经集气罩收集后通过二级活性炭吸附装置处理，处理后的尾气由15m 高排气筒（DA001）排放。有组织 VOCs 排放速率、排放浓度满足山东省《挥发性有机物排放标准 第7部分：其他行业》(DB37/2801.7-2019)表1非重点行业对应限值。</w:t>
            </w:r>
          </w:p>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采取车间封闭及加强设备的密闭性等综合防治措施，加强废气的排放控制及治理。确保无组织VOCs 排放浓度满足《挥发性有机物排放标准 第7部分：其他行业》(DB37/2801.7-2019）表2厂界监控点浓度限值；厂区内 VOCs 无组织排放监控点浓度应满足《挥发性有机物无组织排放控制标准》(GB 37822-2019）表A.1限值</w:t>
            </w:r>
          </w:p>
        </w:tc>
        <w:tc>
          <w:tcPr>
            <w:tcW w:w="4400" w:type="dxa"/>
            <w:vAlign w:val="center"/>
          </w:tcPr>
          <w:p>
            <w:pPr>
              <w:spacing w:line="300" w:lineRule="exact"/>
              <w:jc w:val="both"/>
              <w:rPr>
                <w:rFonts w:hint="default" w:ascii="Times New Roman" w:hAnsi="Times New Roman" w:eastAsia="宋体" w:cs="Times New Roman"/>
              </w:rPr>
            </w:pPr>
            <w:r>
              <w:rPr>
                <w:rFonts w:hint="default" w:ascii="Times New Roman" w:hAnsi="Times New Roman" w:eastAsia="宋体" w:cs="Times New Roman"/>
              </w:rPr>
              <w:t>项目组框、涂胶、封胶、夹胶合片工序产生的有机废气</w:t>
            </w:r>
            <w:r>
              <w:rPr>
                <w:rFonts w:hint="default" w:ascii="Times New Roman" w:hAnsi="Times New Roman" w:eastAsia="宋体" w:cs="Times New Roman"/>
                <w:lang w:val="en-US" w:eastAsia="zh-CN"/>
              </w:rPr>
              <w:t>已</w:t>
            </w:r>
            <w:r>
              <w:rPr>
                <w:rFonts w:hint="default" w:ascii="Times New Roman" w:hAnsi="Times New Roman" w:eastAsia="宋体" w:cs="Times New Roman"/>
              </w:rPr>
              <w:t>经集气罩收集后通过二级活性炭吸附装置处理，处理后的尾气由15m 高排气筒（DA001）排放。有组织 VOCs 排放速率、排放浓度满足山东省《挥发性有机物排放标准 第7部分：其他行业》(DB37/2801.7-2019)表1非重点行业对应限值。</w:t>
            </w:r>
          </w:p>
          <w:p>
            <w:pPr>
              <w:spacing w:line="300" w:lineRule="exact"/>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已</w:t>
            </w:r>
            <w:r>
              <w:rPr>
                <w:rFonts w:hint="default" w:ascii="Times New Roman" w:hAnsi="Times New Roman" w:eastAsia="宋体" w:cs="Times New Roman"/>
              </w:rPr>
              <w:t>采取车间封闭及加强设备的密闭性等综合防治措施，加强废气的排放控制及治理。确保无组织VOCs 排放浓度满足《挥发性有机物排放标准 第7部分：其他行业》(DB37/2801.7-2019）表2厂界监控点浓度限值；厂区内 VOCs 无组织排放监控点浓度应满足《挥发性有机物无组织排放控制标准》(GB 37822-2019）表A.1限值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35" w:hRule="atLeast"/>
          <w:jc w:val="center"/>
        </w:trPr>
        <w:tc>
          <w:tcPr>
            <w:tcW w:w="529" w:type="dxa"/>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5</w:t>
            </w:r>
          </w:p>
        </w:tc>
        <w:tc>
          <w:tcPr>
            <w:tcW w:w="3747" w:type="dxa"/>
            <w:vAlign w:val="center"/>
          </w:tcPr>
          <w:p>
            <w:pPr>
              <w:pStyle w:val="1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落实噪声污染防治措施。优先选用低噪声设备，优化厂区平面布置，合理布置高噪声设备。对主要噪声源采取减振消声、隔声等措施，确保厂界噪声符合《工业企业厂界环境噪声排放标准》(GB12348-2008)2类标准要求</w:t>
            </w:r>
          </w:p>
        </w:tc>
        <w:tc>
          <w:tcPr>
            <w:tcW w:w="4400"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lang w:val="en-US" w:eastAsia="zh-CN"/>
              </w:rPr>
              <w:t>已落实噪声污染防治措施。选用了低噪声设备，优化厂区平面布置，合理布置高噪声设备。对主要噪声源采取减振消声、隔声等措施，确保厂界噪声符合《工业企业厂界环境噪声排放标准》(GB12348-2008)2类标准要求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6</w:t>
            </w:r>
          </w:p>
        </w:tc>
        <w:tc>
          <w:tcPr>
            <w:tcW w:w="3747"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rPr>
              <w:t>落实固体废物污染防治措施。按固体废物"资源化、减量化、无害化"处置原则，落实各类固体废物的收集、处置和综合利用措施。</w:t>
            </w:r>
          </w:p>
        </w:tc>
        <w:tc>
          <w:tcPr>
            <w:tcW w:w="4400" w:type="dxa"/>
            <w:vAlign w:val="center"/>
          </w:tcPr>
          <w:p>
            <w:pPr>
              <w:spacing w:line="300" w:lineRule="exact"/>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lang w:val="en-US" w:eastAsia="zh-CN"/>
              </w:rPr>
              <w:t>已</w:t>
            </w:r>
            <w:r>
              <w:rPr>
                <w:rFonts w:hint="default" w:ascii="Times New Roman" w:hAnsi="Times New Roman" w:eastAsia="宋体" w:cs="Times New Roman"/>
              </w:rPr>
              <w:t>落实固体废物污染防治措施。按固体废物"资源化、减量化、无害化"处置原则，落实各类固体废物的收集、处置和综合利用措施。</w:t>
            </w:r>
          </w:p>
        </w:tc>
      </w:tr>
      <w:bookmarkEnd w:id="42"/>
    </w:tbl>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宋体" w:cs="Times New Roman"/>
          <w:color w:val="FF0000"/>
          <w:sz w:val="24"/>
          <w:szCs w:val="28"/>
        </w:rPr>
      </w:pPr>
      <w:r>
        <w:rPr>
          <w:rFonts w:hint="default" w:ascii="Times New Roman" w:hAnsi="Times New Roman" w:eastAsia="宋体" w:cs="Times New Roman"/>
          <w:color w:val="000000"/>
          <w:sz w:val="24"/>
          <w:szCs w:val="28"/>
        </w:rPr>
        <w:t>3.6.2变更情况说明</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本项目验收期间，对照生态环境部办公厅发布的环办环评函【2020】688号对比如下：</w:t>
      </w:r>
    </w:p>
    <w:p>
      <w:pPr>
        <w:pStyle w:val="9"/>
        <w:keepNext w:val="0"/>
        <w:keepLines w:val="0"/>
        <w:pageBreakBefore w:val="0"/>
        <w:kinsoku/>
        <w:wordWrap/>
        <w:overflowPunct/>
        <w:topLinePunct w:val="0"/>
        <w:autoSpaceDE/>
        <w:autoSpaceDN/>
        <w:bidi w:val="0"/>
        <w:spacing w:after="0" w:line="240" w:lineRule="auto"/>
        <w:ind w:left="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表3.6-2  污染影响类建设项目重大变动清单对照表</w:t>
      </w:r>
    </w:p>
    <w:tbl>
      <w:tblPr>
        <w:tblStyle w:val="29"/>
        <w:tblW w:w="8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29"/>
        <w:gridCol w:w="4665"/>
        <w:gridCol w:w="34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4665"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重大变动清单内容</w:t>
            </w:r>
          </w:p>
        </w:tc>
        <w:tc>
          <w:tcPr>
            <w:tcW w:w="3482"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变更情况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建设项目开发、使用功能发生变化的</w:t>
            </w:r>
          </w:p>
        </w:tc>
        <w:tc>
          <w:tcPr>
            <w:tcW w:w="348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生产、处置或储存能力增大30%以上的</w:t>
            </w:r>
          </w:p>
        </w:tc>
        <w:tc>
          <w:tcPr>
            <w:tcW w:w="348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生产、处置或储存能力增大，导致废水第一类污染物排放量增加的</w:t>
            </w:r>
          </w:p>
        </w:tc>
        <w:tc>
          <w:tcPr>
            <w:tcW w:w="348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位于环境质量不达标区的建设项目生产、处置或储存能力增大，导致响应污染物排放量增加的（细颗粒物不达标区，响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482"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本项目生产、处置或储存能力未发生变化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重新选址；在原厂址附近调整（包括总平面布置变化）导致环境防护距离范围变化且新增敏感点的。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新增产品品种或生产工艺（含主要生产装置、设备及配套设施）、主要原辅料、燃料变化，导致以下情形之一：（1）新增排放污染物种类的（毒性、挥发性降低的除外）；（2）位于环境质量不达标区的建设项目响应污染物排放量增加的；（3）废水第一类污染物排放量增加的；（4）其他污染物排放量增加10%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物料运输、装卸、贮存方式变化，导致大气污染物无组织排放量增加10</w:t>
            </w:r>
            <w:r>
              <w:rPr>
                <w:rFonts w:hint="default" w:ascii="Times New Roman" w:hAnsi="Times New Roman" w:eastAsia="宋体" w:cs="Times New Roman"/>
                <w:szCs w:val="21"/>
                <w:lang w:val="en-US" w:eastAsia="zh-CN"/>
              </w:rPr>
              <w:t>%</w:t>
            </w:r>
            <w:r>
              <w:rPr>
                <w:rFonts w:hint="default" w:ascii="Times New Roman" w:hAnsi="Times New Roman" w:eastAsia="宋体" w:cs="Times New Roman"/>
                <w:szCs w:val="21"/>
              </w:rPr>
              <w:t>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废气、废水污染防治措施变化，导致第6条中所列情形之一（废气无组织排放改为有组织排放、污染防治措施强化或改进的除外）或大气污染物无组织排放量增加10%以上的。</w:t>
            </w:r>
          </w:p>
        </w:tc>
        <w:tc>
          <w:tcPr>
            <w:tcW w:w="3482" w:type="dxa"/>
            <w:vAlign w:val="center"/>
          </w:tcPr>
          <w:p>
            <w:pPr>
              <w:ind w:left="0" w:leftChars="0"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新增废水主要排放口；废水由间接排放改为直接排放；废水直接排放口位置变化，导致不利环境影响加重的。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新增废气主要排放口（废气无组织排放改为有组织排放的除外）；主要排放口排气筒高度降低10%及以上的。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噪声、土壤或地下水污染防治措施变化，导致不利环境影响加重的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固体废物利用处置方式由委托外单位利用处置改为自行利用处置的（自行利用处置设施单独开展环境影响评价的除外）；固体废物自行处置方式变化，导致不利环境影响加重的。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事故废水暂存能力或拦截设施变化，导致环境风险防范能力弱化或降低的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bl>
    <w:p>
      <w:pPr>
        <w:spacing w:line="360" w:lineRule="auto"/>
        <w:ind w:firstLine="480" w:firstLineChars="200"/>
        <w:rPr>
          <w:rFonts w:hint="default" w:ascii="Times New Roman" w:hAnsi="Times New Roman" w:eastAsia="宋体" w:cs="Times New Roman"/>
          <w:color w:val="000000"/>
          <w:sz w:val="24"/>
          <w:szCs w:val="28"/>
        </w:rPr>
      </w:pPr>
    </w:p>
    <w:p>
      <w:pPr>
        <w:widowControl/>
        <w:adjustRightInd w:val="0"/>
        <w:snapToGrid w:val="0"/>
        <w:spacing w:line="360" w:lineRule="auto"/>
        <w:ind w:firstLine="562" w:firstLineChars="200"/>
        <w:jc w:val="lef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43" w:name="_Toc27545"/>
      <w:r>
        <w:rPr>
          <w:rFonts w:hint="default" w:ascii="Times New Roman" w:hAnsi="Times New Roman" w:eastAsia="宋体" w:cs="Times New Roman"/>
          <w:b/>
          <w:sz w:val="32"/>
          <w:szCs w:val="32"/>
        </w:rPr>
        <w:t>4、环境保护设施</w:t>
      </w:r>
      <w:bookmarkEnd w:id="43"/>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4" w:name="_Toc32060"/>
      <w:r>
        <w:rPr>
          <w:rFonts w:hint="default" w:ascii="Times New Roman" w:hAnsi="Times New Roman" w:eastAsia="宋体" w:cs="Times New Roman"/>
          <w:b/>
          <w:sz w:val="28"/>
          <w:szCs w:val="32"/>
        </w:rPr>
        <w:t>4.1污染物治理/处置设施</w:t>
      </w:r>
      <w:bookmarkEnd w:id="44"/>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4.1.1废水</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szCs w:val="32"/>
        </w:rPr>
        <w:t>本项目</w:t>
      </w:r>
      <w:r>
        <w:rPr>
          <w:rFonts w:hint="default" w:ascii="Times New Roman" w:hAnsi="Times New Roman" w:eastAsia="宋体" w:cs="Times New Roman"/>
          <w:color w:val="000000"/>
          <w:sz w:val="24"/>
        </w:rPr>
        <w:t>废水主要为</w:t>
      </w:r>
      <w:r>
        <w:rPr>
          <w:rFonts w:hint="default" w:ascii="Times New Roman" w:hAnsi="Times New Roman" w:eastAsia="宋体" w:cs="Times New Roman"/>
          <w:color w:val="000000"/>
          <w:sz w:val="24"/>
          <w:lang w:val="en-US" w:eastAsia="zh-CN"/>
        </w:rPr>
        <w:t>生产废水</w:t>
      </w:r>
      <w:r>
        <w:rPr>
          <w:rFonts w:hint="default" w:ascii="Times New Roman" w:hAnsi="Times New Roman" w:eastAsia="宋体" w:cs="Times New Roman"/>
          <w:color w:val="000000"/>
          <w:sz w:val="24"/>
          <w:szCs w:val="32"/>
        </w:rPr>
        <w:t>、</w:t>
      </w:r>
      <w:r>
        <w:rPr>
          <w:rFonts w:hint="default" w:ascii="Times New Roman" w:hAnsi="Times New Roman" w:eastAsia="宋体" w:cs="Times New Roman"/>
          <w:color w:val="000000"/>
          <w:sz w:val="24"/>
        </w:rPr>
        <w:t>生活污水。</w:t>
      </w:r>
      <w:r>
        <w:rPr>
          <w:rFonts w:hint="default" w:ascii="Times New Roman" w:hAnsi="Times New Roman" w:eastAsia="宋体" w:cs="Times New Roman"/>
          <w:color w:val="000000"/>
          <w:sz w:val="24"/>
          <w:lang w:val="en-US" w:eastAsia="zh-CN"/>
        </w:rPr>
        <w:t>生产废水经厂内二级沉淀池沉淀处理后循环使用，不对外排放</w:t>
      </w:r>
      <w:r>
        <w:rPr>
          <w:rFonts w:hint="default" w:ascii="Times New Roman" w:hAnsi="Times New Roman" w:eastAsia="宋体" w:cs="Times New Roman"/>
          <w:color w:val="000000"/>
          <w:sz w:val="24"/>
        </w:rPr>
        <w:t>；生活污水排入厂区内部化粪池预处理后，环卫部门清运处理，不外排。</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4.1.2废气</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auto"/>
          <w:sz w:val="24"/>
          <w:szCs w:val="24"/>
          <w:lang w:val="en-US" w:eastAsia="zh-CN"/>
        </w:rPr>
        <w:t>本项目产生废气包括涂胶、封胶、夹胶合片工序产生的VOCs由集气罩+二级活性炭吸附装置处理后通过15米高排气筒DA001</w:t>
      </w:r>
      <w:r>
        <w:rPr>
          <w:rFonts w:hint="default" w:ascii="Times New Roman" w:hAnsi="Times New Roman" w:eastAsia="宋体" w:cs="Times New Roman"/>
          <w:color w:val="000000"/>
          <w:sz w:val="24"/>
          <w:szCs w:val="28"/>
          <w:lang w:val="en-US" w:eastAsia="zh-CN"/>
        </w:rPr>
        <w:t>。</w:t>
      </w:r>
    </w:p>
    <w:p>
      <w:pPr>
        <w:spacing w:line="360" w:lineRule="auto"/>
        <w:ind w:firstLine="480" w:firstLineChars="200"/>
        <w:rPr>
          <w:rFonts w:hint="default" w:ascii="Times New Roman" w:hAnsi="Times New Roman" w:eastAsia="宋体" w:cs="Times New Roman"/>
          <w:color w:val="000000"/>
          <w:sz w:val="24"/>
          <w:szCs w:val="28"/>
        </w:rPr>
        <w:sectPr>
          <w:headerReference r:id="rId6" w:type="first"/>
          <w:footerReference r:id="rId8" w:type="first"/>
          <w:headerReference r:id="rId5" w:type="default"/>
          <w:footerReference r:id="rId7" w:type="default"/>
          <w:pgSz w:w="11906" w:h="16838"/>
          <w:pgMar w:top="1440" w:right="1698" w:bottom="1440" w:left="158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8"/>
        <w:rPr>
          <w:rFonts w:hint="default" w:ascii="Times New Roman" w:hAnsi="Times New Roman" w:eastAsia="宋体" w:cs="Times New Roman"/>
        </w:rPr>
      </w:pPr>
    </w:p>
    <w:p>
      <w:pPr>
        <w:pStyle w:val="28"/>
        <w:rPr>
          <w:rFonts w:hint="default" w:ascii="Times New Roman" w:hAnsi="Times New Roman" w:eastAsia="宋体" w:cs="Times New Roman"/>
        </w:rPr>
      </w:pPr>
    </w:p>
    <w:p>
      <w:pPr>
        <w:pStyle w:val="28"/>
        <w:rPr>
          <w:rFonts w:hint="default" w:ascii="Times New Roman" w:hAnsi="Times New Roman" w:eastAsia="宋体" w:cs="Times New Roman"/>
        </w:rPr>
      </w:pPr>
    </w:p>
    <w:p>
      <w:pPr>
        <w:spacing w:line="360" w:lineRule="auto"/>
        <w:ind w:firstLine="480" w:firstLineChars="200"/>
        <w:rPr>
          <w:rFonts w:hint="default" w:ascii="Times New Roman" w:hAnsi="Times New Roman" w:eastAsia="宋体" w:cs="Times New Roman"/>
          <w:color w:val="000000"/>
          <w:sz w:val="24"/>
          <w:szCs w:val="28"/>
        </w:rPr>
      </w:pPr>
    </w:p>
    <w:p>
      <w:pPr>
        <w:spacing w:line="360" w:lineRule="auto"/>
        <w:ind w:firstLine="480" w:firstLineChars="200"/>
        <w:rPr>
          <w:rFonts w:hint="default" w:ascii="Times New Roman" w:hAnsi="Times New Roman" w:eastAsia="宋体" w:cs="Times New Roman"/>
          <w:color w:val="000000"/>
          <w:sz w:val="24"/>
          <w:szCs w:val="28"/>
        </w:rPr>
      </w:pPr>
    </w:p>
    <w:p>
      <w:pPr>
        <w:spacing w:line="360" w:lineRule="auto"/>
        <w:ind w:firstLine="480" w:firstLineChars="200"/>
        <w:rPr>
          <w:rFonts w:hint="default" w:ascii="Times New Roman" w:hAnsi="Times New Roman" w:eastAsia="宋体" w:cs="Times New Roman"/>
          <w:color w:val="000000"/>
          <w:sz w:val="24"/>
          <w:szCs w:val="28"/>
        </w:rPr>
      </w:pPr>
    </w:p>
    <w:p>
      <w:pPr>
        <w:spacing w:line="360" w:lineRule="auto"/>
        <w:ind w:firstLine="42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sz w:val="21"/>
        </w:rPr>
        <mc:AlternateContent>
          <mc:Choice Requires="wps">
            <w:drawing>
              <wp:anchor distT="0" distB="0" distL="114300" distR="114300" simplePos="0" relativeHeight="251675648" behindDoc="0" locked="0" layoutInCell="1" allowOverlap="1">
                <wp:simplePos x="0" y="0"/>
                <wp:positionH relativeFrom="column">
                  <wp:posOffset>6673850</wp:posOffset>
                </wp:positionH>
                <wp:positionV relativeFrom="paragraph">
                  <wp:posOffset>251460</wp:posOffset>
                </wp:positionV>
                <wp:extent cx="773430" cy="327025"/>
                <wp:effectExtent l="0" t="0" r="0" b="0"/>
                <wp:wrapNone/>
                <wp:docPr id="49" name="矩形 1451"/>
                <wp:cNvGraphicFramePr/>
                <a:graphic xmlns:a="http://schemas.openxmlformats.org/drawingml/2006/main">
                  <a:graphicData uri="http://schemas.microsoft.com/office/word/2010/wordprocessingShape">
                    <wps:wsp>
                      <wps:cNvSpPr/>
                      <wps:spPr>
                        <a:xfrm>
                          <a:off x="0" y="0"/>
                          <a:ext cx="773430" cy="327025"/>
                        </a:xfrm>
                        <a:prstGeom prst="rect">
                          <a:avLst/>
                        </a:prstGeom>
                        <a:noFill/>
                        <a:ln>
                          <a:noFill/>
                        </a:ln>
                      </wps:spPr>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15</w:t>
                            </w:r>
                            <w:r>
                              <w:rPr>
                                <w:rFonts w:hint="default" w:ascii="Times New Roman" w:hAnsi="Times New Roman" w:cs="Times New Roman"/>
                                <w:lang w:val="en-US" w:eastAsia="zh-CN"/>
                              </w:rPr>
                              <w:t>m</w:t>
                            </w:r>
                          </w:p>
                        </w:txbxContent>
                      </wps:txbx>
                      <wps:bodyPr upright="1"/>
                    </wps:wsp>
                  </a:graphicData>
                </a:graphic>
              </wp:anchor>
            </w:drawing>
          </mc:Choice>
          <mc:Fallback>
            <w:pict>
              <v:rect id="矩形 1451" o:spid="_x0000_s1026" o:spt="1" style="position:absolute;left:0pt;margin-left:525.5pt;margin-top:19.8pt;height:25.75pt;width:60.9pt;z-index:251675648;mso-width-relative:page;mso-height-relative:page;" filled="f" stroked="f" coordsize="21600,21600" o:gfxdata="UEsDBAoAAAAAAIdO4kAAAAAAAAAAAAAAAAAEAAAAZHJzL1BLAwQUAAAACACHTuJAiT7i09sAAAAL&#10;AQAADwAAAGRycy9kb3ducmV2LnhtbE2Py07DMBBF90j8gzVIbBC1XUShIU4XlRAVQqpIH2s3GZKI&#10;eJzGblL+nukKlldzdeecdHF2rRiwD40nA3qiQCAVvmyoMrDdvN4/gwjRUmlbT2jgBwMssuur1Cal&#10;H+kThzxWgkcoJNZAHWOXSBmKGp0NE98h8e3L985Gjn0ly96OPO5aOVVqJp1tiD/UtsNljcV3fnIG&#10;xmI97Dcfb3J9t195Oq6Oy3z3bsztjVYvICKe418ZLviMDhkzHfyJyiBazupRs0w08DCfgbg09NOU&#10;bQ4G5lqDzFL53yH7BVBLAwQUAAAACACHTuJAv5FvJaQBAABEAwAADgAAAGRycy9lMm9Eb2MueG1s&#10;rVJLbtswFNwX6B0I7mvKn9StYDkbI9kEbYC0B6Ap0iLAHx5pSz5NgexyiB6n6DX6SKlOm26y6IZ6&#10;P82bGXJzPVhDThKi9q6h81lFiXTCt9odGvr1y827D5TExF3LjXeyoWcZ6fX27ZtNH2q58J03rQSC&#10;IC7WfWhol1KoGYuik5bHmQ/SYVN5sDxhCgfWAu8R3Rq2qKr3rPfQBvBCxojV3dikEyK8BtArpYXc&#10;eXG00qURFaThCSXFTodIt4WtUlKkz0pFmYhpKCpN5cQlGO/zybYbXh+Ah06LiQJ/DYUXmizXDpde&#10;oHY8cXIE/Q+U1QJ89CrNhLdsFFIcQRXz6oU3Dx0PsmhBq2O4mB7/H6z4dLoHotuGrj5S4rjFG//5&#10;7enH90cyX13Nsz99iDWOPYR7mLKIYRY7KLD5izLIUDw9XzyVQyICi+v1crVEtwW2lot1tbjKmOz5&#10;5wAx3UpvSQ4aCnhlxUl+uotpHP09knc5f6ONwTqvjfurgJi5wjLfkWGO0rAfJtp7355R7DGAPnS4&#10;qqgr42hu4TQ9hHx7f+YF9Pnxb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T7i09sAAAALAQAA&#10;DwAAAAAAAAABACAAAAAiAAAAZHJzL2Rvd25yZXYueG1sUEsBAhQAFAAAAAgAh07iQL+RbyWkAQAA&#10;RAMAAA4AAAAAAAAAAQAgAAAAKgEAAGRycy9lMm9Eb2MueG1sUEsFBgAAAAAGAAYAWQEAAEAFAAAA&#10;AA==&#10;">
                <v:fill on="f" focussize="0,0"/>
                <v:stroke on="f"/>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15</w:t>
                      </w:r>
                      <w:r>
                        <w:rPr>
                          <w:rFonts w:hint="default" w:ascii="Times New Roman" w:hAnsi="Times New Roman" w:cs="Times New Roman"/>
                          <w:lang w:val="en-US" w:eastAsia="zh-CN"/>
                        </w:rPr>
                        <w:t>m</w:t>
                      </w:r>
                    </w:p>
                  </w:txbxContent>
                </v:textbox>
              </v:rect>
            </w:pict>
          </mc:Fallback>
        </mc:AlternateContent>
      </w:r>
    </w:p>
    <w:p>
      <w:pPr>
        <w:pStyle w:val="44"/>
        <w:rPr>
          <w:rFonts w:hint="default" w:ascii="Times New Roman" w:hAnsi="Times New Roman" w:eastAsia="宋体" w:cs="Times New Roman"/>
        </w:rPr>
      </w:pPr>
      <w:r>
        <w:rPr>
          <w:rFonts w:hint="default" w:ascii="Times New Roman" w:hAnsi="Times New Roman" w:eastAsia="宋体" w:cs="Times New Roman"/>
          <w:sz w:val="24"/>
        </w:rPr>
        <mc:AlternateContent>
          <mc:Choice Requires="wps">
            <w:drawing>
              <wp:anchor distT="0" distB="0" distL="114300" distR="114300" simplePos="0" relativeHeight="251665408" behindDoc="0" locked="0" layoutInCell="1" allowOverlap="1">
                <wp:simplePos x="0" y="0"/>
                <wp:positionH relativeFrom="column">
                  <wp:posOffset>3129280</wp:posOffset>
                </wp:positionH>
                <wp:positionV relativeFrom="paragraph">
                  <wp:posOffset>257175</wp:posOffset>
                </wp:positionV>
                <wp:extent cx="2379345" cy="377825"/>
                <wp:effectExtent l="5080" t="4445" r="15875" b="17780"/>
                <wp:wrapNone/>
                <wp:docPr id="47" name="矩形 1409"/>
                <wp:cNvGraphicFramePr/>
                <a:graphic xmlns:a="http://schemas.openxmlformats.org/drawingml/2006/main">
                  <a:graphicData uri="http://schemas.microsoft.com/office/word/2010/wordprocessingShape">
                    <wps:wsp>
                      <wps:cNvSpPr/>
                      <wps:spPr>
                        <a:xfrm>
                          <a:off x="4239895" y="3434080"/>
                          <a:ext cx="2379345" cy="377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二级活性炭</w:t>
                            </w:r>
                          </w:p>
                        </w:txbxContent>
                      </wps:txbx>
                      <wps:bodyPr upright="1"/>
                    </wps:wsp>
                  </a:graphicData>
                </a:graphic>
              </wp:anchor>
            </w:drawing>
          </mc:Choice>
          <mc:Fallback>
            <w:pict>
              <v:rect id="矩形 1409" o:spid="_x0000_s1026" o:spt="1" style="position:absolute;left:0pt;margin-left:246.4pt;margin-top:20.25pt;height:29.75pt;width:187.35pt;z-index:251665408;mso-width-relative:page;mso-height-relative:page;" fillcolor="#FFFFFF" filled="t" stroked="t" coordsize="21600,21600" o:gfxdata="UEsDBAoAAAAAAIdO4kAAAAAAAAAAAAAAAAAEAAAAZHJzL1BLAwQUAAAACACHTuJAkH61EtcAAAAK&#10;AQAADwAAAGRycy9kb3ducmV2LnhtbE2PsU7DQAyGdyTe4WQkNnrXAKUNuXQAFYmxTRc2JzFJIOeL&#10;cpc28PSYCbbf8qffn7Pt7Hp1ojF0ni0sFwYUceXrjhsLx2J3swYVInKNvWey8EUBtvnlRYZp7c+8&#10;p9MhNkpKOKRooY1xSLUOVUsOw8IPxLJ796PDKOPY6HrEs5S7XifGrLTDjuVCiwM9tVR9HiZnoeyS&#10;I37vixfjNrvb+DoXH9Pbs7XXV0vzCCrSHP9g+NUXdcjFqfQT10H1Fu42iahHCeYelADr1YOEUkhj&#10;DOg80/9fyH8AUEsDBBQAAAAIAIdO4kA/ao/GDgIAADkEAAAOAAAAZHJzL2Uyb0RvYy54bWytU8uu&#10;0zAQ3SPxD5b3NOmLtlHTu6CUDYIr3csHuI6TWPJLHrdJvwaJHR/B5yB+g7ET7gsWXZCFcxyfnJk5&#10;M97e9FqRs/AgrSnpdJJTIgy3lTRNSb/cH96sKYHATMWUNaKkFwH0Zvf61bZzhZjZ1qpKeIIiBorO&#10;lbQNwRVZBrwVmsHEOmHwsLZes4Bb32SVZx2qa5XN8vxt1llfOW+5AMCv++GQjor+GkFb15KLveUn&#10;LUwYVL1QLGBJ0EoHdJeyrWvBw+e6BhGIKilWGtKKQRAf45rttqxoPHOt5GMK7JoUXtSkmTQY9EFq&#10;zwIjJy//ktKSewu2DhNudTYUkhzBKqb5C2/uWuZEqgWtBvdgOvw/Wf7pfOuJrEq6WFFimMaO//r6&#10;/eePb2S6yDfRn85BgbQ7d+vHHSCMxfa11/GNZZAeFWbzzXqzpORS0vlivsjXo7+iD4QjYTZfbeYL&#10;JPDIWK3Ws2UMkD0qOQ/hg7CaRFBSj/1LtrLzRwgD9Q8lBgarZHWQSqWNb47vlCdnhr0+pGdUf0ZT&#10;hnQl3SwxNuEMB7jGwUGoHZoApknxnv0BT4Xz9PxLOCa2Z9AOCSSFSGOFlkH4hFrBqvemIuHi0GeD&#10;94vGZLSoKFECr2NEiRmYVNcw0Ttl0MLYpKEtEYX+2KNMhEdbXbDDJ+dl06Kl05R6PMGJSt6P0x9H&#10;9uk+iT7e+N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H61EtcAAAAKAQAADwAAAAAAAAABACAA&#10;AAAiAAAAZHJzL2Rvd25yZXYueG1sUEsBAhQAFAAAAAgAh07iQD9qj8YOAgAAOQQAAA4AAAAAAAAA&#10;AQAgAAAAJgEAAGRycy9lMm9Eb2MueG1sUEsFBgAAAAAGAAYAWQEAAKYFAAAAAA==&#10;">
                <v:fill on="t" focussize="0,0"/>
                <v:stroke color="#000000" joinstyle="miter"/>
                <v:imagedata o:title=""/>
                <o:lock v:ext="edit" aspectratio="f"/>
                <v:textbox>
                  <w:txbxContent>
                    <w:p>
                      <w:pPr>
                        <w:rPr>
                          <w:rFonts w:hint="default"/>
                          <w:lang w:val="en-US" w:eastAsia="zh-CN"/>
                        </w:rPr>
                      </w:pPr>
                      <w:r>
                        <w:rPr>
                          <w:rFonts w:hint="eastAsia"/>
                          <w:lang w:val="en-US" w:eastAsia="zh-CN"/>
                        </w:rPr>
                        <w:t>二级活性炭</w:t>
                      </w:r>
                    </w:p>
                  </w:txbxContent>
                </v:textbox>
              </v:rect>
            </w:pict>
          </mc:Fallback>
        </mc:AlternateContent>
      </w:r>
      <w:r>
        <w:rPr>
          <w:rFonts w:hint="default" w:ascii="Times New Roman" w:hAnsi="Times New Roman" w:eastAsia="宋体" w:cs="Times New Roman"/>
        </w:rPr>
        <mc:AlternateContent>
          <mc:Choice Requires="wps">
            <w:drawing>
              <wp:anchor distT="0" distB="0" distL="114300" distR="114300" simplePos="0" relativeHeight="251672576" behindDoc="0" locked="0" layoutInCell="1" allowOverlap="1">
                <wp:simplePos x="0" y="0"/>
                <wp:positionH relativeFrom="column">
                  <wp:posOffset>1904365</wp:posOffset>
                </wp:positionH>
                <wp:positionV relativeFrom="paragraph">
                  <wp:posOffset>42545</wp:posOffset>
                </wp:positionV>
                <wp:extent cx="1374140" cy="294005"/>
                <wp:effectExtent l="0" t="0" r="0" b="0"/>
                <wp:wrapNone/>
                <wp:docPr id="53" name="矩形 1458"/>
                <wp:cNvGraphicFramePr/>
                <a:graphic xmlns:a="http://schemas.openxmlformats.org/drawingml/2006/main">
                  <a:graphicData uri="http://schemas.microsoft.com/office/word/2010/wordprocessingShape">
                    <wps:wsp>
                      <wps:cNvSpPr/>
                      <wps:spPr>
                        <a:xfrm>
                          <a:off x="0" y="0"/>
                          <a:ext cx="1374140" cy="294005"/>
                        </a:xfrm>
                        <a:prstGeom prst="rect">
                          <a:avLst/>
                        </a:prstGeom>
                        <a:noFill/>
                        <a:ln>
                          <a:noFill/>
                        </a:ln>
                      </wps:spPr>
                      <wps:txb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VOCs</w:t>
                            </w:r>
                          </w:p>
                        </w:txbxContent>
                      </wps:txbx>
                      <wps:bodyPr upright="1"/>
                    </wps:wsp>
                  </a:graphicData>
                </a:graphic>
              </wp:anchor>
            </w:drawing>
          </mc:Choice>
          <mc:Fallback>
            <w:pict>
              <v:rect id="矩形 1458" o:spid="_x0000_s1026" o:spt="1" style="position:absolute;left:0pt;margin-left:149.95pt;margin-top:3.35pt;height:23.15pt;width:108.2pt;z-index:251672576;mso-width-relative:page;mso-height-relative:page;" filled="f" stroked="f" coordsize="21600,21600" o:gfxdata="UEsDBAoAAAAAAIdO4kAAAAAAAAAAAAAAAAAEAAAAZHJzL1BLAwQUAAAACACHTuJABOqbmtoAAAAI&#10;AQAADwAAAGRycy9kb3ducmV2LnhtbE2PQUvDQBCF74L/YRnBi9jdtBhNzKaHglikUEy1520yJsHs&#10;bJrdJvXfdzzp7Q3v8d432fJsOzHi4FtHGqKZAoFUuqqlWsPH7uX+CYQPhirTOUINP+hhmV9fZSat&#10;3ETvOBahFlxCPjUamhD6VEpfNmiNn7keib0vN1gT+BxqWQ1m4nLbyblSsbSmJV5oTI+rBsvv4mQ1&#10;TOV23O82r3J7t187Oq6Pq+LzTevbm0g9gwh4Dn9h+MVndMiZ6eBOVHnRaZgnScJRDfEjCPYfongB&#10;4sBioUDmmfz/QH4BUEsDBBQAAAAIAIdO4kABDGMjpQEAAEUDAAAOAAAAZHJzL2Uyb0RvYy54bWyt&#10;UsuO0zAU3SPxD5b31EmnhZmo6WyqYYNgpIEPcB27seSXfN0m/RokdnwEn4P4Da6d0IGZzSzYOPeV&#10;c8859uZ2tIacZATtXUvrRUWJdMJ32h1a+uXz3ZtrSiBx13HjnWzpWQK93b5+tRlCI5e+96aTkSCI&#10;g2YILe1TCg1jIHppOSx8kA6bykfLE6bxwLrIB0S3hi2r6i0bfOxC9EICYHU3NemMGF8C6JXSQu68&#10;OFrp0oQapeEJJUGvA9BtYauUFOmTUiATMS1FpamcuATjfT7ZdsObQ+Sh12KmwF9C4Ykmy7XDpReo&#10;HU+cHKN+BmW1iB68SgvhLZuEFEdQRV098eah50EWLWg1hIvp8P9gxcfTfSS6a+n6ihLHLd74r6/f&#10;f/74RurV+jr7MwRocOwh3Mc5Awyz2FFFm78og4zF0/PFUzkmIrBYX71b1Su0W2BvebOqqnUGZY9/&#10;hwjpvfSW5KClEe+sWMlPHyBNo39G8jLn77QxWOeNcf8UEDNXWCY8UcxRGvfjzHvvuzOqPYaoDz2u&#10;qguTPITuFk7zS8jX93deQB9f//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OqbmtoAAAAIAQAA&#10;DwAAAAAAAAABACAAAAAiAAAAZHJzL2Rvd25yZXYueG1sUEsBAhQAFAAAAAgAh07iQAEMYyOlAQAA&#10;RQMAAA4AAAAAAAAAAQAgAAAAKQEAAGRycy9lMm9Eb2MueG1sUEsFBgAAAAAGAAYAWQEAAEAFAAAA&#10;AA==&#10;">
                <v:fill on="f" focussize="0,0"/>
                <v:stroke on="f"/>
                <v:imagedata o:title=""/>
                <o:lock v:ext="edit" aspectratio="f"/>
                <v:textbox>
                  <w:txbxContent>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VOCs</w:t>
                      </w:r>
                    </w:p>
                  </w:txbxContent>
                </v:textbox>
              </v:rect>
            </w:pict>
          </mc:Fallback>
        </mc:AlternateContent>
      </w:r>
      <w:r>
        <w:rPr>
          <w:rFonts w:hint="default" w:ascii="Times New Roman" w:hAnsi="Times New Roman" w:eastAsia="宋体" w:cs="Times New Roman"/>
        </w:rPr>
        <mc:AlternateContent>
          <mc:Choice Requires="wps">
            <w:drawing>
              <wp:anchor distT="0" distB="0" distL="114300" distR="114300" simplePos="0" relativeHeight="251670528" behindDoc="0" locked="0" layoutInCell="1" allowOverlap="1">
                <wp:simplePos x="0" y="0"/>
                <wp:positionH relativeFrom="column">
                  <wp:posOffset>132080</wp:posOffset>
                </wp:positionH>
                <wp:positionV relativeFrom="paragraph">
                  <wp:posOffset>188595</wp:posOffset>
                </wp:positionV>
                <wp:extent cx="1889760" cy="496570"/>
                <wp:effectExtent l="4445" t="5080" r="10795" b="12700"/>
                <wp:wrapNone/>
                <wp:docPr id="44" name="矩形 1405"/>
                <wp:cNvGraphicFramePr/>
                <a:graphic xmlns:a="http://schemas.openxmlformats.org/drawingml/2006/main">
                  <a:graphicData uri="http://schemas.microsoft.com/office/word/2010/wordprocessingShape">
                    <wps:wsp>
                      <wps:cNvSpPr/>
                      <wps:spPr>
                        <a:xfrm>
                          <a:off x="0" y="0"/>
                          <a:ext cx="1889760" cy="496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cs="Times New Roman" w:eastAsiaTheme="minorEastAsia"/>
                                <w:sz w:val="21"/>
                                <w:szCs w:val="21"/>
                                <w:lang w:val="en-US" w:eastAsia="zh-CN"/>
                              </w:rPr>
                            </w:pPr>
                            <w:r>
                              <w:rPr>
                                <w:rFonts w:hint="eastAsia" w:cs="Times New Roman"/>
                                <w:color w:val="auto"/>
                                <w:sz w:val="21"/>
                                <w:szCs w:val="21"/>
                                <w:lang w:val="en-US" w:eastAsia="zh-CN"/>
                              </w:rPr>
                              <w:t>涂胶</w:t>
                            </w:r>
                            <w:r>
                              <w:rPr>
                                <w:rFonts w:hint="default" w:ascii="Times New Roman" w:hAnsi="Times New Roman" w:cs="Times New Roman"/>
                                <w:color w:val="auto"/>
                                <w:sz w:val="21"/>
                                <w:szCs w:val="21"/>
                                <w:lang w:val="en-US" w:eastAsia="zh-CN"/>
                              </w:rPr>
                              <w:t>、封胶、夹胶合片工序</w:t>
                            </w:r>
                            <w:r>
                              <w:rPr>
                                <w:rFonts w:hint="eastAsia" w:ascii="Times New Roman" w:hAnsi="Times New Roman" w:cs="Times New Roman"/>
                                <w:sz w:val="21"/>
                                <w:szCs w:val="21"/>
                                <w:lang w:val="en-US" w:eastAsia="zh-CN"/>
                              </w:rPr>
                              <w:t>产生的</w:t>
                            </w:r>
                            <w:r>
                              <w:rPr>
                                <w:rFonts w:hint="default" w:ascii="Times New Roman" w:hAnsi="Times New Roman" w:cs="Times New Roman"/>
                                <w:sz w:val="21"/>
                                <w:szCs w:val="21"/>
                                <w:lang w:val="en-US" w:eastAsia="zh-CN"/>
                              </w:rPr>
                              <w:t>废气</w:t>
                            </w:r>
                          </w:p>
                          <w:p>
                            <w:pPr>
                              <w:jc w:val="center"/>
                              <w:rPr>
                                <w:rFonts w:hint="default" w:eastAsiaTheme="minorEastAsia"/>
                                <w:lang w:val="en-US" w:eastAsia="zh-CN"/>
                              </w:rPr>
                            </w:pPr>
                          </w:p>
                        </w:txbxContent>
                      </wps:txbx>
                      <wps:bodyPr upright="1"/>
                    </wps:wsp>
                  </a:graphicData>
                </a:graphic>
              </wp:anchor>
            </w:drawing>
          </mc:Choice>
          <mc:Fallback>
            <w:pict>
              <v:rect id="矩形 1405" o:spid="_x0000_s1026" o:spt="1" style="position:absolute;left:0pt;margin-left:10.4pt;margin-top:14.85pt;height:39.1pt;width:148.8pt;z-index:251670528;mso-width-relative:page;mso-height-relative:page;" fillcolor="#FFFFFF" filled="t" stroked="t" coordsize="21600,21600" o:gfxdata="UEsDBAoAAAAAAIdO4kAAAAAAAAAAAAAAAAAEAAAAZHJzL1BLAwQUAAAACACHTuJAOnPMUdcAAAAJ&#10;AQAADwAAAGRycy9kb3ducmV2LnhtbE2PwU7DMBBE70j8g7VI3KidFNEmxOkBVCSObXrhtomXJBDb&#10;Uey0ga9nOcFptJrRzNtit9hBnGkKvXcakpUCQa7xpnethlO1v9uCCBGdwcE70vBFAXbl9VWBufEX&#10;d6DzMbaCS1zIUUMX45hLGZqOLIaVH8mx9+4ni5HPqZVmwguX20GmSj1Ii73jhQ5Heuqo+TzOVkPd&#10;pyf8PlQvymb7dXxdqo/57Vnr25tEPYKItMS/MPziMzqUzFT72ZkgBg2pYvLImm1AsL9Otvcgag6q&#10;TQayLOT/D8ofUEsDBBQAAAAIAIdO4kD5PNVLCAIAAC0EAAAOAAAAZHJzL2Uyb0RvYy54bWytUzuO&#10;2zAQ7QPkDgT7WLJhe23B8hZxnCZIFtjkADRJSQT4A4e25NMESJdD5DhBrpEh7Xg/2cLFqpCG4vDN&#10;e2+Gq9vBaHKQAZSzNR2PSkqk5U4o29b029ftuwUlEJkVTDsra3qUQG/Xb9+sel/JieucFjIQBLFQ&#10;9b6mXYy+KgrgnTQMRs5Li5uNC4ZFXIa2EIH1iG50MSnLedG7IHxwXALg381pk54RwzWArmkUlxvH&#10;90baeEINUrOIkqBTHug6s20ayeOXpgEZia4pKo35jUUw3qV3sV6xqg3Md4qfKbBrKDzTZJiyWPQC&#10;tWGRkX1Q/0EZxYMD18QRd6Y4CcmOoIpx+cyb+455mbWg1eAvpsPrwfLPh7tAlKjpdEqJZQY7/uf7&#10;z9+/fpDxtJwlf3oPFabd+7twXgGGSezQBJO+KIMM2dPjxVM5RMLx53ixWN7M0W6Oe9PlfHaTTS8e&#10;TvsA8aN0hqSgpgF7lq1kh08QsSKm/ktJxcBpJbZK67wI7e69DuTAsL/b/CTKeORJmrakr+lyNpkh&#10;D4ZD2+CwYGg8Cgfb5npPTsBj4DI/LwEnYhsG3YlARkhprDIqymQXqzrJxAcrSDx69NbinaKJjJGC&#10;Ei3xCqYoZ0am9DWZqE5bFJkac2pFiuKwGxAmhTsnjtjVvQ+q7dDScaaednCKsjvniU9j+nidQR9u&#10;+f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nPMUdcAAAAJAQAADwAAAAAAAAABACAAAAAiAAAA&#10;ZHJzL2Rvd25yZXYueG1sUEsBAhQAFAAAAAgAh07iQPk81UsIAgAALQQAAA4AAAAAAAAAAQAgAAAA&#10;JgEAAGRycy9lMm9Eb2MueG1sUEsFBgAAAAAGAAYAWQEAAKAFAAAAAA==&#10;">
                <v:fill on="t" focussize="0,0"/>
                <v:stroke color="#000000" joinstyle="miter"/>
                <v:imagedata o:title=""/>
                <o:lock v:ext="edit" aspectratio="f"/>
                <v:textbox>
                  <w:txbxContent>
                    <w:p>
                      <w:pPr>
                        <w:jc w:val="center"/>
                        <w:rPr>
                          <w:rFonts w:hint="default" w:ascii="Times New Roman" w:hAnsi="Times New Roman" w:cs="Times New Roman" w:eastAsiaTheme="minorEastAsia"/>
                          <w:sz w:val="21"/>
                          <w:szCs w:val="21"/>
                          <w:lang w:val="en-US" w:eastAsia="zh-CN"/>
                        </w:rPr>
                      </w:pPr>
                      <w:r>
                        <w:rPr>
                          <w:rFonts w:hint="eastAsia" w:cs="Times New Roman"/>
                          <w:color w:val="auto"/>
                          <w:sz w:val="21"/>
                          <w:szCs w:val="21"/>
                          <w:lang w:val="en-US" w:eastAsia="zh-CN"/>
                        </w:rPr>
                        <w:t>涂胶</w:t>
                      </w:r>
                      <w:r>
                        <w:rPr>
                          <w:rFonts w:hint="default" w:ascii="Times New Roman" w:hAnsi="Times New Roman" w:cs="Times New Roman"/>
                          <w:color w:val="auto"/>
                          <w:sz w:val="21"/>
                          <w:szCs w:val="21"/>
                          <w:lang w:val="en-US" w:eastAsia="zh-CN"/>
                        </w:rPr>
                        <w:t>、封胶、夹胶合片工序</w:t>
                      </w:r>
                      <w:r>
                        <w:rPr>
                          <w:rFonts w:hint="eastAsia" w:ascii="Times New Roman" w:hAnsi="Times New Roman" w:cs="Times New Roman"/>
                          <w:sz w:val="21"/>
                          <w:szCs w:val="21"/>
                          <w:lang w:val="en-US" w:eastAsia="zh-CN"/>
                        </w:rPr>
                        <w:t>产生的</w:t>
                      </w:r>
                      <w:r>
                        <w:rPr>
                          <w:rFonts w:hint="default" w:ascii="Times New Roman" w:hAnsi="Times New Roman" w:cs="Times New Roman"/>
                          <w:sz w:val="21"/>
                          <w:szCs w:val="21"/>
                          <w:lang w:val="en-US" w:eastAsia="zh-CN"/>
                        </w:rPr>
                        <w:t>废气</w:t>
                      </w:r>
                    </w:p>
                    <w:p>
                      <w:pPr>
                        <w:jc w:val="center"/>
                        <w:rPr>
                          <w:rFonts w:hint="default" w:eastAsiaTheme="minorEastAsia"/>
                          <w:lang w:val="en-US" w:eastAsia="zh-CN"/>
                        </w:rPr>
                      </w:pPr>
                    </w:p>
                  </w:txbxContent>
                </v:textbox>
              </v:rect>
            </w:pict>
          </mc:Fallback>
        </mc:AlternateContent>
      </w:r>
      <w:r>
        <w:rPr>
          <w:rFonts w:hint="default" w:ascii="Times New Roman" w:hAnsi="Times New Roman" w:eastAsia="宋体" w:cs="Times New Roman"/>
          <w:sz w:val="24"/>
        </w:rPr>
        <mc:AlternateContent>
          <mc:Choice Requires="wpg">
            <w:drawing>
              <wp:anchor distT="0" distB="0" distL="114300" distR="114300" simplePos="0" relativeHeight="251667456" behindDoc="0" locked="0" layoutInCell="1" allowOverlap="1">
                <wp:simplePos x="0" y="0"/>
                <wp:positionH relativeFrom="column">
                  <wp:posOffset>6878955</wp:posOffset>
                </wp:positionH>
                <wp:positionV relativeFrom="paragraph">
                  <wp:posOffset>174625</wp:posOffset>
                </wp:positionV>
                <wp:extent cx="378460" cy="604520"/>
                <wp:effectExtent l="4445" t="4445" r="17145" b="19685"/>
                <wp:wrapNone/>
                <wp:docPr id="60" name="组合 59"/>
                <wp:cNvGraphicFramePr/>
                <a:graphic xmlns:a="http://schemas.openxmlformats.org/drawingml/2006/main">
                  <a:graphicData uri="http://schemas.microsoft.com/office/word/2010/wordprocessingGroup">
                    <wpg:wgp>
                      <wpg:cNvGrpSpPr/>
                      <wpg:grpSpPr>
                        <a:xfrm rot="0">
                          <a:off x="7524115" y="3521710"/>
                          <a:ext cx="378460" cy="604520"/>
                          <a:chOff x="-296029" y="1136914"/>
                          <a:chExt cx="351521" cy="793344"/>
                        </a:xfrm>
                      </wpg:grpSpPr>
                      <wps:wsp>
                        <wps:cNvPr id="58" name="矩形 85"/>
                        <wps:cNvSpPr/>
                        <wps:spPr>
                          <a:xfrm>
                            <a:off x="-296029" y="1806923"/>
                            <a:ext cx="351521" cy="123335"/>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s:wsp>
                        <wps:cNvPr id="59" name="矩形 86"/>
                        <wps:cNvSpPr/>
                        <wps:spPr>
                          <a:xfrm>
                            <a:off x="-239998" y="1136914"/>
                            <a:ext cx="212918" cy="656675"/>
                          </a:xfrm>
                          <a:prstGeom prst="rect">
                            <a:avLst/>
                          </a:prstGeom>
                          <a:noFill/>
                          <a:ln w="9525" cap="flat" cmpd="sng">
                            <a:solidFill>
                              <a:srgbClr val="000000"/>
                            </a:solidFill>
                            <a:prstDash val="solid"/>
                            <a:miter lim="800000"/>
                            <a:headEnd type="none" w="med" len="med"/>
                            <a:tailEnd type="none" w="med" len="med"/>
                          </a:ln>
                        </wps:spPr>
                        <wps:txbx>
                          <w:txbxContent>
                            <w:p>
                              <w:pPr>
                                <w:jc w:val="center"/>
                                <w:rPr>
                                  <w:color w:val="000000" w:themeColor="text1"/>
                                  <w14:textFill>
                                    <w14:solidFill>
                                      <w14:schemeClr w14:val="tx1"/>
                                    </w14:solidFill>
                                  </w14:textFill>
                                </w:rPr>
                              </w:pPr>
                            </w:p>
                          </w:txbxContent>
                        </wps:txbx>
                        <wps:bodyPr anchor="ctr" anchorCtr="0" upright="1"/>
                      </wps:wsp>
                    </wpg:wgp>
                  </a:graphicData>
                </a:graphic>
              </wp:anchor>
            </w:drawing>
          </mc:Choice>
          <mc:Fallback>
            <w:pict>
              <v:group id="组合 59" o:spid="_x0000_s1026" o:spt="203" style="position:absolute;left:0pt;margin-left:541.65pt;margin-top:13.75pt;height:47.6pt;width:29.8pt;z-index:251667456;mso-width-relative:page;mso-height-relative:page;" coordorigin="-296029,1136914" coordsize="351521,793344" o:gfxdata="UEsDBAoAAAAAAIdO4kAAAAAAAAAAAAAAAAAEAAAAZHJzL1BLAwQUAAAACACHTuJAvwL1XNwAAAAM&#10;AQAADwAAAGRycy9kb3ducmV2LnhtbE2PwW7CMAyG75P2DpEn7TaStGOwrima0LYTQhpMQtxMY9qK&#10;Jqma0MLbL5y2m3/50+/P+eJiWjZQ7xtnFciJAEa2dLqxlYKf7efTHJgPaDW2zpKCK3lYFPd3OWba&#10;jfabhk2oWCyxPkMFdQhdxrkvazLoJ64jG3dH1xsMMfYV1z2Osdy0PBHihRtsbLxQY0fLmsrT5mwU&#10;fI04vqfyY1idjsvrfjtd71aSlHp8kOINWKBL+IPhph/VoYhOB3e22rM2ZjFP08gqSGZTYDdCPiev&#10;wA5xSpIZ8CLn/58ofgFQSwMEFAAAAAgAh07iQC8HcU3bAgAA2wcAAA4AAABkcnMvZTJvRG9jLnht&#10;bO1VS27bMBDdF+gdCO4TWZIlW4LlLOIkm6ItkPYANEV9APEDkrbsfRdd9gYFuusZih4n6DU6pGQn&#10;TjdGi+yqhUCKw8d5b95Qi6sd79CWadNKUeDwcoIRE1SWragL/PHD7cUcI2OJKEknBSvwnhl8tXz9&#10;atGrnEWykV3JNAIQYfJeFbixVuVBYGjDODGXUjEBi5XUnFiY6jooNekBnXdBNJmkQS91qbSkzBj4&#10;uhoW8YiozwGUVdVStpJ0w5mwA6pmHbFAyTStMnjps60qRu27qjLMoq7AwNT6NxwC47V7B8sFyWtN&#10;VNPSMQVyTgrPOHHSCjj0CLUilqCNbv+A4i3V0sjKXlLJg4GIVwRYhJNn2txpuVGeS533tTqKDoV6&#10;pvpfw9K32/catWWBU5BEEA4V//Xj08OXzyjJnDq9qnMIutPqXr3X44d6mDnCu0pzpKUX1s2BEtoV&#10;eJZE0zBMMNoXOE6icBaOWrOdRRQC4tl86o6kEJBOpkk0rtMGCuYQLqIsnUSZRwjDOM3C6VAt2twc&#10;MJIQoAeMWRbHUx8RDEktF4HL/Zhqr8Cv5lFE828i3jdEMV8b4/QZRUygeUYRv35/+PkNzZNBRB90&#10;VNDkBsQ8yPdEthPS80maRfFA+ijbE8phFMexxz9SJrnSxt4xyZEbFFhDB3hjku0bY6F8EHoIcecK&#10;edt2ne+CTqC+wFkSQdUogc6uoKNgyBW4w4jawxjZtaXb4jYbXa+vO422xHWXf1y2cMRJmDtvRUwz&#10;xPmlgRRvLVwlXcsLPD/uJnnDSHkjSmT3Ctwo4BbCLjPOSow6BpeWG/mULWm7cyIho054QxyUd26w&#10;u/UOYNxwLcs9lJAI2ki4HajVeJxc2+G22Cjd1g0oGnqKo5uG3S9vK2iDU1ulLguXBHjvHFvFWZaB&#10;N6HZTnrpYKsojLIQ1n03Jmk6+2+rMwz4grbydxfc+b6bxv+T+6k8nXtDP/6Tl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vwL1XNwAAAAMAQAADwAAAAAAAAABACAAAAAiAAAAZHJzL2Rvd25yZXYu&#10;eG1sUEsBAhQAFAAAAAgAh07iQC8HcU3bAgAA2wcAAA4AAAAAAAAAAQAgAAAAKwEAAGRycy9lMm9E&#10;b2MueG1sUEsFBgAAAAAGAAYAWQEAAHgGAAAAAA==&#10;">
                <o:lock v:ext="edit" aspectratio="f"/>
                <v:rect id="矩形 85" o:spid="_x0000_s1026" o:spt="1" style="position:absolute;left:-296029;top:1806923;height:123335;width:351521;v-text-anchor:middle;" filled="f" stroked="t" coordsize="21600,21600" o:gfxdata="UEsDBAoAAAAAAIdO4kAAAAAAAAAAAAAAAAAEAAAAZHJzL1BLAwQUAAAACACHTuJACaEl47sAAADb&#10;AAAADwAAAGRycy9kb3ducmV2LnhtbEVPy4rCMBTdD/gP4QqzG1OnOEo1uigIA87CF4q7S3Nti81N&#10;baJt/94shFkeznux6kwlntS40rKC8SgCQZxZXXKu4HhYf81AOI+ssbJMCnpysFoOPhaYaNvyjp57&#10;n4sQwi5BBYX3dSKlywoy6Ea2Jg7c1TYGfYBNLnWDbQg3lfyOoh9psOTQUGBNaUHZbf8wCso+3l7+&#10;0vM03dxPsbP9ycUTo9TncBzNQXjq/L/47f7VCiZhbPgSfo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El47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rect id="矩形 86" o:spid="_x0000_s1026" o:spt="1" style="position:absolute;left:-239998;top:1136914;height:656675;width:212918;v-text-anchor:middle;" filled="f" stroked="t" coordsize="21600,21600" o:gfxdata="UEsDBAoAAAAAAIdO4kAAAAAAAAAAAAAAAAAEAAAAZHJzL1BLAwQUAAAACACHTuJAZu2AeL8AAADb&#10;AAAADwAAAGRycy9kb3ducmV2LnhtbEWPzWrDMBCE74W8g9hAbrWcGLepGyUHQ6GQHFo3OOS2WFvb&#10;1Fo5lvLjt68KhRyHmfmGWW1uphMXGlxrWcE8ikEQV1a3XCvYf709LkE4j6yxs0wKRnKwWU8eVphp&#10;e+VPuhS+FgHCLkMFjfd9JqWrGjLoItsTB+/bDgZ9kEMt9YDXADedXMTxkzTYclhosKe8oeqnOBsF&#10;7Zh8HHf54TnfnsrE2bF0SWqUmk3n8SsITzd/D/+337WC9AX+voQf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tgHi/&#10;AAAA2w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v:group>
            </w:pict>
          </mc:Fallback>
        </mc:AlternateContent>
      </w:r>
      <w:r>
        <w:rPr>
          <w:rFonts w:hint="default" w:ascii="Times New Roman" w:hAnsi="Times New Roman" w:eastAsia="宋体" w:cs="Times New Roman"/>
        </w:rPr>
        <mc:AlternateContent>
          <mc:Choice Requires="wps">
            <w:drawing>
              <wp:anchor distT="0" distB="0" distL="114300" distR="114300" simplePos="0" relativeHeight="251671552" behindDoc="0" locked="0" layoutInCell="1" allowOverlap="1">
                <wp:simplePos x="0" y="0"/>
                <wp:positionH relativeFrom="column">
                  <wp:posOffset>2021840</wp:posOffset>
                </wp:positionH>
                <wp:positionV relativeFrom="paragraph">
                  <wp:posOffset>433070</wp:posOffset>
                </wp:positionV>
                <wp:extent cx="1099820" cy="3810"/>
                <wp:effectExtent l="0" t="38100" r="5080" b="34290"/>
                <wp:wrapNone/>
                <wp:docPr id="48" name="直线 1408"/>
                <wp:cNvGraphicFramePr/>
                <a:graphic xmlns:a="http://schemas.openxmlformats.org/drawingml/2006/main">
                  <a:graphicData uri="http://schemas.microsoft.com/office/word/2010/wordprocessingShape">
                    <wps:wsp>
                      <wps:cNvCnPr>
                        <a:stCxn id="44" idx="3"/>
                      </wps:cNvCnPr>
                      <wps:spPr>
                        <a:xfrm flipV="1">
                          <a:off x="0" y="0"/>
                          <a:ext cx="1099820"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8" o:spid="_x0000_s1026" o:spt="20" style="position:absolute;left:0pt;flip:y;margin-left:159.2pt;margin-top:34.1pt;height:0.3pt;width:86.6pt;z-index:251671552;mso-width-relative:page;mso-height-relative:page;" filled="f" stroked="t" coordsize="21600,21600" o:gfxdata="UEsDBAoAAAAAAIdO4kAAAAAAAAAAAAAAAAAEAAAAZHJzL1BLAwQUAAAACACHTuJA52epHdoAAAAJ&#10;AQAADwAAAGRycy9kb3ducmV2LnhtbE2PwU7DMAyG70i8Q2QkbizNKFXXNd1h2iROCDaEtFvWmLas&#10;cbokWwdPT3aCo+1Pv7+/XFxMz87ofGdJgpgkwJBqqztqJLxv1w85MB8UadVbQgnf6GFR3d6UqtB2&#10;pDc8b0LDYgj5QkloQxgKzn3dolF+YgekePu0zqgQR9dw7dQYw03Pp0mScaM6ih9aNeCyxfqwORkJ&#10;s+34ZF/d4SMV3XH3s/oKw/NLkPL+TiRzYAEv4Q+Gq35Uhyo67e2JtGe9hEeRpxGVkOVTYBFIZyID&#10;tr8ucuBVyf83qH4BUEsDBBQAAAAIAIdO4kCcDsAvDAIAABcEAAAOAAAAZHJzL2Uyb0RvYy54bWyt&#10;UzuO2zAQ7QPkDgT7WJLXG9iC5S3sbJogWSCffkyREgH+QNKWfJZcI1WaHGevkSFl2JsNAmwRFRTJ&#10;GT7Oe/O4vhu1Ikfug7SmodWspIQbZltpuoZ+/XL/ZklJiGBaUNbwhp54oHeb16/Wg6v53PZWtdwT&#10;BDGhHlxD+xhdXRSB9VxDmFnHDQaF9RoiLn1XtB4GRNeqmJfl22KwvnXeMh4C7u6mID0j+pcAWiEk&#10;4zvLDpqbOKF6riAipdBLF+gmVysEZ/GTEIFHohqKTGMe8RKc79NYbNZQdx5cL9m5BHhJCc84aZAG&#10;L71A7SACOXj5F5SWzNtgRZwxq4uJSFYEWVTlM20+9+B45oJSB3cRPfw/WPbx+OCJbBu6wL4b0Njx&#10;x+8/Hn/+ItWiXCZ9BhdqTNuaB58YhrgdzXRiQfE/NvQmpRV/5KVFcNOJUXhNhJLuG/otq4S8CZ7D&#10;JpwuTeBjJAw3q3K1Ws4xxDB2s6xyjwqoE0q63/kQ33OrSZo0VEmTJIIajh9CTHVcU9K2MmRo6Op2&#10;fouIgH4V6BOcaoecg+ny2WCVbO+lUpmg7/Zb5ckRkmfyl/kh9adp6fodhH7Ky6HJTT2H9p1pSTw5&#10;FNPgI6KpBM1bShTHN5dm2XcRpLpmRi/BdOof2UhLmbPKk7BJ4r1tT9i/g/Oy61GN6tIJ9EvW4uzt&#10;ZMin64x0fc+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dnqR3aAAAACQEAAA8AAAAAAAAAAQAg&#10;AAAAIgAAAGRycy9kb3ducmV2LnhtbFBLAQIUABQAAAAIAIdO4kCcDsAvDAIAABcEAAAOAAAAAAAA&#10;AAEAIAAAACkBAABkcnMvZTJvRG9jLnhtbFBLBQYAAAAABgAGAFkBAACnBQAAAAA=&#10;">
                <v:fill on="f" focussize="0,0"/>
                <v:stroke color="#000000" joinstyle="round" endarrow="block"/>
                <v:imagedata o:title=""/>
                <o:lock v:ext="edit" aspectratio="f"/>
              </v:line>
            </w:pict>
          </mc:Fallback>
        </mc:AlternateContent>
      </w:r>
    </w:p>
    <w:p>
      <w:pPr>
        <w:pStyle w:val="24"/>
        <w:jc w:val="both"/>
        <w:rPr>
          <w:rFonts w:hint="default" w:ascii="Times New Roman" w:hAnsi="Times New Roman" w:eastAsia="宋体" w:cs="Times New Roman"/>
          <w:color w:val="000000"/>
          <w:sz w:val="24"/>
          <w:szCs w:val="28"/>
        </w:rPr>
      </w:pPr>
      <w:r>
        <w:rPr>
          <w:rFonts w:hint="default" w:ascii="Times New Roman" w:hAnsi="Times New Roman"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5501640</wp:posOffset>
                </wp:positionH>
                <wp:positionV relativeFrom="paragraph">
                  <wp:posOffset>52070</wp:posOffset>
                </wp:positionV>
                <wp:extent cx="1318260" cy="1270"/>
                <wp:effectExtent l="0" t="36830" r="15240" b="38100"/>
                <wp:wrapNone/>
                <wp:docPr id="52" name="直线 1415"/>
                <wp:cNvGraphicFramePr/>
                <a:graphic xmlns:a="http://schemas.openxmlformats.org/drawingml/2006/main">
                  <a:graphicData uri="http://schemas.microsoft.com/office/word/2010/wordprocessingShape">
                    <wps:wsp>
                      <wps:cNvCnPr/>
                      <wps:spPr>
                        <a:xfrm>
                          <a:off x="6153150" y="3646170"/>
                          <a:ext cx="1318260"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5" o:spid="_x0000_s1026" o:spt="20" style="position:absolute;left:0pt;margin-left:433.2pt;margin-top:4.1pt;height:0.1pt;width:103.8pt;z-index:251666432;mso-width-relative:page;mso-height-relative:page;" filled="f" stroked="t" coordsize="21600,21600" o:gfxdata="UEsDBAoAAAAAAIdO4kAAAAAAAAAAAAAAAAAEAAAAZHJzL1BLAwQUAAAACACHTuJAAMgQhtgAAAAI&#10;AQAADwAAAGRycy9kb3ducmV2LnhtbE2PQU/DMAyF70j8h8hI3FjSqSpVaboD0rhsgLYhBLesMW1F&#10;41RNupV/j3eCm+339Py9cjW7XpxwDJ0nDclCgUCqve2o0fB2WN/lIEI0ZE3vCTX8YIBVdX1VmsL6&#10;M+3wtI+N4BAKhdHQxjgUUoa6RWfCwg9IrH350ZnI69hIO5ozh7teLpXKpDMd8YfWDPjYYv29n5yG&#10;3Xa9yd8301yPn0/Jy+F1+/wRcq1vbxL1ACLiHP/McMFndKiY6egnskH0GvIsS9nKwxLERVf3KZc7&#10;8iEFWZXyf4HqF1BLAwQUAAAACACHTuJAeNgoWgMCAADyAwAADgAAAGRycy9lMm9Eb2MueG1srVNL&#10;btswEN0X6B0I7muZcuSmguUs4qabojXQ9gBjkpII8AeStuyz9BpdddPj5BodSm7cpgiQRbSQhpyn&#10;N/Meh6ubo9HkIENUzjaUzeaUSMudULZr6Levd2+uKYkJrADtrGzoSUZ6s379ajX4Wpaud1rIQJDE&#10;xnrwDe1T8nVRRN5LA3HmvLSYbF0wkHAZukIEGJDd6KKcz5fF4ILwwXEZI+5upiQ9M4bnELq2VVxu&#10;HN8badPEGqSGhJJir3yk67HbtpU8fW7bKBPRDUWlaXxjEYx3+V2sV1B3AXyv+LkFeE4LjzQZUBaL&#10;PlBtIAHZB/UflVE8uOjaNOPOFJOQ0RFUweaPvPnSg5ejFrQ6+gfT48vR8k+HbSBKNLQqKbFg8MTv&#10;v/+4//mLsCtWZX8GH2uE3dptOK+i34Ys9tgGk78ogxwbumTVglXo7Kmhi+XVkr09+yuPiXAEsAW7&#10;LpcI4Ihg5ZQuLjw+xPRBOkNy0FCtbFYPNRw+xoS1EfoHkre1JUND31VlhYyAo9jiCGBoPMqJthv/&#10;jU4rcae0zn/E0O1udSAHyOMwPlkh8v4Dy0U2EPsJN6amQekliPdWkHTy6JPF+0FzC0YKSrTE65Qj&#10;JIQ6gdIXZAoKbKefQGN5bbGLbPRkbY52TpzwaPY+qK5HN9jYac7gKIw9n8c2z9rf65HpclX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yBCG2AAAAAgBAAAPAAAAAAAAAAEAIAAAACIAAABkcnMv&#10;ZG93bnJldi54bWxQSwECFAAUAAAACACHTuJAeNgoWgMCAADyAwAADgAAAAAAAAABACAAAAAnAQAA&#10;ZHJzL2Uyb0RvYy54bWxQSwUGAAAAAAYABgBZAQAAnAUAAAAA&#10;">
                <v:fill on="f" focussize="0,0"/>
                <v:stroke color="#000000" joinstyle="round" endarrow="block"/>
                <v:imagedata o:title=""/>
                <o:lock v:ext="edit" aspectratio="f"/>
              </v:line>
            </w:pict>
          </mc:Fallback>
        </mc:AlternateContent>
      </w:r>
    </w:p>
    <w:p>
      <w:pPr>
        <w:rPr>
          <w:rFonts w:hint="default" w:ascii="Times New Roman" w:hAnsi="Times New Roman" w:eastAsia="宋体" w:cs="Times New Roman"/>
          <w:color w:val="000000"/>
          <w:sz w:val="24"/>
          <w:szCs w:val="28"/>
        </w:rPr>
      </w:pPr>
      <w:r>
        <w:rPr>
          <w:rFonts w:hint="default" w:ascii="Times New Roman" w:hAnsi="Times New Roman" w:eastAsia="宋体" w:cs="Times New Roman"/>
          <w:sz w:val="24"/>
        </w:rPr>
        <mc:AlternateContent>
          <mc:Choice Requires="wps">
            <w:drawing>
              <wp:anchor distT="0" distB="0" distL="114300" distR="114300" simplePos="0" relativeHeight="251674624" behindDoc="0" locked="0" layoutInCell="1" allowOverlap="1">
                <wp:simplePos x="0" y="0"/>
                <wp:positionH relativeFrom="column">
                  <wp:posOffset>6630670</wp:posOffset>
                </wp:positionH>
                <wp:positionV relativeFrom="paragraph">
                  <wp:posOffset>101600</wp:posOffset>
                </wp:positionV>
                <wp:extent cx="1018540" cy="339725"/>
                <wp:effectExtent l="0" t="0" r="0" b="0"/>
                <wp:wrapNone/>
                <wp:docPr id="74" name="矩形 74"/>
                <wp:cNvGraphicFramePr/>
                <a:graphic xmlns:a="http://schemas.openxmlformats.org/drawingml/2006/main">
                  <a:graphicData uri="http://schemas.microsoft.com/office/word/2010/wordprocessingShape">
                    <wps:wsp>
                      <wps:cNvSpPr/>
                      <wps:spPr>
                        <a:xfrm>
                          <a:off x="0" y="0"/>
                          <a:ext cx="1018540" cy="3397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DA001排气筒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2.1pt;margin-top:8pt;height:26.75pt;width:80.2pt;z-index:251674624;v-text-anchor:middle;mso-width-relative:page;mso-height-relative:page;" filled="f" stroked="f" coordsize="21600,21600" o:gfxdata="UEsDBAoAAAAAAIdO4kAAAAAAAAAAAAAAAAAEAAAAZHJzL1BLAwQUAAAACACHTuJAWiqF0NcAAAAL&#10;AQAADwAAAGRycy9kb3ducmV2LnhtbE2PXUvDMBSG7wX/QziCdy5ZqWWrTQcKIrILcbr7NMnaYnNS&#10;krTd/r1nV3p3Xs7D+1Htzm5gsw2x9yhhvRLALGpvemwlfH+9PmyAxaTQqMGjlXCxEXb17U2lSuMX&#10;/LTzIbWMTDCWSkKX0lhyHnVnnYorP1qk38kHpxLJ0HIT1ELmbuCZEAV3qkdK6NRoXzqrfw6Tk3D0&#10;p+fF6Qbf58tHP73tg9abvZT3d2vxBCzZc/qD4VqfqkNNnRo/oYlsIC3yPCOWroJGXYlM5AWwRkKx&#10;fQReV/z/hvoXUEsDBBQAAAAIAIdO4kCWgG/sYAIAAK8EAAAOAAAAZHJzL2Uyb0RvYy54bWytVEtu&#10;2zAQ3RfoHQjua8mOUydG5MCIkaJA0ARIi65pirII8FeStuxepkB3PUSPU/QafaSUxEi7yKJeyDOc&#10;0ZuZxze6uNxrRXbCB2lNRcejkhJhuK2l2VT008frN2eUhMhMzZQ1oqIHEejl4vWri87NxcS2VtXC&#10;E4CYMO9cRdsY3bwoAm+FZmFknTAINtZrFuH6TVF71gFdq2JSlm+LzvraectFCDhd9UE6IPqXANqm&#10;kVysLN9qYWKP6oViESOFVrpAF7nbphE83jZNEJGoimLSmJ8oAnudnsXigs03nrlW8qEF9pIWns2k&#10;mTQo+gi1YpGRrZd/QWnJvQ22iSNuddEPkhnBFOPyGTf3LXMizwKqg3skPfw/WP5hd+eJrCs6m1Ji&#10;mMaN//7249fP7wQHYKdzYY6ke3fnBy/ATKPuG6/TP4Yg+8zo4ZFRsY+E43Bcjs9OpyCbI3Zycj6b&#10;nCbQ4ult50N8J6wmyaiox41lItnuJsQ+9SElFTP2WiqFczZXhnSoMJmVCZ9Big0kAFM7jBPMhhKm&#10;NtA4jz5DHr2bIFcstGTHIIxglax7KWgZoW4ldUXPyvQb2lUGXScu+umTFffr/UDJ2tYH0Ohtr6/g&#10;+LVEhRsW4h3zEBQ6xMrFWzwaZdG2HSxKWuu//us85eOeEaWkg0DR5pct84IS9d5AAefjaSI2Zmd6&#10;OpvA8ceR9XHEbPWVxahjLLfj2Uz5UT2Yjbf6MzZzmaoixAxH7Z68wbmK/eJgt7lYLnMaVOxYvDH3&#10;jifw/oqW22gbmW8vEdWzM/AHHef7H3YuLcqxn7OevjO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oqhdDXAAAACwEAAA8AAAAAAAAAAQAgAAAAIgAAAGRycy9kb3ducmV2LnhtbFBLAQIUABQAAAAI&#10;AIdO4kCWgG/sYAIAAK8EAAAOAAAAAAAAAAEAIAAAACYBAABkcnMvZTJvRG9jLnhtbFBLBQYAAAAA&#10;BgAGAFkBAAD4BQAAAAA=&#10;">
                <v:fill on="f" focussize="0,0"/>
                <v:stroke on="f" weight="1pt" miterlimit="8" joinstyle="miter"/>
                <v:imagedata o:title=""/>
                <o:lock v:ext="edit" aspectratio="f"/>
                <v:textbox>
                  <w:txbxContent>
                    <w:p>
                      <w:pPr>
                        <w:jc w:val="both"/>
                        <w:rPr>
                          <w:rFonts w:hint="default" w:ascii="Times New Roman" w:hAnsi="Times New Roman" w:cs="Times New Roman"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imes New Roman" w:hAnsi="Times New Roman" w:cs="Times New Roman"/>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DA001排气筒</w:t>
                      </w:r>
                    </w:p>
                  </w:txbxContent>
                </v:textbox>
              </v:rect>
            </w:pict>
          </mc:Fallback>
        </mc:AlternateContent>
      </w:r>
    </w:p>
    <w:p>
      <w:pPr>
        <w:pStyle w:val="28"/>
        <w:rPr>
          <w:rFonts w:hint="default" w:ascii="Times New Roman" w:hAnsi="Times New Roman" w:eastAsia="宋体" w:cs="Times New Roman"/>
          <w:color w:val="000000"/>
          <w:sz w:val="24"/>
          <w:szCs w:val="28"/>
        </w:rPr>
      </w:pPr>
    </w:p>
    <w:p>
      <w:pPr>
        <w:rPr>
          <w:rFonts w:hint="default" w:ascii="Times New Roman" w:hAnsi="Times New Roman" w:eastAsia="宋体" w:cs="Times New Roman"/>
          <w:color w:val="000000"/>
          <w:sz w:val="24"/>
          <w:szCs w:val="28"/>
        </w:rPr>
      </w:pPr>
    </w:p>
    <w:p>
      <w:pPr>
        <w:pStyle w:val="24"/>
        <w:rPr>
          <w:rFonts w:hint="default" w:ascii="Times New Roman" w:hAnsi="Times New Roman" w:eastAsia="宋体" w:cs="Times New Roman"/>
          <w:color w:val="000000"/>
          <w:sz w:val="24"/>
          <w:szCs w:val="28"/>
        </w:rPr>
        <w:sectPr>
          <w:pgSz w:w="16838" w:h="11906" w:orient="landscape"/>
          <w:pgMar w:top="1588" w:right="1440" w:bottom="1698"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sz w:val="24"/>
        </w:rPr>
        <mc:AlternateContent>
          <mc:Choice Requires="wps">
            <w:drawing>
              <wp:anchor distT="0" distB="0" distL="114300" distR="114300" simplePos="0" relativeHeight="251669504" behindDoc="0" locked="0" layoutInCell="1" allowOverlap="1">
                <wp:simplePos x="0" y="0"/>
                <wp:positionH relativeFrom="column">
                  <wp:posOffset>1655445</wp:posOffset>
                </wp:positionH>
                <wp:positionV relativeFrom="paragraph">
                  <wp:posOffset>621665</wp:posOffset>
                </wp:positionV>
                <wp:extent cx="4526915" cy="450850"/>
                <wp:effectExtent l="0" t="0" r="0" b="0"/>
                <wp:wrapNone/>
                <wp:docPr id="109" name="矩形 1484"/>
                <wp:cNvGraphicFramePr/>
                <a:graphic xmlns:a="http://schemas.openxmlformats.org/drawingml/2006/main">
                  <a:graphicData uri="http://schemas.microsoft.com/office/word/2010/wordprocessingShape">
                    <wps:wsp>
                      <wps:cNvSpPr/>
                      <wps:spPr>
                        <a:xfrm>
                          <a:off x="2569845" y="5026025"/>
                          <a:ext cx="4526915" cy="450850"/>
                        </a:xfrm>
                        <a:prstGeom prst="rect">
                          <a:avLst/>
                        </a:prstGeom>
                        <a:noFill/>
                        <a:ln>
                          <a:noFill/>
                        </a:ln>
                      </wps:spPr>
                      <wps:txbx>
                        <w:txbxContent>
                          <w:p>
                            <w:pPr>
                              <w:jc w:val="center"/>
                              <w:rPr>
                                <w:rFonts w:hint="eastAsia" w:ascii="黑体" w:hAnsi="黑体" w:eastAsia="黑体" w:cs="黑体"/>
                                <w:lang w:val="en-US" w:eastAsia="zh-CN"/>
                              </w:rPr>
                            </w:pPr>
                            <w:r>
                              <w:rPr>
                                <w:rFonts w:hint="eastAsia" w:ascii="黑体" w:hAnsi="黑体" w:eastAsia="黑体" w:cs="黑体"/>
                                <w:lang w:val="en-US" w:eastAsia="zh-CN"/>
                              </w:rPr>
                              <w:t>图4-1：废气处理示意图</w:t>
                            </w:r>
                          </w:p>
                        </w:txbxContent>
                      </wps:txbx>
                      <wps:bodyPr upright="1"/>
                    </wps:wsp>
                  </a:graphicData>
                </a:graphic>
              </wp:anchor>
            </w:drawing>
          </mc:Choice>
          <mc:Fallback>
            <w:pict>
              <v:rect id="矩形 1484" o:spid="_x0000_s1026" o:spt="1" style="position:absolute;left:0pt;margin-left:130.35pt;margin-top:48.95pt;height:35.5pt;width:356.45pt;z-index:251669504;mso-width-relative:page;mso-height-relative:page;" filled="f" stroked="f" coordsize="21600,21600" o:gfxdata="UEsDBAoAAAAAAIdO4kAAAAAAAAAAAAAAAAAEAAAAZHJzL1BLAwQUAAAACACHTuJAlxNFr9sAAAAK&#10;AQAADwAAAGRycy9kb3ducmV2LnhtbE2PQUvDQBCF74L/YRnBi9hNKyRNmk0PBbGIUExtz9vsmASz&#10;s2l2m9R/73jS4/A+3vsmX19tJ0YcfOtIwXwWgUCqnGmpVvCxf35cgvBBk9GdI1TwjR7Wxe1NrjPj&#10;JnrHsQy14BLymVbQhNBnUvqqQav9zPVInH26werA51BLM+iJy20nF1EUS6tb4oVG97hpsPoqL1bB&#10;VO3G4/7tRe4ejltH5+15Ux5elbq/m0crEAGv4Q+GX31Wh4KdTu5CxotOwSKOEkYVpEkKgoE0eYpB&#10;nJiMlynIIpf/Xyh+AFBLAwQUAAAACACHTuJAoPuvT7QBAABSAwAADgAAAGRycy9lMm9Eb2MueG1s&#10;rVNLbtswEN0X6B0I7mtKgmTYguVsjHRTtAHSHoCmSIsAfyBpSz5Nge56iB6n6DU6pJSkTTZZZEPN&#10;DB/ezHtD7W4mrdCF+yCt6XC5KjDihtlemlOHv329/bDBKERqeqqs4R2+8oBv9u/f7UbX8soOVvXc&#10;IyAxoR1dh4cYXUtIYAPXNKys4wYuhfWaRkj9ifSejsCuFamKYk1G63vnLeMhQPUwX+KF0b+G0Aoh&#10;GT9YdtbcxJnVc0UjSAqDdAHv87RCcBa/CBF4RKrDoDTmE5pAfEwn2e9oe/LUDZItI9DXjPBMk6bS&#10;QNNHqgONFJ29fEGlJfM2WBFXzGoyC8mOgIqyeObN/UAdz1rA6uAeTQ9vR8s+X+48kj28hGKLkaEa&#10;Vv7n+8/fv36gst7UyaDRhRZw9+7OL1mAMKmdhNfpCzrQ1OGqWW83dYPRtcNNUa2LqpkN5lNEDAB1&#10;U623JQAYIOqm2DR5A+SJyfkQP3KrUQo67GGB2Vd6+RQidAfoAyQ1NvZWKpWXqMx/BQCmCknDz+Om&#10;KE7HadFwtP0VpJ+dl6cBWpVp1AwHq3Oj5VmkXf6bZ9TTr7D/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cTRa/bAAAACgEAAA8AAAAAAAAAAQAgAAAAIgAAAGRycy9kb3ducmV2LnhtbFBLAQIUABQA&#10;AAAIAIdO4kCg+69PtAEAAFIDAAAOAAAAAAAAAAEAIAAAACoBAABkcnMvZTJvRG9jLnhtbFBLBQYA&#10;AAAABgAGAFkBAABQBQAAAAA=&#10;">
                <v:fill on="f" focussize="0,0"/>
                <v:stroke on="f"/>
                <v:imagedata o:title=""/>
                <o:lock v:ext="edit" aspectratio="f"/>
                <v:textbox>
                  <w:txbxContent>
                    <w:p>
                      <w:pPr>
                        <w:jc w:val="center"/>
                        <w:rPr>
                          <w:rFonts w:hint="eastAsia" w:ascii="黑体" w:hAnsi="黑体" w:eastAsia="黑体" w:cs="黑体"/>
                          <w:lang w:val="en-US" w:eastAsia="zh-CN"/>
                        </w:rPr>
                      </w:pPr>
                      <w:r>
                        <w:rPr>
                          <w:rFonts w:hint="eastAsia" w:ascii="黑体" w:hAnsi="黑体" w:eastAsia="黑体" w:cs="黑体"/>
                          <w:lang w:val="en-US" w:eastAsia="zh-CN"/>
                        </w:rPr>
                        <w:t>图4-1：废气处理示意图</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8480" behindDoc="0" locked="0" layoutInCell="1" allowOverlap="1">
                <wp:simplePos x="0" y="0"/>
                <wp:positionH relativeFrom="column">
                  <wp:posOffset>7320280</wp:posOffset>
                </wp:positionH>
                <wp:positionV relativeFrom="paragraph">
                  <wp:posOffset>285115</wp:posOffset>
                </wp:positionV>
                <wp:extent cx="895350" cy="450850"/>
                <wp:effectExtent l="0" t="0" r="0" b="0"/>
                <wp:wrapNone/>
                <wp:docPr id="61" name="矩形 1425"/>
                <wp:cNvGraphicFramePr/>
                <a:graphic xmlns:a="http://schemas.openxmlformats.org/drawingml/2006/main">
                  <a:graphicData uri="http://schemas.microsoft.com/office/word/2010/wordprocessingShape">
                    <wps:wsp>
                      <wps:cNvSpPr/>
                      <wps:spPr>
                        <a:xfrm>
                          <a:off x="8234680" y="4689475"/>
                          <a:ext cx="895350" cy="450850"/>
                        </a:xfrm>
                        <a:prstGeom prst="rect">
                          <a:avLst/>
                        </a:prstGeom>
                        <a:noFill/>
                        <a:ln>
                          <a:noFill/>
                        </a:ln>
                      </wps:spPr>
                      <wps:txbx>
                        <w:txbxContent>
                          <w:p>
                            <w:pPr>
                              <w:rPr>
                                <w:rFonts w:hint="default"/>
                                <w:lang w:val="en-US" w:eastAsia="zh-CN"/>
                              </w:rPr>
                            </w:pPr>
                          </w:p>
                        </w:txbxContent>
                      </wps:txbx>
                      <wps:bodyPr upright="1"/>
                    </wps:wsp>
                  </a:graphicData>
                </a:graphic>
              </wp:anchor>
            </w:drawing>
          </mc:Choice>
          <mc:Fallback>
            <w:pict>
              <v:rect id="矩形 1425" o:spid="_x0000_s1026" o:spt="1" style="position:absolute;left:0pt;margin-left:576.4pt;margin-top:22.45pt;height:35.5pt;width:70.5pt;z-index:251668480;mso-width-relative:page;mso-height-relative:page;" filled="f" stroked="f" coordsize="21600,21600" o:gfxdata="UEsDBAoAAAAAAIdO4kAAAAAAAAAAAAAAAAAEAAAAZHJzL1BLAwQUAAAACACHTuJAVq1g9doAAAAM&#10;AQAADwAAAGRycy9kb3ducmV2LnhtbE2PwU7DMBBE70j8g7VIXBB1EgoiIU4PlRAVQqqaQs9uvCQR&#10;8TqN3aT8PVsucJyd0eybfHGynRhx8K0jBfEsAoFUOdNSreB9+3z7CMIHTUZ3jlDBN3pYFJcXuc6M&#10;m2iDYxlqwSXkM62gCaHPpPRVg1b7meuR2Pt0g9WB5VBLM+iJy20nkyh6kFa3xB8a3eOyweqrPFoF&#10;U7Ued9u3F7m+2a0cHVaHZfnxqtT1VRw9gQh4Cn9hOOMzOhTMtHdHMl50rOP7hNmDgvk8BXFOJOkd&#10;X/a/XgqyyOX/EcUPUEsDBBQAAAAIAIdO4kCVHEu+sAEAAFADAAAOAAAAZHJzL2Uyb0RvYy54bWyt&#10;U0tu2zAU3BfoHQjua0qO7TqC6WyMZBOkAdIegKZIiwB/IGlLPk2A7nqIHqfoNfpIqUmbbLLIhno/&#10;zZsZSpurwWh0EiEqZymuZxVGwnLXKnug+NvX609rjGJitmXaWUHxWUR8tf34YdP7Rsxd53QrAgIQ&#10;G5veU9yl5BtCIu+EYXHmvLDQlC4YliANB9IG1gO60WReVSvSu9D64LiIEaq7sYknxPAWQCel4mLn&#10;+NEIm0bUIDRLICl2yke8LWylFDx9kTKKhDTFoDSVE5ZAvM8n2W5YcwjMd4pPFNhbKLzQZJiysPQJ&#10;ascSQ8egXkEZxYOLTqYZd4aMQoojoKKuXnjz0DEvihawOvon0+P7wfK7031AqqV4VWNkmYEb//34&#10;49fP76hezJfZn97HBsYe/H2YsghhFjvIYPITZKCB4vX8YrFag7NniiG4XHwu77NGDAnxPHC5vFhC&#10;n+eBZbWGGBDJM5APMd0IZ1AOKA5wfcVVdrqNaRz9O5L3WnettIY6a7T9rwCYuUIy95FtjtKwHyYJ&#10;e9eeQfjRB3XoYFVdmOQhMLpwmj6KfJP/5gX0+UfY/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W&#10;rWD12gAAAAwBAAAPAAAAAAAAAAEAIAAAACIAAABkcnMvZG93bnJldi54bWxQSwECFAAUAAAACACH&#10;TuJAlRxLvrABAABQAwAADgAAAAAAAAABACAAAAApAQAAZHJzL2Uyb0RvYy54bWxQSwUGAAAAAAYA&#10;BgBZAQAASwUAAAAA&#10;">
                <v:fill on="f" focussize="0,0"/>
                <v:stroke on="f"/>
                <v:imagedata o:title=""/>
                <o:lock v:ext="edit" aspectratio="f"/>
                <v:textbox>
                  <w:txbxContent>
                    <w:p>
                      <w:pPr>
                        <w:rPr>
                          <w:rFonts w:hint="default"/>
                          <w:lang w:val="en-US" w:eastAsia="zh-CN"/>
                        </w:rPr>
                      </w:pPr>
                    </w:p>
                  </w:txbxContent>
                </v:textbox>
              </v:rect>
            </w:pict>
          </mc:Fallback>
        </mc:AlternateConten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项目现场环保设施见图4-</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1"/>
        <w:gridCol w:w="4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2" w:hRule="atLeast"/>
        </w:trPr>
        <w:tc>
          <w:tcPr>
            <w:tcW w:w="4501" w:type="dxa"/>
          </w:tcPr>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2719070" cy="3623945"/>
                  <wp:effectExtent l="0" t="0" r="5080" b="14605"/>
                  <wp:docPr id="42" name="图片 42" descr="微信图片_20231208153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312081537571"/>
                          <pic:cNvPicPr>
                            <a:picLocks noChangeAspect="1"/>
                          </pic:cNvPicPr>
                        </pic:nvPicPr>
                        <pic:blipFill>
                          <a:blip r:embed="rId23"/>
                          <a:stretch>
                            <a:fillRect/>
                          </a:stretch>
                        </pic:blipFill>
                        <pic:spPr>
                          <a:xfrm>
                            <a:off x="0" y="0"/>
                            <a:ext cx="2719070" cy="3623945"/>
                          </a:xfrm>
                          <a:prstGeom prst="rect">
                            <a:avLst/>
                          </a:prstGeom>
                        </pic:spPr>
                      </pic:pic>
                    </a:graphicData>
                  </a:graphic>
                </wp:inline>
              </w:drawing>
            </w:r>
          </w:p>
        </w:tc>
        <w:tc>
          <w:tcPr>
            <w:tcW w:w="4335" w:type="dxa"/>
          </w:tcPr>
          <w:p>
            <w:pPr>
              <w:rPr>
                <w:rFonts w:hint="default" w:ascii="Times New Roman" w:hAnsi="Times New Roman" w:eastAsia="宋体" w:cs="Times New Roman"/>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324735" cy="3582035"/>
                  <wp:effectExtent l="0" t="0" r="18415" b="18415"/>
                  <wp:docPr id="45" name="图片 45" descr="微信图片_2023120815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31208153759"/>
                          <pic:cNvPicPr>
                            <a:picLocks noChangeAspect="1"/>
                          </pic:cNvPicPr>
                        </pic:nvPicPr>
                        <pic:blipFill>
                          <a:blip r:embed="rId24"/>
                          <a:srcRect l="21766" r="32181" b="46762"/>
                          <a:stretch>
                            <a:fillRect/>
                          </a:stretch>
                        </pic:blipFill>
                        <pic:spPr>
                          <a:xfrm>
                            <a:off x="0" y="0"/>
                            <a:ext cx="2324735" cy="35820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1" w:type="dxa"/>
            <w:vAlign w:val="center"/>
          </w:tcPr>
          <w:p>
            <w:pPr>
              <w:ind w:firstLine="420" w:firstLineChars="20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15m排气筒DA001</w:t>
            </w:r>
          </w:p>
        </w:tc>
        <w:tc>
          <w:tcPr>
            <w:tcW w:w="4335" w:type="dxa"/>
            <w:vAlign w:val="center"/>
          </w:tcPr>
          <w:p>
            <w:pPr>
              <w:ind w:firstLine="420" w:firstLineChars="20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集气罩收集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501" w:type="dxa"/>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896235" cy="2132965"/>
                  <wp:effectExtent l="0" t="0" r="0" b="0"/>
                  <wp:docPr id="46" name="图片 46" descr="微信图片_20231208153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312081537561"/>
                          <pic:cNvPicPr>
                            <a:picLocks noChangeAspect="1"/>
                          </pic:cNvPicPr>
                        </pic:nvPicPr>
                        <pic:blipFill>
                          <a:blip r:embed="rId25"/>
                          <a:srcRect l="5662" t="15751" r="8493"/>
                          <a:stretch>
                            <a:fillRect/>
                          </a:stretch>
                        </pic:blipFill>
                        <pic:spPr>
                          <a:xfrm>
                            <a:off x="0" y="0"/>
                            <a:ext cx="2896235" cy="2132965"/>
                          </a:xfrm>
                          <a:prstGeom prst="rect">
                            <a:avLst/>
                          </a:prstGeom>
                        </pic:spPr>
                      </pic:pic>
                    </a:graphicData>
                  </a:graphic>
                </wp:inline>
              </w:drawing>
            </w:r>
          </w:p>
        </w:tc>
        <w:tc>
          <w:tcPr>
            <w:tcW w:w="4335" w:type="dxa"/>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681605" cy="2222500"/>
                  <wp:effectExtent l="0" t="0" r="0" b="0"/>
                  <wp:docPr id="50" name="图片 50" descr="微信图片_20231208153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312081538031"/>
                          <pic:cNvPicPr>
                            <a:picLocks noChangeAspect="1"/>
                          </pic:cNvPicPr>
                        </pic:nvPicPr>
                        <pic:blipFill>
                          <a:blip r:embed="rId26"/>
                          <a:srcRect l="7788" r="1615"/>
                          <a:stretch>
                            <a:fillRect/>
                          </a:stretch>
                        </pic:blipFill>
                        <pic:spPr>
                          <a:xfrm>
                            <a:off x="0" y="0"/>
                            <a:ext cx="2681605" cy="2222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501" w:type="dxa"/>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二级活性炭</w:t>
            </w:r>
          </w:p>
        </w:tc>
        <w:tc>
          <w:tcPr>
            <w:tcW w:w="4335" w:type="dxa"/>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501" w:type="dxa"/>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719070" cy="2848610"/>
                  <wp:effectExtent l="0" t="0" r="5080" b="8890"/>
                  <wp:docPr id="4" name="图片 4" descr="50e37a3c2984d057ef431bd99bf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e37a3c2984d057ef431bd99bf3261"/>
                          <pic:cNvPicPr>
                            <a:picLocks noChangeAspect="1"/>
                          </pic:cNvPicPr>
                        </pic:nvPicPr>
                        <pic:blipFill>
                          <a:blip r:embed="rId27"/>
                          <a:stretch>
                            <a:fillRect/>
                          </a:stretch>
                        </pic:blipFill>
                        <pic:spPr>
                          <a:xfrm>
                            <a:off x="0" y="0"/>
                            <a:ext cx="2719070" cy="2848610"/>
                          </a:xfrm>
                          <a:prstGeom prst="rect">
                            <a:avLst/>
                          </a:prstGeom>
                        </pic:spPr>
                      </pic:pic>
                    </a:graphicData>
                  </a:graphic>
                </wp:inline>
              </w:drawing>
            </w:r>
          </w:p>
        </w:tc>
        <w:tc>
          <w:tcPr>
            <w:tcW w:w="4335" w:type="dxa"/>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685415" cy="2718435"/>
                  <wp:effectExtent l="0" t="0" r="635" b="5715"/>
                  <wp:docPr id="51" name="图片 51" descr="微信图片_2023120815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31208153758"/>
                          <pic:cNvPicPr>
                            <a:picLocks noChangeAspect="1"/>
                          </pic:cNvPicPr>
                        </pic:nvPicPr>
                        <pic:blipFill>
                          <a:blip r:embed="rId28"/>
                          <a:srcRect l="9209" r="16634"/>
                          <a:stretch>
                            <a:fillRect/>
                          </a:stretch>
                        </pic:blipFill>
                        <pic:spPr>
                          <a:xfrm>
                            <a:off x="0" y="0"/>
                            <a:ext cx="2685415" cy="2718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501" w:type="dxa"/>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检测平台</w:t>
            </w:r>
          </w:p>
        </w:tc>
        <w:tc>
          <w:tcPr>
            <w:tcW w:w="4335" w:type="dxa"/>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风机</w:t>
            </w:r>
          </w:p>
        </w:tc>
      </w:tr>
    </w:tbl>
    <w:p>
      <w:pPr>
        <w:pStyle w:val="24"/>
        <w:jc w:val="both"/>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mc:AlternateContent>
          <mc:Choice Requires="wps">
            <w:drawing>
              <wp:anchor distT="0" distB="0" distL="114300" distR="114300" simplePos="0" relativeHeight="251659264" behindDoc="0" locked="0" layoutInCell="1" allowOverlap="1">
                <wp:simplePos x="0" y="0"/>
                <wp:positionH relativeFrom="margin">
                  <wp:posOffset>878205</wp:posOffset>
                </wp:positionH>
                <wp:positionV relativeFrom="paragraph">
                  <wp:posOffset>152400</wp:posOffset>
                </wp:positionV>
                <wp:extent cx="3133725" cy="323850"/>
                <wp:effectExtent l="0" t="0" r="9525" b="0"/>
                <wp:wrapNone/>
                <wp:docPr id="25" name="文本框 2"/>
                <wp:cNvGraphicFramePr/>
                <a:graphic xmlns:a="http://schemas.openxmlformats.org/drawingml/2006/main">
                  <a:graphicData uri="http://schemas.microsoft.com/office/word/2010/wordprocessingShape">
                    <wps:wsp>
                      <wps:cNvSpPr txBox="1"/>
                      <wps:spPr>
                        <a:xfrm>
                          <a:off x="0" y="0"/>
                          <a:ext cx="3133725" cy="323850"/>
                        </a:xfrm>
                        <a:prstGeom prst="rect">
                          <a:avLst/>
                        </a:prstGeom>
                        <a:solidFill>
                          <a:srgbClr val="FFFFFF"/>
                        </a:solidFill>
                        <a:ln w="6350">
                          <a:noFill/>
                        </a:ln>
                      </wps:spPr>
                      <wps:txbx>
                        <w:txbxContent>
                          <w:p>
                            <w:pPr>
                              <w:pStyle w:val="9"/>
                              <w:spacing w:after="0" w:line="360" w:lineRule="auto"/>
                              <w:ind w:left="0"/>
                              <w:jc w:val="center"/>
                              <w:rPr>
                                <w:b/>
                                <w:color w:val="000000" w:themeColor="text1"/>
                                <w:sz w:val="22"/>
                                <w:szCs w:val="24"/>
                                <w14:textFill>
                                  <w14:solidFill>
                                    <w14:schemeClr w14:val="tx1"/>
                                  </w14:solidFill>
                                </w14:textFill>
                              </w:rPr>
                            </w:pPr>
                            <w:r>
                              <w:rPr>
                                <w:b/>
                                <w:color w:val="000000" w:themeColor="text1"/>
                                <w:sz w:val="22"/>
                                <w:szCs w:val="24"/>
                                <w14:textFill>
                                  <w14:solidFill>
                                    <w14:schemeClr w14:val="tx1"/>
                                  </w14:solidFill>
                                </w14:textFill>
                              </w:rPr>
                              <w:t>图</w:t>
                            </w:r>
                            <w:r>
                              <w:rPr>
                                <w:rFonts w:hint="eastAsia"/>
                                <w:b/>
                                <w:color w:val="000000" w:themeColor="text1"/>
                                <w:sz w:val="22"/>
                                <w:szCs w:val="24"/>
                                <w14:textFill>
                                  <w14:solidFill>
                                    <w14:schemeClr w14:val="tx1"/>
                                  </w14:solidFill>
                                </w14:textFill>
                              </w:rPr>
                              <w:t>4-</w:t>
                            </w:r>
                            <w:r>
                              <w:rPr>
                                <w:rFonts w:hint="eastAsia"/>
                                <w:b/>
                                <w:color w:val="000000" w:themeColor="text1"/>
                                <w:sz w:val="22"/>
                                <w:szCs w:val="24"/>
                                <w:lang w:val="en-US" w:eastAsia="zh-CN"/>
                                <w14:textFill>
                                  <w14:solidFill>
                                    <w14:schemeClr w14:val="tx1"/>
                                  </w14:solidFill>
                                </w14:textFill>
                              </w:rPr>
                              <w:t>2</w:t>
                            </w:r>
                            <w:r>
                              <w:rPr>
                                <w:b/>
                                <w:color w:val="000000" w:themeColor="text1"/>
                                <w:sz w:val="22"/>
                                <w:szCs w:val="24"/>
                                <w14:textFill>
                                  <w14:solidFill>
                                    <w14:schemeClr w14:val="tx1"/>
                                  </w14:solidFill>
                                </w14:textFill>
                              </w:rPr>
                              <w:t xml:space="preserve">  </w:t>
                            </w:r>
                            <w:r>
                              <w:rPr>
                                <w:rFonts w:hint="eastAsia"/>
                                <w:b/>
                                <w:color w:val="000000" w:themeColor="text1"/>
                                <w:sz w:val="22"/>
                                <w:szCs w:val="24"/>
                                <w14:textFill>
                                  <w14:solidFill>
                                    <w14:schemeClr w14:val="tx1"/>
                                  </w14:solidFill>
                                </w14:textFill>
                              </w:rPr>
                              <w:t>现场环保设施图</w:t>
                            </w:r>
                          </w:p>
                        </w:txbxContent>
                      </wps:txbx>
                      <wps:bodyPr upright="1"/>
                    </wps:wsp>
                  </a:graphicData>
                </a:graphic>
              </wp:anchor>
            </w:drawing>
          </mc:Choice>
          <mc:Fallback>
            <w:pict>
              <v:shape id="文本框 2" o:spid="_x0000_s1026" o:spt="202" type="#_x0000_t202" style="position:absolute;left:0pt;margin-left:69.15pt;margin-top:12pt;height:25.5pt;width:246.75pt;mso-position-horizontal-relative:margin;z-index:251659264;mso-width-relative:page;mso-height-relative:page;" fillcolor="#FFFFFF" filled="t" stroked="f" coordsize="21600,21600" o:gfxdata="UEsDBAoAAAAAAIdO4kAAAAAAAAAAAAAAAAAEAAAAZHJzL1BLAwQUAAAACACHTuJAyEVFldQAAAAJ&#10;AQAADwAAAGRycy9kb3ducmV2LnhtbE2Py07DMBBF90j8gzVI7KiTppQqjdMFElsk+lq78RBHtceR&#10;7T6/nmEFy6u5unNOs7p6J84Y0xBIQTkpQCB1wQzUK9huPl4WIFLWZLQLhApumGDVPj40ujbhQl94&#10;Xude8AilWiuwOY+1lKmz6HWahBGJb98hep05xl6aqC887p2cFsVcej0Qf7B6xHeL3XF98gr2vb/v&#10;d+UYrfFuRp/322YbBqWen8piCSLjNf+V4Ref0aFlpkM4kUnCca4WFVcVTGfsxIV5VbLLQcHbawGy&#10;beR/g/YHUEsDBBQAAAAIAIdO4kAzmni2ygEAAIEDAAAOAAAAZHJzL2Uyb0RvYy54bWytU8GO0zAQ&#10;vSPxD5bvNG2jXVZR05WWqlwQIC18gOs4iSXbY3ncJv0B+ANOXLjzXf0Oxk63C8tlD5tDYo/fvJn3&#10;xlndjtawgwqowdV8MZtzppyERruu5l+/bN/ccIZRuEYYcKrmR4X8dv361WrwlVpCD6ZRgRGJw2rw&#10;Ne9j9FVRoOyVFTgDrxwdthCsiLQNXdEEMRC7NcVyPr8uBgiNDyAVIkU30yE/M4bnEELbaqk2IPdW&#10;uTixBmVEJEnYa498nbttWyXjp7ZFFZmpOSmN+U1FaL1L72K9ElUXhO+1PLcgntPCE01WaEdFL1Qb&#10;EQXbB/0fldUyAEIbZxJsMQnJjpCKxfyJN/e98CprIavRX0zHl6OVHw+fA9NNzZdXnDlhaeKnH99P&#10;P3+ffn1jy+TP4LEi2L0nYBzvYKRb8xBHCibZYxts+pIgRufk7vHirhojkxQsF2X5NlWRdFYuy5ur&#10;bH/xmO0DxvcKLEuLmgeaXjZVHD5gpE4I+gBJxRCMbrbamLwJ3e6dCewgaNLb/KQmKeUfmHFsqPl1&#10;SbVTloOUP+GMI3gSO4lKqzjuxrMDO2iOZMDeB9311Fy2IMNpMrnO+Ral0f+9z6SPf87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hFRZXUAAAACQEAAA8AAAAAAAAAAQAgAAAAIgAAAGRycy9kb3du&#10;cmV2LnhtbFBLAQIUABQAAAAIAIdO4kAzmni2ygEAAIEDAAAOAAAAAAAAAAEAIAAAACMBAABkcnMv&#10;ZTJvRG9jLnhtbFBLBQYAAAAABgAGAFkBAABfBQAAAAA=&#10;">
                <v:fill on="t" focussize="0,0"/>
                <v:stroke on="f" weight="0.5pt"/>
                <v:imagedata o:title=""/>
                <o:lock v:ext="edit" aspectratio="f"/>
                <v:textbox>
                  <w:txbxContent>
                    <w:p>
                      <w:pPr>
                        <w:pStyle w:val="9"/>
                        <w:spacing w:after="0" w:line="360" w:lineRule="auto"/>
                        <w:ind w:left="0"/>
                        <w:jc w:val="center"/>
                        <w:rPr>
                          <w:b/>
                          <w:color w:val="000000" w:themeColor="text1"/>
                          <w:sz w:val="22"/>
                          <w:szCs w:val="24"/>
                          <w14:textFill>
                            <w14:solidFill>
                              <w14:schemeClr w14:val="tx1"/>
                            </w14:solidFill>
                          </w14:textFill>
                        </w:rPr>
                      </w:pPr>
                      <w:r>
                        <w:rPr>
                          <w:b/>
                          <w:color w:val="000000" w:themeColor="text1"/>
                          <w:sz w:val="22"/>
                          <w:szCs w:val="24"/>
                          <w14:textFill>
                            <w14:solidFill>
                              <w14:schemeClr w14:val="tx1"/>
                            </w14:solidFill>
                          </w14:textFill>
                        </w:rPr>
                        <w:t>图</w:t>
                      </w:r>
                      <w:r>
                        <w:rPr>
                          <w:rFonts w:hint="eastAsia"/>
                          <w:b/>
                          <w:color w:val="000000" w:themeColor="text1"/>
                          <w:sz w:val="22"/>
                          <w:szCs w:val="24"/>
                          <w14:textFill>
                            <w14:solidFill>
                              <w14:schemeClr w14:val="tx1"/>
                            </w14:solidFill>
                          </w14:textFill>
                        </w:rPr>
                        <w:t>4-</w:t>
                      </w:r>
                      <w:r>
                        <w:rPr>
                          <w:rFonts w:hint="eastAsia"/>
                          <w:b/>
                          <w:color w:val="000000" w:themeColor="text1"/>
                          <w:sz w:val="22"/>
                          <w:szCs w:val="24"/>
                          <w:lang w:val="en-US" w:eastAsia="zh-CN"/>
                          <w14:textFill>
                            <w14:solidFill>
                              <w14:schemeClr w14:val="tx1"/>
                            </w14:solidFill>
                          </w14:textFill>
                        </w:rPr>
                        <w:t>2</w:t>
                      </w:r>
                      <w:r>
                        <w:rPr>
                          <w:b/>
                          <w:color w:val="000000" w:themeColor="text1"/>
                          <w:sz w:val="22"/>
                          <w:szCs w:val="24"/>
                          <w14:textFill>
                            <w14:solidFill>
                              <w14:schemeClr w14:val="tx1"/>
                            </w14:solidFill>
                          </w14:textFill>
                        </w:rPr>
                        <w:t xml:space="preserve">  </w:t>
                      </w:r>
                      <w:r>
                        <w:rPr>
                          <w:rFonts w:hint="eastAsia"/>
                          <w:b/>
                          <w:color w:val="000000" w:themeColor="text1"/>
                          <w:sz w:val="22"/>
                          <w:szCs w:val="24"/>
                          <w14:textFill>
                            <w14:solidFill>
                              <w14:schemeClr w14:val="tx1"/>
                            </w14:solidFill>
                          </w14:textFill>
                        </w:rPr>
                        <w:t>现场环保设施图</w:t>
                      </w:r>
                    </w:p>
                  </w:txbxContent>
                </v:textbox>
              </v:shape>
            </w:pict>
          </mc:Fallback>
        </mc:AlternateConten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4.1.3噪声</w:t>
      </w:r>
    </w:p>
    <w:p>
      <w:pPr>
        <w:spacing w:line="360" w:lineRule="auto"/>
        <w:ind w:firstLine="480" w:firstLineChars="200"/>
        <w:rPr>
          <w:rFonts w:hint="default" w:ascii="Times New Roman" w:hAnsi="Times New Roman" w:eastAsia="宋体" w:cs="Times New Roman"/>
          <w:color w:val="000000"/>
          <w:sz w:val="24"/>
          <w:szCs w:val="28"/>
        </w:rPr>
      </w:pPr>
      <w:bookmarkStart w:id="45" w:name="_Toc502264587"/>
      <w:bookmarkStart w:id="46" w:name="_Toc502264707"/>
      <w:r>
        <w:rPr>
          <w:rFonts w:hint="default" w:ascii="Times New Roman" w:hAnsi="Times New Roman" w:eastAsia="宋体" w:cs="Times New Roman"/>
          <w:color w:val="000000"/>
          <w:sz w:val="24"/>
          <w:szCs w:val="28"/>
        </w:rPr>
        <w:t>该项目主要噪声为生产使用设备运转产生的噪声，设备噪声源强为</w:t>
      </w:r>
      <w:r>
        <w:rPr>
          <w:rFonts w:hint="eastAsia" w:ascii="Times New Roman" w:hAnsi="Times New Roman" w:eastAsia="宋体" w:cs="Times New Roman"/>
          <w:color w:val="000000"/>
          <w:sz w:val="24"/>
          <w:szCs w:val="28"/>
          <w:lang w:val="en-US" w:eastAsia="zh-CN"/>
        </w:rPr>
        <w:t>70</w:t>
      </w:r>
      <w:r>
        <w:rPr>
          <w:rFonts w:hint="default" w:ascii="Times New Roman" w:hAnsi="Times New Roman" w:eastAsia="宋体" w:cs="Times New Roman"/>
          <w:color w:val="000000"/>
          <w:sz w:val="24"/>
          <w:szCs w:val="28"/>
        </w:rPr>
        <w:t>dB（A）</w:t>
      </w:r>
      <w:r>
        <w:rPr>
          <w:rFonts w:hint="default" w:ascii="Times New Roman" w:hAnsi="Times New Roman" w:eastAsia="宋体" w:cs="Times New Roman"/>
          <w:color w:val="000000"/>
          <w:sz w:val="24"/>
          <w:szCs w:val="28"/>
          <w:lang w:val="en-US" w:eastAsia="zh-CN"/>
        </w:rPr>
        <w:t>~</w:t>
      </w:r>
      <w:r>
        <w:rPr>
          <w:rFonts w:hint="eastAsia" w:ascii="Times New Roman" w:hAnsi="Times New Roman" w:eastAsia="宋体" w:cs="Times New Roman"/>
          <w:color w:val="000000"/>
          <w:sz w:val="24"/>
          <w:szCs w:val="28"/>
          <w:lang w:val="en-US" w:eastAsia="zh-CN"/>
        </w:rPr>
        <w:t>8</w:t>
      </w:r>
      <w:r>
        <w:rPr>
          <w:rFonts w:hint="default" w:ascii="Times New Roman" w:hAnsi="Times New Roman" w:eastAsia="宋体" w:cs="Times New Roman"/>
          <w:color w:val="000000"/>
          <w:sz w:val="24"/>
          <w:szCs w:val="28"/>
          <w:lang w:val="en-US" w:eastAsia="zh-CN"/>
        </w:rPr>
        <w:t>0</w:t>
      </w:r>
      <w:r>
        <w:rPr>
          <w:rFonts w:hint="default" w:ascii="Times New Roman" w:hAnsi="Times New Roman" w:eastAsia="宋体" w:cs="Times New Roman"/>
          <w:color w:val="000000"/>
          <w:sz w:val="24"/>
          <w:szCs w:val="28"/>
        </w:rPr>
        <w:t>dB（A）以下。针对该项目产噪设备的特点采取选用低噪声设备，在合理布局的基础上，对车间生产设备噪声源采取选用</w:t>
      </w:r>
      <w:r>
        <w:rPr>
          <w:rFonts w:hint="default" w:ascii="Times New Roman" w:hAnsi="Times New Roman" w:eastAsia="宋体" w:cs="Times New Roman"/>
          <w:color w:val="000000"/>
          <w:sz w:val="24"/>
          <w:szCs w:val="28"/>
          <w:lang w:val="en-US" w:eastAsia="zh-CN"/>
        </w:rPr>
        <w:t>低噪声设备、减振安装、墙体采取隔声材料、合理布局、绿化降噪、控制场内运输车辆</w:t>
      </w:r>
      <w:r>
        <w:rPr>
          <w:rFonts w:hint="default" w:ascii="Times New Roman" w:hAnsi="Times New Roman" w:eastAsia="宋体" w:cs="Times New Roman"/>
          <w:color w:val="000000"/>
          <w:sz w:val="24"/>
          <w:szCs w:val="28"/>
        </w:rPr>
        <w:t>等措施。</w:t>
      </w:r>
    </w:p>
    <w:bookmarkEnd w:id="45"/>
    <w:bookmarkEnd w:id="46"/>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4.1.4固（液）体废物</w:t>
      </w:r>
    </w:p>
    <w:p>
      <w:pPr>
        <w:autoSpaceDE w:val="0"/>
        <w:autoSpaceDN w:val="0"/>
        <w:adjustRightInd w:val="0"/>
        <w:spacing w:line="348" w:lineRule="auto"/>
        <w:ind w:firstLine="477" w:firstLineChars="19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固体废物按照“资源化、减量化、无害化”的处置原则落实各类固体废物的收集、处理。</w:t>
      </w:r>
    </w:p>
    <w:p>
      <w:pPr>
        <w:pStyle w:val="86"/>
        <w:keepNext w:val="0"/>
        <w:keepLines w:val="0"/>
        <w:pageBreakBefore w:val="0"/>
        <w:widowControl w:val="0"/>
        <w:kinsoku/>
        <w:wordWrap/>
        <w:overflowPunct/>
        <w:topLinePunct w:val="0"/>
        <w:bidi w:val="0"/>
        <w:adjustRightInd w:val="0"/>
        <w:snapToGrid w:val="0"/>
        <w:spacing w:line="360" w:lineRule="auto"/>
        <w:ind w:firstLine="480"/>
        <w:rPr>
          <w:rFonts w:hint="eastAsia" w:ascii="Times New Roman" w:hAnsi="Times New Roman" w:eastAsia="宋体" w:cs="Times New Roman"/>
          <w:lang w:eastAsia="zh-CN"/>
        </w:rPr>
      </w:pPr>
      <w:r>
        <w:rPr>
          <w:rFonts w:hint="default" w:ascii="Times New Roman" w:hAnsi="Times New Roman" w:eastAsia="宋体" w:cs="Times New Roman"/>
          <w:color w:val="000000"/>
        </w:rPr>
        <w:t>本项目生产区固体废弃物主要为</w:t>
      </w:r>
      <w:r>
        <w:rPr>
          <w:rFonts w:hint="default" w:ascii="Times New Roman" w:hAnsi="Times New Roman" w:eastAsia="宋体" w:cs="Times New Roman"/>
          <w:color w:val="auto"/>
          <w:szCs w:val="21"/>
          <w:highlight w:val="none"/>
          <w:lang w:val="en-US" w:eastAsia="zh-CN"/>
        </w:rPr>
        <w:t>废胶桶、废润滑油、废润滑油桶、废活性炭、废玻璃下脚料，PVB胶片边角料、</w:t>
      </w:r>
      <w:r>
        <w:rPr>
          <w:rFonts w:hint="default" w:ascii="Times New Roman" w:hAnsi="Times New Roman" w:eastAsia="宋体" w:cs="Times New Roman"/>
          <w:color w:val="000000"/>
          <w:kern w:val="2"/>
          <w:sz w:val="24"/>
          <w:szCs w:val="22"/>
          <w:lang w:val="en-US" w:eastAsia="zh-CN" w:bidi="ar-SA"/>
        </w:rPr>
        <w:t>玻璃沉渣、</w:t>
      </w:r>
      <w:r>
        <w:rPr>
          <w:rFonts w:hint="default" w:ascii="Times New Roman" w:hAnsi="Times New Roman" w:eastAsia="宋体" w:cs="Times New Roman"/>
          <w:color w:val="auto"/>
          <w:szCs w:val="21"/>
          <w:highlight w:val="none"/>
          <w:lang w:val="en-US" w:eastAsia="zh-CN"/>
        </w:rPr>
        <w:t>废包装箱、废包装袋、废铝条小角料员工生活产生的生活垃圾</w:t>
      </w:r>
      <w:r>
        <w:rPr>
          <w:rFonts w:hint="default" w:ascii="Times New Roman" w:hAnsi="Times New Roman" w:eastAsia="宋体" w:cs="Times New Roman"/>
          <w:bCs/>
          <w:color w:val="000000"/>
          <w:kern w:val="0"/>
        </w:rPr>
        <w:t>。</w:t>
      </w:r>
      <w:r>
        <w:rPr>
          <w:rFonts w:hint="default" w:ascii="Times New Roman" w:hAnsi="Times New Roman" w:eastAsia="宋体" w:cs="Times New Roman"/>
          <w:bCs/>
          <w:color w:val="000000"/>
          <w:kern w:val="0"/>
          <w:lang w:val="en-US" w:eastAsia="zh-CN"/>
        </w:rPr>
        <w:t>废活性炭、废胶、废润滑油、废润滑油桶等危废</w:t>
      </w:r>
      <w:r>
        <w:rPr>
          <w:rFonts w:hint="default" w:ascii="Times New Roman" w:hAnsi="Times New Roman" w:eastAsia="宋体" w:cs="Times New Roman"/>
          <w:bCs/>
          <w:color w:val="000000"/>
          <w:kern w:val="0"/>
        </w:rPr>
        <w:t>定期委托有资质单位处置</w:t>
      </w:r>
      <w:r>
        <w:rPr>
          <w:rFonts w:hint="default" w:ascii="Times New Roman" w:hAnsi="Times New Roman" w:eastAsia="宋体" w:cs="Times New Roman"/>
          <w:bCs/>
          <w:color w:val="000000"/>
          <w:kern w:val="0"/>
          <w:lang w:eastAsia="zh-CN"/>
        </w:rPr>
        <w:t>；</w:t>
      </w:r>
      <w:r>
        <w:rPr>
          <w:rFonts w:hint="default" w:ascii="Times New Roman" w:hAnsi="Times New Roman" w:eastAsia="宋体" w:cs="Times New Roman"/>
          <w:bCs/>
          <w:color w:val="000000"/>
          <w:kern w:val="0"/>
          <w:lang w:val="en-US" w:eastAsia="zh-CN"/>
        </w:rPr>
        <w:t>废胶桶由厂家回收利用；玻璃边角料、玻璃沉渣、碎玻璃渣、不合格品、铝片边角料、PVB胶片边角料满足《一般工业固体废物贮存和填埋污染控制标准》(GB18599-2020）要求外售综合利用；</w:t>
      </w:r>
      <w:r>
        <w:rPr>
          <w:rFonts w:hint="default" w:ascii="Times New Roman" w:hAnsi="Times New Roman" w:eastAsia="宋体" w:cs="Times New Roman"/>
          <w:bCs/>
          <w:color w:val="000000"/>
          <w:kern w:val="0"/>
        </w:rPr>
        <w:t>生活垃圾经垃圾桶收集，由环卫部门</w:t>
      </w:r>
      <w:r>
        <w:rPr>
          <w:rFonts w:hint="default" w:ascii="Times New Roman" w:hAnsi="Times New Roman" w:eastAsia="宋体" w:cs="Times New Roman"/>
          <w:bCs/>
          <w:color w:val="000000"/>
          <w:kern w:val="0"/>
          <w:lang w:val="en-US" w:eastAsia="zh-CN"/>
        </w:rPr>
        <w:t>定期</w:t>
      </w:r>
      <w:r>
        <w:rPr>
          <w:rFonts w:hint="default" w:ascii="Times New Roman" w:hAnsi="Times New Roman" w:eastAsia="宋体" w:cs="Times New Roman"/>
          <w:bCs/>
          <w:color w:val="000000"/>
          <w:kern w:val="0"/>
        </w:rPr>
        <w:t>清运处置</w:t>
      </w:r>
      <w:r>
        <w:rPr>
          <w:rFonts w:hint="eastAsia" w:ascii="Times New Roman" w:hAnsi="Times New Roman" w:eastAsia="宋体" w:cs="Times New Roman"/>
          <w:bCs/>
          <w:color w:val="000000"/>
          <w:kern w:val="0"/>
          <w:lang w:eastAsia="zh-CN"/>
        </w:rPr>
        <w:t>。</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7" w:name="_Toc15102"/>
      <w:r>
        <w:rPr>
          <w:rFonts w:hint="default" w:ascii="Times New Roman" w:hAnsi="Times New Roman" w:eastAsia="宋体" w:cs="Times New Roman"/>
          <w:b/>
          <w:sz w:val="28"/>
          <w:szCs w:val="32"/>
        </w:rPr>
        <w:t>4.2其他环保设施</w:t>
      </w:r>
      <w:bookmarkEnd w:id="47"/>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4.2.1风险因素分析</w:t>
      </w:r>
    </w:p>
    <w:p>
      <w:pPr>
        <w:pStyle w:val="9"/>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根据该项目特点，可能发生风险的因素主要为</w:t>
      </w:r>
      <w:r>
        <w:rPr>
          <w:rFonts w:hint="default" w:ascii="Times New Roman" w:hAnsi="Times New Roman" w:eastAsia="宋体" w:cs="Times New Roman"/>
          <w:sz w:val="24"/>
          <w:szCs w:val="28"/>
          <w:lang w:val="en-US" w:eastAsia="zh-CN"/>
        </w:rPr>
        <w:t>生产设施或单元主要为化粪池泄漏和车间发生火灾</w:t>
      </w:r>
      <w:r>
        <w:rPr>
          <w:rFonts w:hint="default" w:ascii="Times New Roman" w:hAnsi="Times New Roman" w:eastAsia="宋体" w:cs="Times New Roman"/>
          <w:sz w:val="24"/>
          <w:szCs w:val="28"/>
        </w:rPr>
        <w:t>。</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4.2.2风险防范措施</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lang w:val="en-US" w:eastAsia="zh-CN"/>
        </w:rPr>
        <w:t>1、</w:t>
      </w:r>
      <w:r>
        <w:rPr>
          <w:rFonts w:hint="default" w:ascii="Times New Roman" w:hAnsi="Times New Roman" w:eastAsia="宋体" w:cs="Times New Roman"/>
          <w:color w:val="000000"/>
          <w:kern w:val="0"/>
          <w:sz w:val="24"/>
        </w:rPr>
        <w:t>化粪池</w:t>
      </w:r>
      <w:r>
        <w:rPr>
          <w:rFonts w:hint="default" w:ascii="Times New Roman" w:hAnsi="Times New Roman" w:eastAsia="宋体" w:cs="Times New Roman"/>
          <w:color w:val="000000"/>
          <w:kern w:val="0"/>
          <w:sz w:val="24"/>
          <w:lang w:val="en-US" w:eastAsia="zh-CN"/>
        </w:rPr>
        <w:t>泄漏风险防范措施</w:t>
      </w:r>
      <w:r>
        <w:rPr>
          <w:rFonts w:hint="default" w:ascii="Times New Roman" w:hAnsi="Times New Roman" w:eastAsia="宋体" w:cs="Times New Roman"/>
          <w:color w:val="000000"/>
          <w:kern w:val="0"/>
          <w:sz w:val="24"/>
        </w:rPr>
        <w:t>：</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①化粪池建设过程中应加强施工管理，保证施工质量，优化管道线路，减少管道转弯交叉，以避免造成水头损失影响管道寿命。</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②应加强污水管道及化粪池、沉淀池的巡检工作，在化粪池排气孔处设立“禁止明火” 警示标志。</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③定期检查化粪池排气孔是否通畅，及时发现问题及时解决。</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 xml:space="preserve"> 2</w:t>
      </w:r>
      <w:r>
        <w:rPr>
          <w:rFonts w:hint="default" w:ascii="Times New Roman" w:hAnsi="Times New Roman" w:eastAsia="宋体" w:cs="Times New Roman"/>
          <w:color w:val="000000"/>
          <w:kern w:val="0"/>
          <w:sz w:val="24"/>
          <w:lang w:eastAsia="zh-CN"/>
        </w:rPr>
        <w:t>、</w:t>
      </w:r>
      <w:r>
        <w:rPr>
          <w:rFonts w:hint="default" w:ascii="Times New Roman" w:hAnsi="Times New Roman" w:eastAsia="宋体" w:cs="Times New Roman"/>
          <w:color w:val="000000"/>
          <w:kern w:val="0"/>
          <w:sz w:val="24"/>
          <w:lang w:val="en-US" w:eastAsia="zh-CN"/>
        </w:rPr>
        <w:t>车间发生火灾</w:t>
      </w:r>
      <w:r>
        <w:rPr>
          <w:rFonts w:hint="default" w:ascii="Times New Roman" w:hAnsi="Times New Roman" w:eastAsia="宋体" w:cs="Times New Roman"/>
          <w:color w:val="000000"/>
          <w:kern w:val="0"/>
          <w:sz w:val="24"/>
        </w:rPr>
        <w:t>燃烧风险：</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①生产车间等布局应严格按照《建筑设计防火规范》（GB50016-2014）。</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②项目应设置室外消火栓。</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③加强对员工职业技能和消防技能培训，在车间和仓库内配置干粉灭火器， 灭火器材要在保质期内使用，过期须及时更换。</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④原料和产品在储存过程应加强通风，通风排气口的设置要得当。</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⑤建立应急救援组织或配备应急救援人员，配备必要的救援器材、设备，对消防措施定期检查，保证消防措施的有效性，并定期组织演练。</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⑥发生重大意外事故后，要及时向上级主管部门汇报，由政府及其有关部门、工会和企业按照行政法规进行调查和处理。</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4.2.3事故应急措施</w:t>
      </w:r>
    </w:p>
    <w:p>
      <w:pPr>
        <w:spacing w:line="360" w:lineRule="auto"/>
        <w:ind w:firstLine="480" w:firstLineChars="2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应急预案是为应对可能发生的紧急事件所做的预先准备，其目的是限制紧急事件的范围，尽可能消除事件或尽量减少事件造成的人、财产和环境的损失。制定应急预案的目的是为了发生事故时能以最快的速度发挥最大的效能，有组织、有秩序的实施救援行动，达到尽快控制事态发展，降低事故造成的危害，减少事故损失。</w:t>
      </w:r>
    </w:p>
    <w:p>
      <w:pPr>
        <w:spacing w:line="360" w:lineRule="auto"/>
        <w:ind w:firstLine="480" w:firstLineChars="200"/>
        <w:jc w:val="left"/>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①应急准备</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A、成立环境急处理领导小组，由厂区总负责人任组长，主要负责环保工作的建设、决策、研究和协调；组员由生产管理、环保管理及环境事故易发生工段的负责人组成，负责环境事故处理的指挥和调度工作。</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B、环境事故易发生工段成立应急队，由负责人负责，工艺、技术、维修、操作岗位人员参加。</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C、企业给应急队配备应急器具及劳保用品。应急器具及劳保用品在指定地点存放．</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D、企业对应急队员每季进行一次应急培训，使其具备处理环境事故的能力。如条件许可，每年进行一次应急处理演习，检验应急准备工作是否完善。</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②应急预案内容</w:t>
      </w:r>
    </w:p>
    <w:p>
      <w:pPr>
        <w:pStyle w:val="51"/>
        <w:spacing w:line="360" w:lineRule="auto"/>
        <w:ind w:firstLine="0" w:firstLineChars="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根据《建设项目环境风险评价技术导则》(HJ 169-2018)的要求，建设单位应制定风险应急预案</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4.2.4环境风险应急预案</w:t>
      </w:r>
    </w:p>
    <w:p>
      <w:pPr>
        <w:pStyle w:val="9"/>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对于重大的风险(主要是火灾爆炸造成人员伤亡等)，制定应急响应方案，建立应急反应体系，当事件一旦发生时可迅速加以控制，使危害和损失降低到尽可能低的程度。</w:t>
      </w:r>
    </w:p>
    <w:p>
      <w:pPr>
        <w:pStyle w:val="9"/>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作为事故风险防范和应急对策的重要组成部分，应急组织机构应制定应急计划，其基本内容包括应急组织、应急设施、应急通讯、应急监测、应急安全保卫、应急撤离措施、应急救援、应激状态终止</w:t>
      </w:r>
      <w:r>
        <w:rPr>
          <w:rFonts w:hint="default" w:ascii="Times New Roman" w:hAnsi="Times New Roman" w:eastAsia="宋体" w:cs="Times New Roman"/>
          <w:sz w:val="24"/>
          <w:szCs w:val="28"/>
          <w:lang w:val="en-US" w:eastAsia="zh-CN"/>
        </w:rPr>
        <w:t xml:space="preserve">  </w:t>
      </w:r>
      <w:r>
        <w:rPr>
          <w:rFonts w:hint="default" w:ascii="Times New Roman" w:hAnsi="Times New Roman" w:eastAsia="宋体" w:cs="Times New Roman"/>
          <w:sz w:val="24"/>
          <w:szCs w:val="28"/>
        </w:rPr>
        <w:t>、事故后果评价、应急报告等。根据导则的要求，该项目制定的相关环境保护应急预案内容摘要见下表4-1。</w:t>
      </w: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环境风险的突发性事故应急预案</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12"/>
        <w:gridCol w:w="6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0"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1082"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3506"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应急计划区</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主要危险源：污水处理设施、排水管网、相关环保设施等；环境保护目标：厂内工作人员、附近村庄、附近河流。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应急组织结构</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公司设置应急组织机构，经理为应急计划、协调第一人，应急人员必须为培训上岗熟练工；区域应急组织结构由当地政府、相关行业专家、卫生安全相关单位组成，并由当地政府进行统一调度。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预案分级</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响应条件根据事故的严重程度制定相应级别的应急预案，以及适合相应情况的处理措施。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报警、通讯联络方式</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逐一细化应急状态下各主要负责部门的报警通讯方式、地点、电话号码以及相关配套的交通保障、管制、消防联络方法。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应急环境监测</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组织专业队伍负责对事故现场进行侦察监测，对事故性质、参数与后果进行评估，专为指挥部门提供决策依据。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抢险、救援控制措施</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严格规定事故多发工段、事故现场、邻近区域、泄漏区域设置控制和清除污染措施及相应设备的数量、使用方法、使用人员。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人员紧急撤离、疏散计划</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事故现场、工厂邻近区、受事故影响的区域人员及公众对有毒有害物质应急剂量控制规定，制定紧急撤离组织计划和救护，医疗救护与公众健康。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事故应急救援关闭程序</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制定相关应急状态终止程序，事故现场、受影响范围内的善后处理、恢复措施，邻近区域解除事故警戒及善后恢复措施。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事故恢复措施</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制定有关的环境恢复措施（包括生态环境、地表水体），组织专业人员对事故后的环境变化进行监测，对事故应急措施的环境可行性进行后影响评价。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应急培训计划</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定期安排有关人员进行培训与演练。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公众教育和信息</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对企业邻近地区开展公众教育、培训和发布有关信息。</w:t>
            </w:r>
          </w:p>
        </w:tc>
      </w:tr>
    </w:tbl>
    <w:p>
      <w:pPr>
        <w:pStyle w:val="9"/>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根据《建设项目环境风险评价技术导则》(HJ169-2018)、《关于进一步加强环境影响评价管理防范环境风险的通知》(环发[2012]77号)，采取以上事故风险防范措施和应急预案情况下，项目对周围环境的风险影响在可接受的范围之内。</w:t>
      </w:r>
    </w:p>
    <w:p>
      <w:pPr>
        <w:pStyle w:val="9"/>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本次评价建议项目建设单位成立安全环保管理小组，做好防火、防电等工作，并切实落实消防设施的配备工作。经上述措施处理后，该项目对周边环境影响可以接受。同时因项目周围无食品、医药等敏感企业，故该项目对周围环境的环境风险影响较小，在可接受范围之内。</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8" w:name="_Toc17634"/>
      <w:r>
        <w:rPr>
          <w:rFonts w:hint="default" w:ascii="Times New Roman" w:hAnsi="Times New Roman" w:eastAsia="宋体" w:cs="Times New Roman"/>
          <w:b/>
          <w:sz w:val="28"/>
          <w:szCs w:val="32"/>
        </w:rPr>
        <w:t>4.3环保设施投资及“三同时”落实情况</w:t>
      </w:r>
      <w:bookmarkEnd w:id="48"/>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1、项目投资</w:t>
      </w:r>
    </w:p>
    <w:p>
      <w:pPr>
        <w:autoSpaceDE w:val="0"/>
        <w:autoSpaceDN w:val="0"/>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该工程</w:t>
      </w:r>
      <w:r>
        <w:rPr>
          <w:rFonts w:hint="default" w:ascii="Times New Roman" w:hAnsi="Times New Roman" w:eastAsia="宋体" w:cs="Times New Roman"/>
          <w:kern w:val="0"/>
          <w:sz w:val="24"/>
          <w:szCs w:val="24"/>
          <w:lang w:val="en-US" w:eastAsia="zh-CN"/>
        </w:rPr>
        <w:t>实际</w:t>
      </w:r>
      <w:r>
        <w:rPr>
          <w:rFonts w:hint="default" w:ascii="Times New Roman" w:hAnsi="Times New Roman" w:eastAsia="宋体" w:cs="Times New Roman"/>
          <w:kern w:val="0"/>
          <w:sz w:val="24"/>
          <w:szCs w:val="24"/>
        </w:rPr>
        <w:t>总</w:t>
      </w:r>
      <w:r>
        <w:rPr>
          <w:rFonts w:hint="default" w:ascii="Times New Roman" w:hAnsi="Times New Roman" w:eastAsia="宋体" w:cs="Times New Roman"/>
          <w:color w:val="000000"/>
          <w:kern w:val="0"/>
          <w:sz w:val="24"/>
          <w:szCs w:val="24"/>
        </w:rPr>
        <w:t>投资</w:t>
      </w:r>
      <w:r>
        <w:rPr>
          <w:rFonts w:hint="default" w:ascii="Times New Roman" w:hAnsi="Times New Roman" w:eastAsia="宋体" w:cs="Times New Roman"/>
          <w:color w:val="000000"/>
          <w:kern w:val="0"/>
          <w:sz w:val="24"/>
          <w:szCs w:val="24"/>
          <w:lang w:val="en-US" w:eastAsia="zh-CN"/>
        </w:rPr>
        <w:t>1000</w:t>
      </w:r>
      <w:r>
        <w:rPr>
          <w:rFonts w:hint="default" w:ascii="Times New Roman" w:hAnsi="Times New Roman" w:eastAsia="宋体" w:cs="Times New Roman"/>
          <w:color w:val="000000"/>
          <w:kern w:val="0"/>
          <w:sz w:val="24"/>
          <w:szCs w:val="24"/>
          <w:lang w:eastAsia="zh-CN"/>
        </w:rPr>
        <w:t>万</w:t>
      </w:r>
      <w:r>
        <w:rPr>
          <w:rFonts w:hint="default" w:ascii="Times New Roman" w:hAnsi="Times New Roman" w:eastAsia="宋体" w:cs="Times New Roman"/>
          <w:color w:val="000000"/>
          <w:kern w:val="0"/>
          <w:sz w:val="24"/>
          <w:szCs w:val="24"/>
        </w:rPr>
        <w:t>元，其中环保投资</w:t>
      </w:r>
      <w:r>
        <w:rPr>
          <w:rFonts w:hint="default" w:ascii="Times New Roman" w:hAnsi="Times New Roman" w:eastAsia="宋体" w:cs="Times New Roman"/>
          <w:color w:val="000000"/>
          <w:kern w:val="0"/>
          <w:sz w:val="24"/>
          <w:szCs w:val="24"/>
          <w:lang w:val="en-US" w:eastAsia="zh-CN"/>
        </w:rPr>
        <w:t>10</w:t>
      </w:r>
      <w:r>
        <w:rPr>
          <w:rFonts w:hint="default" w:ascii="Times New Roman" w:hAnsi="Times New Roman" w:eastAsia="宋体" w:cs="Times New Roman"/>
          <w:color w:val="000000"/>
          <w:kern w:val="0"/>
          <w:sz w:val="24"/>
          <w:szCs w:val="24"/>
          <w:lang w:eastAsia="zh-CN"/>
        </w:rPr>
        <w:t>万</w:t>
      </w:r>
      <w:r>
        <w:rPr>
          <w:rFonts w:hint="default" w:ascii="Times New Roman" w:hAnsi="Times New Roman" w:eastAsia="宋体" w:cs="Times New Roman"/>
          <w:color w:val="000000"/>
          <w:kern w:val="0"/>
          <w:sz w:val="24"/>
          <w:szCs w:val="24"/>
        </w:rPr>
        <w:t>元，占</w:t>
      </w:r>
      <w:r>
        <w:rPr>
          <w:rFonts w:hint="default" w:ascii="Times New Roman" w:hAnsi="Times New Roman" w:eastAsia="宋体" w:cs="Times New Roman"/>
          <w:kern w:val="0"/>
          <w:sz w:val="24"/>
          <w:szCs w:val="24"/>
        </w:rPr>
        <w:t>总投资的</w:t>
      </w:r>
      <w:r>
        <w:rPr>
          <w:rFonts w:hint="default"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rPr>
        <w:t>%。该工程环保设施(措施)及投资估算情况见表</w:t>
      </w:r>
      <w:r>
        <w:rPr>
          <w:rFonts w:hint="default" w:ascii="Times New Roman" w:hAnsi="Times New Roman" w:eastAsia="宋体" w:cs="Times New Roman"/>
          <w:kern w:val="0"/>
          <w:sz w:val="24"/>
          <w:szCs w:val="24"/>
          <w:lang w:val="en-US" w:eastAsia="zh-CN"/>
        </w:rPr>
        <w:t>4-2</w:t>
      </w:r>
      <w:r>
        <w:rPr>
          <w:rFonts w:hint="default" w:ascii="Times New Roman" w:hAnsi="Times New Roman" w:eastAsia="宋体" w:cs="Times New Roman"/>
          <w:kern w:val="0"/>
          <w:sz w:val="24"/>
          <w:szCs w:val="24"/>
        </w:rPr>
        <w:t>。</w:t>
      </w:r>
    </w:p>
    <w:p>
      <w:pPr>
        <w:widowControl/>
        <w:adjustRightInd w:val="0"/>
        <w:snapToGrid w:val="0"/>
        <w:spacing w:line="240" w:lineRule="auto"/>
        <w:ind w:firstLine="482" w:firstLineChars="200"/>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表</w:t>
      </w:r>
      <w:r>
        <w:rPr>
          <w:rFonts w:hint="default" w:ascii="Times New Roman" w:hAnsi="Times New Roman" w:eastAsia="宋体" w:cs="Times New Roman"/>
          <w:b/>
          <w:kern w:val="0"/>
          <w:sz w:val="24"/>
          <w:szCs w:val="24"/>
          <w:lang w:val="en-US" w:eastAsia="zh-CN"/>
        </w:rPr>
        <w:t>4-2</w:t>
      </w:r>
      <w:r>
        <w:rPr>
          <w:rFonts w:hint="default" w:ascii="Times New Roman" w:hAnsi="Times New Roman" w:eastAsia="宋体" w:cs="Times New Roman"/>
          <w:b/>
          <w:kern w:val="0"/>
          <w:sz w:val="24"/>
          <w:szCs w:val="24"/>
        </w:rPr>
        <w:t xml:space="preserve"> 环保投资估算表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150"/>
        <w:gridCol w:w="3773"/>
        <w:gridCol w:w="710"/>
        <w:gridCol w:w="779"/>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39" w:type="pct"/>
            <w:tcBorders>
              <w:top w:val="single" w:color="auto" w:sz="8" w:space="0"/>
              <w:left w:val="single" w:color="auto" w:sz="8" w:space="0"/>
            </w:tcBorders>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651" w:type="pct"/>
            <w:tcBorders>
              <w:top w:val="single" w:color="auto" w:sz="8" w:space="0"/>
            </w:tcBorders>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环保项目</w:t>
            </w:r>
          </w:p>
        </w:tc>
        <w:tc>
          <w:tcPr>
            <w:tcW w:w="2135" w:type="pct"/>
            <w:tcBorders>
              <w:top w:val="single" w:color="auto" w:sz="8" w:space="0"/>
            </w:tcBorders>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建设内容</w:t>
            </w:r>
          </w:p>
        </w:tc>
        <w:tc>
          <w:tcPr>
            <w:tcW w:w="402" w:type="pct"/>
            <w:tcBorders>
              <w:top w:val="single" w:color="auto" w:sz="8" w:space="0"/>
            </w:tcBorders>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441" w:type="pct"/>
            <w:tcBorders>
              <w:top w:val="single" w:color="auto" w:sz="8" w:space="0"/>
            </w:tcBorders>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单位</w:t>
            </w:r>
          </w:p>
        </w:tc>
        <w:tc>
          <w:tcPr>
            <w:tcW w:w="930" w:type="pct"/>
            <w:tcBorders>
              <w:top w:val="single" w:color="auto" w:sz="8" w:space="0"/>
              <w:right w:val="single" w:color="auto" w:sz="4" w:space="0"/>
            </w:tcBorders>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39" w:type="pct"/>
            <w:tcBorders>
              <w:left w:val="single" w:color="auto" w:sz="8"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65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2135"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隔音、减震、降噪等措施</w:t>
            </w:r>
          </w:p>
        </w:tc>
        <w:tc>
          <w:tcPr>
            <w:tcW w:w="402" w:type="pct"/>
            <w:noWrap w:val="0"/>
            <w:vAlign w:val="center"/>
          </w:tcPr>
          <w:p>
            <w:pPr>
              <w:numPr>
                <w:ilvl w:val="0"/>
                <w:numId w:val="4"/>
              </w:num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套</w:t>
            </w:r>
          </w:p>
        </w:tc>
        <w:tc>
          <w:tcPr>
            <w:tcW w:w="930" w:type="pct"/>
            <w:tcBorders>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39" w:type="pct"/>
            <w:tcBorders>
              <w:left w:val="single" w:color="auto" w:sz="8"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65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213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集气罩+二级活性炭吸附+15m高排气筒DA001</w:t>
            </w:r>
          </w:p>
        </w:tc>
        <w:tc>
          <w:tcPr>
            <w:tcW w:w="402" w:type="pct"/>
            <w:noWrap w:val="0"/>
            <w:vAlign w:val="center"/>
          </w:tcPr>
          <w:p>
            <w:pPr>
              <w:numPr>
                <w:ilvl w:val="0"/>
                <w:numId w:val="4"/>
              </w:num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套</w:t>
            </w:r>
          </w:p>
        </w:tc>
        <w:tc>
          <w:tcPr>
            <w:tcW w:w="930" w:type="pct"/>
            <w:tcBorders>
              <w:right w:val="single" w:color="auto" w:sz="4" w:space="0"/>
            </w:tcBorders>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pct"/>
            <w:tcBorders>
              <w:left w:val="single" w:color="auto" w:sz="8"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65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2135" w:type="pct"/>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化粪池</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沉淀池</w:t>
            </w:r>
          </w:p>
        </w:tc>
        <w:tc>
          <w:tcPr>
            <w:tcW w:w="402" w:type="pct"/>
            <w:noWrap w:val="0"/>
            <w:vAlign w:val="center"/>
          </w:tcPr>
          <w:p>
            <w:pPr>
              <w:numPr>
                <w:ilvl w:val="0"/>
                <w:numId w:val="4"/>
              </w:num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座</w:t>
            </w:r>
          </w:p>
        </w:tc>
        <w:tc>
          <w:tcPr>
            <w:tcW w:w="930" w:type="pct"/>
            <w:tcBorders>
              <w:right w:val="single" w:color="auto" w:sz="4" w:space="0"/>
            </w:tcBorders>
            <w:noWrap w:val="0"/>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39" w:type="pct"/>
            <w:tcBorders>
              <w:left w:val="single" w:color="auto" w:sz="8"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65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2135"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固废存放点</w:t>
            </w:r>
          </w:p>
        </w:tc>
        <w:tc>
          <w:tcPr>
            <w:tcW w:w="402" w:type="pct"/>
            <w:noWrap w:val="0"/>
            <w:vAlign w:val="center"/>
          </w:tcPr>
          <w:p>
            <w:pPr>
              <w:numPr>
                <w:ilvl w:val="0"/>
                <w:numId w:val="4"/>
              </w:num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处</w:t>
            </w:r>
          </w:p>
        </w:tc>
        <w:tc>
          <w:tcPr>
            <w:tcW w:w="930" w:type="pct"/>
            <w:tcBorders>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 w:type="pct"/>
            <w:tcBorders>
              <w:left w:val="single" w:color="auto" w:sz="8" w:space="0"/>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合计</w:t>
            </w:r>
          </w:p>
        </w:tc>
        <w:tc>
          <w:tcPr>
            <w:tcW w:w="65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2135"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40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441"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930" w:type="pct"/>
            <w:tcBorders>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bl>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2、“三同时”落实情况</w:t>
      </w:r>
    </w:p>
    <w:p>
      <w:pPr>
        <w:pStyle w:val="9"/>
        <w:spacing w:after="0" w:line="360" w:lineRule="auto"/>
        <w:ind w:left="0" w:firstLine="480" w:firstLineChars="200"/>
        <w:rPr>
          <w:rFonts w:hint="default" w:ascii="Times New Roman" w:hAnsi="Times New Roman" w:eastAsia="宋体" w:cs="Times New Roman"/>
          <w:color w:val="000000"/>
          <w:sz w:val="24"/>
          <w:szCs w:val="28"/>
        </w:rPr>
      </w:pPr>
      <w:bookmarkStart w:id="49" w:name="_Toc502264597"/>
      <w:r>
        <w:rPr>
          <w:rFonts w:hint="default" w:ascii="Times New Roman" w:hAnsi="Times New Roman" w:eastAsia="宋体" w:cs="Times New Roman"/>
          <w:sz w:val="24"/>
          <w:szCs w:val="28"/>
        </w:rPr>
        <w:t>目前厂区已正常生产，配套环保处理装置均按初步设计</w:t>
      </w:r>
      <w:r>
        <w:rPr>
          <w:rFonts w:hint="default" w:ascii="Times New Roman" w:hAnsi="Times New Roman" w:eastAsia="宋体" w:cs="Times New Roman"/>
          <w:color w:val="000000"/>
          <w:sz w:val="24"/>
          <w:szCs w:val="28"/>
        </w:rPr>
        <w:t>情况安装并可以正常运行。各项目环保措施基本落实到位。</w:t>
      </w:r>
      <w:bookmarkEnd w:id="49"/>
    </w:p>
    <w:p>
      <w:pPr>
        <w:widowControl/>
        <w:adjustRightInd w:val="0"/>
        <w:snapToGrid w:val="0"/>
        <w:spacing w:line="240" w:lineRule="auto"/>
        <w:ind w:firstLine="482" w:firstLineChars="200"/>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表4-3  环保“三同时”验收一览表</w:t>
      </w:r>
    </w:p>
    <w:tbl>
      <w:tblPr>
        <w:tblStyle w:val="29"/>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37"/>
        <w:gridCol w:w="1471"/>
        <w:gridCol w:w="1846"/>
        <w:gridCol w:w="2474"/>
        <w:gridCol w:w="26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247"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832"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1044"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主要设施/设备/措施</w:t>
            </w:r>
          </w:p>
        </w:tc>
        <w:tc>
          <w:tcPr>
            <w:tcW w:w="1399"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验收指标</w:t>
            </w:r>
          </w:p>
        </w:tc>
        <w:tc>
          <w:tcPr>
            <w:tcW w:w="1475"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验收标准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73" w:hRule="atLeast"/>
          <w:jc w:val="center"/>
        </w:trPr>
        <w:tc>
          <w:tcPr>
            <w:tcW w:w="247" w:type="pct"/>
            <w:vMerge w:val="restart"/>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832" w:type="pct"/>
            <w:tcBorders>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DA001</w:t>
            </w:r>
          </w:p>
        </w:tc>
        <w:tc>
          <w:tcPr>
            <w:tcW w:w="1044" w:type="pct"/>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集气罩+二级活性炭吸附+15m排气筒</w:t>
            </w:r>
          </w:p>
        </w:tc>
        <w:tc>
          <w:tcPr>
            <w:tcW w:w="1399" w:type="pct"/>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《挥发性有机物排放标准 第</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eastAsia="zh-CN"/>
              </w:rPr>
              <w:t>部分：</w:t>
            </w:r>
            <w:r>
              <w:rPr>
                <w:rFonts w:hint="default" w:ascii="Times New Roman" w:hAnsi="Times New Roman" w:eastAsia="宋体" w:cs="Times New Roman"/>
                <w:color w:val="auto"/>
                <w:sz w:val="21"/>
                <w:szCs w:val="21"/>
                <w:lang w:val="en-US" w:eastAsia="zh-CN"/>
              </w:rPr>
              <w:t>其他</w:t>
            </w:r>
            <w:r>
              <w:rPr>
                <w:rFonts w:hint="default" w:ascii="Times New Roman" w:hAnsi="Times New Roman" w:eastAsia="宋体" w:cs="Times New Roman"/>
                <w:color w:val="auto"/>
                <w:sz w:val="21"/>
                <w:szCs w:val="21"/>
                <w:lang w:eastAsia="zh-CN"/>
              </w:rPr>
              <w:t>行业》(DB37/ 2801.7—2019)表</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非重点行业对应限值(VOCs最高允许排放浓度≤</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0mg/m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，最高排放速率≤</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kg/h）</w:t>
            </w:r>
          </w:p>
        </w:tc>
        <w:tc>
          <w:tcPr>
            <w:tcW w:w="1475" w:type="pct"/>
            <w:tcBorders>
              <w:left w:val="single" w:color="auto" w:sz="4" w:space="0"/>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《挥发性有机物排放标准 第</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eastAsia="zh-CN"/>
              </w:rPr>
              <w:t>部分：</w:t>
            </w:r>
            <w:r>
              <w:rPr>
                <w:rFonts w:hint="default" w:ascii="Times New Roman" w:hAnsi="Times New Roman" w:eastAsia="宋体" w:cs="Times New Roman"/>
                <w:color w:val="auto"/>
                <w:sz w:val="21"/>
                <w:szCs w:val="21"/>
                <w:lang w:val="en-US" w:eastAsia="zh-CN"/>
              </w:rPr>
              <w:t>其他</w:t>
            </w:r>
            <w:r>
              <w:rPr>
                <w:rFonts w:hint="default" w:ascii="Times New Roman" w:hAnsi="Times New Roman" w:eastAsia="宋体" w:cs="Times New Roman"/>
                <w:color w:val="auto"/>
                <w:sz w:val="21"/>
                <w:szCs w:val="21"/>
                <w:lang w:eastAsia="zh-CN"/>
              </w:rPr>
              <w:t>行业》(DB37/ 2801.7—2019)表</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非重点行业对应限值(VOCs最高允许排放浓度≤</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0mg/m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，最高排放速率≤</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kg/h）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99" w:hRule="atLeast"/>
          <w:jc w:val="center"/>
        </w:trPr>
        <w:tc>
          <w:tcPr>
            <w:tcW w:w="247" w:type="pct"/>
            <w:vMerge w:val="continue"/>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p>
        </w:tc>
        <w:tc>
          <w:tcPr>
            <w:tcW w:w="832" w:type="pct"/>
            <w:tcBorders>
              <w:top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生产过程废气</w:t>
            </w:r>
          </w:p>
        </w:tc>
        <w:tc>
          <w:tcPr>
            <w:tcW w:w="1044" w:type="pc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厂房密闭</w:t>
            </w:r>
          </w:p>
        </w:tc>
        <w:tc>
          <w:tcPr>
            <w:tcW w:w="1399" w:type="pc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《挥发性有机物排放标准 第7部分：其他行业》(DB37/ 2801.7—2019)表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《挥发性有机物无组织排放控制标准》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 37822-2019）表 A.1 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厂房外监控点任意一次</w:t>
            </w:r>
            <w:r>
              <w:rPr>
                <w:rFonts w:hint="eastAsia" w:cs="Times New Roman"/>
                <w:color w:val="auto"/>
                <w:sz w:val="21"/>
                <w:szCs w:val="21"/>
                <w:lang w:eastAsia="zh-CN"/>
              </w:rPr>
              <w:t>监控</w:t>
            </w:r>
            <w:r>
              <w:rPr>
                <w:rFonts w:hint="default" w:ascii="Times New Roman" w:hAnsi="Times New Roman" w:eastAsia="宋体" w:cs="Times New Roman"/>
                <w:color w:val="auto"/>
                <w:sz w:val="21"/>
                <w:szCs w:val="21"/>
                <w:lang w:val="en-US" w:eastAsia="zh-CN"/>
              </w:rPr>
              <w:t>特别排放限值20mg/m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w:t>
            </w:r>
          </w:p>
        </w:tc>
        <w:tc>
          <w:tcPr>
            <w:tcW w:w="1475" w:type="pct"/>
            <w:tcBorders>
              <w:top w:val="single" w:color="auto" w:sz="4" w:space="0"/>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《挥发性有机物排放标准 第7部分：其他行业》(DB37/ 2801.7—2019)表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《挥发性有机物无组织排放控制标准》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 37822-2019）表 A.1 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厂房外监控点任意一次</w:t>
            </w:r>
            <w:r>
              <w:rPr>
                <w:rFonts w:hint="eastAsia" w:cs="Times New Roman"/>
                <w:color w:val="auto"/>
                <w:sz w:val="21"/>
                <w:szCs w:val="21"/>
                <w:lang w:eastAsia="zh-CN"/>
              </w:rPr>
              <w:t>监控</w:t>
            </w:r>
            <w:r>
              <w:rPr>
                <w:rFonts w:hint="default" w:ascii="Times New Roman" w:hAnsi="Times New Roman" w:eastAsia="宋体" w:cs="Times New Roman"/>
                <w:color w:val="auto"/>
                <w:sz w:val="21"/>
                <w:szCs w:val="21"/>
                <w:lang w:val="en-US" w:eastAsia="zh-CN"/>
              </w:rPr>
              <w:t>特别排放限值20mg/m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247" w:type="pct"/>
            <w:vMerge w:val="restart"/>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832" w:type="pct"/>
            <w:tcBorders>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生活污水</w:t>
            </w:r>
          </w:p>
        </w:tc>
        <w:tc>
          <w:tcPr>
            <w:tcW w:w="1044" w:type="pct"/>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化粪池</w:t>
            </w:r>
            <w:r>
              <w:rPr>
                <w:rFonts w:hint="default" w:ascii="Times New Roman" w:hAnsi="Times New Roman" w:eastAsia="宋体" w:cs="Times New Roman"/>
                <w:color w:val="auto"/>
                <w:sz w:val="21"/>
                <w:szCs w:val="21"/>
                <w:highlight w:val="none"/>
                <w:vertAlign w:val="baseline"/>
                <w:lang w:val="en-US" w:eastAsia="zh-CN"/>
              </w:rPr>
              <w:t>预处理后由环卫部门统一清运</w:t>
            </w:r>
          </w:p>
        </w:tc>
        <w:tc>
          <w:tcPr>
            <w:tcW w:w="1399" w:type="pct"/>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475" w:type="pct"/>
            <w:tcBorders>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0" w:hRule="atLeast"/>
          <w:jc w:val="center"/>
        </w:trPr>
        <w:tc>
          <w:tcPr>
            <w:tcW w:w="247" w:type="pct"/>
            <w:vMerge w:val="continue"/>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p>
        </w:tc>
        <w:tc>
          <w:tcPr>
            <w:tcW w:w="832" w:type="pct"/>
            <w:tcBorders>
              <w:top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生产废水</w:t>
            </w:r>
          </w:p>
        </w:tc>
        <w:tc>
          <w:tcPr>
            <w:tcW w:w="1044" w:type="pct"/>
            <w:tcBorders>
              <w:top w:val="single" w:color="auto" w:sz="4" w:space="0"/>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进入沉淀池沉淀后上清液进入钻孔、磨边、清洗工序作为</w:t>
            </w:r>
            <w:r>
              <w:rPr>
                <w:rFonts w:hint="eastAsia" w:cs="Times New Roman"/>
                <w:color w:val="auto"/>
                <w:sz w:val="21"/>
                <w:szCs w:val="21"/>
                <w:highlight w:val="none"/>
                <w:lang w:val="en-US" w:eastAsia="zh-CN"/>
              </w:rPr>
              <w:t>循环</w:t>
            </w:r>
            <w:r>
              <w:rPr>
                <w:rFonts w:hint="default" w:ascii="Times New Roman" w:hAnsi="Times New Roman" w:eastAsia="宋体" w:cs="Times New Roman"/>
                <w:color w:val="auto"/>
                <w:sz w:val="21"/>
                <w:szCs w:val="21"/>
                <w:highlight w:val="none"/>
                <w:lang w:val="en-US" w:eastAsia="zh-CN"/>
              </w:rPr>
              <w:t>水在利用，不外排。</w:t>
            </w:r>
          </w:p>
        </w:tc>
        <w:tc>
          <w:tcPr>
            <w:tcW w:w="1399" w:type="pc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475" w:type="pct"/>
            <w:tcBorders>
              <w:top w:val="single" w:color="auto" w:sz="4" w:space="0"/>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95" w:hRule="atLeast"/>
          <w:jc w:val="center"/>
        </w:trPr>
        <w:tc>
          <w:tcPr>
            <w:tcW w:w="247"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832" w:type="pct"/>
            <w:tcBorders>
              <w:bottom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设备噪声</w:t>
            </w:r>
          </w:p>
        </w:tc>
        <w:tc>
          <w:tcPr>
            <w:tcW w:w="1044" w:type="pct"/>
            <w:tcBorders>
              <w:bottom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选用运行噪声低的设备，</w:t>
            </w:r>
            <w:r>
              <w:rPr>
                <w:rFonts w:hint="default" w:ascii="Times New Roman" w:hAnsi="Times New Roman" w:eastAsia="宋体" w:cs="Times New Roman"/>
                <w:sz w:val="21"/>
                <w:szCs w:val="21"/>
                <w:lang w:val="en-US" w:eastAsia="zh-CN"/>
              </w:rPr>
              <w:t>安装减震装置、车间合理布局</w:t>
            </w:r>
          </w:p>
        </w:tc>
        <w:tc>
          <w:tcPr>
            <w:tcW w:w="1399" w:type="pct"/>
            <w:tcBorders>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东、西、北、南厂界</w:t>
            </w:r>
          </w:p>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昼间：6</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dB(A)</w:t>
            </w:r>
          </w:p>
          <w:p>
            <w:pPr>
              <w:autoSpaceDE w:val="0"/>
              <w:autoSpaceDN w:val="0"/>
              <w:adjustRightInd w:val="0"/>
              <w:spacing w:line="240" w:lineRule="auto"/>
              <w:jc w:val="center"/>
              <w:rPr>
                <w:rFonts w:hint="default" w:ascii="Times New Roman" w:hAnsi="Times New Roman" w:eastAsia="宋体" w:cs="Times New Roman"/>
                <w:sz w:val="21"/>
                <w:szCs w:val="21"/>
              </w:rPr>
            </w:pPr>
          </w:p>
        </w:tc>
        <w:tc>
          <w:tcPr>
            <w:tcW w:w="1475" w:type="pct"/>
            <w:tcBorders>
              <w:left w:val="single" w:color="auto" w:sz="4" w:space="0"/>
              <w:bottom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w:t>
            </w:r>
          </w:p>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2" w:hRule="atLeast"/>
          <w:jc w:val="center"/>
        </w:trPr>
        <w:tc>
          <w:tcPr>
            <w:tcW w:w="247"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832" w:type="pct"/>
            <w:tcBorders>
              <w:top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废胶桶、废润滑油、废润滑油桶、废活性炭、废玻璃下脚料，PVB胶片边角料、玻璃沉渣、废包装箱、废包装袋、废铝条小角料</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生活垃圾</w:t>
            </w:r>
          </w:p>
        </w:tc>
        <w:tc>
          <w:tcPr>
            <w:tcW w:w="1044" w:type="pct"/>
            <w:tcBorders>
              <w:top w:val="single" w:color="auto" w:sz="4" w:space="0"/>
              <w:left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废胶桶、废活性炭、废胶、废润滑油、废润滑油桶收集后暂存于危废暂存间</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color w:val="auto"/>
                <w:sz w:val="21"/>
                <w:szCs w:val="21"/>
              </w:rPr>
              <w:t>定期委托有资质单位处置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玻璃边角料、玻璃沉渣、碎玻璃渣、不合格品、铝片边角料、PVB胶片边角料外售综合利用；</w:t>
            </w:r>
            <w:r>
              <w:rPr>
                <w:rFonts w:hint="default" w:ascii="Times New Roman" w:hAnsi="Times New Roman" w:eastAsia="宋体" w:cs="Times New Roman"/>
                <w:sz w:val="21"/>
                <w:szCs w:val="21"/>
                <w:lang w:val="en-US" w:eastAsia="zh-CN"/>
              </w:rPr>
              <w:t>生活垃圾收集后由环卫部门统一清运处理。</w:t>
            </w:r>
          </w:p>
        </w:tc>
        <w:tc>
          <w:tcPr>
            <w:tcW w:w="1399" w:type="pct"/>
            <w:tcBorders>
              <w:top w:val="single" w:color="auto" w:sz="4" w:space="0"/>
              <w:left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《一般工业固体废物贮存和填埋污染控制标准》（GB 18599-2020）</w:t>
            </w:r>
            <w:r>
              <w:rPr>
                <w:rFonts w:hint="default" w:ascii="Times New Roman" w:hAnsi="Times New Roman" w:eastAsia="宋体" w:cs="Times New Roman"/>
                <w:color w:val="auto"/>
                <w:sz w:val="21"/>
                <w:szCs w:val="21"/>
              </w:rPr>
              <w:t>危险废物贮存污染控制标准》 (GB18597-2023）</w:t>
            </w:r>
          </w:p>
        </w:tc>
        <w:tc>
          <w:tcPr>
            <w:tcW w:w="1475" w:type="pct"/>
            <w:tcBorders>
              <w:top w:val="single" w:color="auto" w:sz="4" w:space="0"/>
              <w:lef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《一般工业固体废物贮存和填埋污染控制标准》（GB 18599-2020）</w:t>
            </w:r>
            <w:r>
              <w:rPr>
                <w:rFonts w:hint="default" w:ascii="Times New Roman" w:hAnsi="Times New Roman" w:eastAsia="宋体" w:cs="Times New Roman"/>
                <w:color w:val="auto"/>
                <w:sz w:val="21"/>
                <w:szCs w:val="21"/>
              </w:rPr>
              <w:t>危险废物贮存污染控制标准》 (GB18597-2023）</w:t>
            </w:r>
          </w:p>
        </w:tc>
      </w:tr>
    </w:tbl>
    <w:p>
      <w:pPr>
        <w:pStyle w:val="9"/>
        <w:spacing w:after="0" w:line="360" w:lineRule="auto"/>
        <w:ind w:left="0"/>
        <w:jc w:val="center"/>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sectPr>
          <w:pgSz w:w="11906" w:h="16838"/>
          <w:pgMar w:top="1440" w:right="1698" w:bottom="1440"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50" w:name="_Toc19499"/>
      <w:r>
        <w:rPr>
          <w:rFonts w:hint="default" w:ascii="Times New Roman" w:hAnsi="Times New Roman" w:eastAsia="宋体" w:cs="Times New Roman"/>
          <w:b/>
          <w:sz w:val="32"/>
          <w:szCs w:val="32"/>
        </w:rPr>
        <w:t>5、建设项目环评报告表的主要结论与建议及审批部门审批决定</w:t>
      </w:r>
      <w:bookmarkEnd w:id="50"/>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51" w:name="_Toc15391"/>
      <w:r>
        <w:rPr>
          <w:rFonts w:hint="default" w:ascii="Times New Roman" w:hAnsi="Times New Roman" w:eastAsia="宋体" w:cs="Times New Roman"/>
          <w:b/>
          <w:sz w:val="28"/>
          <w:szCs w:val="32"/>
        </w:rPr>
        <w:t>5.1建设项目环评报告书表的主要结论与建议</w:t>
      </w:r>
      <w:bookmarkEnd w:id="51"/>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1.1项目概况</w:t>
      </w:r>
    </w:p>
    <w:p>
      <w:pPr>
        <w:pStyle w:val="87"/>
        <w:adjustRightInd w:val="0"/>
        <w:snapToGrid w:val="0"/>
        <w:rPr>
          <w:rFonts w:hint="default" w:ascii="Times New Roman" w:hAnsi="Times New Roman" w:eastAsia="宋体" w:cs="Times New Roman"/>
          <w:color w:val="FF0000"/>
          <w:sz w:val="24"/>
          <w:szCs w:val="24"/>
          <w:lang w:bidi="ar"/>
        </w:rPr>
      </w:pPr>
      <w:r>
        <w:rPr>
          <w:rFonts w:hint="eastAsia" w:ascii="Times New Roman" w:hAnsi="Times New Roman" w:eastAsia="宋体" w:cs="Times New Roman"/>
          <w:color w:val="auto"/>
          <w:kern w:val="0"/>
          <w:sz w:val="24"/>
          <w:szCs w:val="22"/>
          <w:lang w:val="en-US" w:eastAsia="zh-CN" w:bidi="ar-SA"/>
        </w:rPr>
        <w:t>山东省朗荣玻璃科技股份有限公司</w:t>
      </w:r>
      <w:r>
        <w:rPr>
          <w:rFonts w:hint="default" w:ascii="Times New Roman" w:hAnsi="Times New Roman" w:eastAsia="宋体" w:cs="Times New Roman"/>
          <w:color w:val="auto"/>
          <w:kern w:val="0"/>
          <w:sz w:val="24"/>
          <w:szCs w:val="22"/>
          <w:lang w:val="en-US" w:eastAsia="zh-CN" w:bidi="ar-SA"/>
        </w:rPr>
        <w:t>位于山东省曹县中小企业孵化园，</w:t>
      </w:r>
      <w:r>
        <w:rPr>
          <w:rFonts w:hint="eastAsia" w:ascii="Times New Roman" w:hAnsi="Times New Roman" w:eastAsia="宋体" w:cs="Times New Roman"/>
          <w:color w:val="000000"/>
          <w:kern w:val="0"/>
          <w:sz w:val="24"/>
          <w:lang w:eastAsia="zh-CN" w:bidi="ar"/>
        </w:rPr>
        <w:t>山东省朗荣玻璃科技股份有限公司</w:t>
      </w:r>
      <w:r>
        <w:rPr>
          <w:rFonts w:hint="default" w:ascii="Times New Roman" w:hAnsi="Times New Roman" w:eastAsia="宋体" w:cs="Times New Roman"/>
          <w:bCs/>
          <w:color w:val="000000"/>
          <w:sz w:val="24"/>
        </w:rPr>
        <w:t>拟投资</w:t>
      </w:r>
      <w:r>
        <w:rPr>
          <w:rFonts w:hint="default" w:ascii="Times New Roman" w:hAnsi="Times New Roman" w:eastAsia="宋体" w:cs="Times New Roman"/>
          <w:color w:val="000000"/>
          <w:sz w:val="24"/>
          <w:szCs w:val="24"/>
          <w:lang w:bidi="ar"/>
        </w:rPr>
        <w:t>100</w:t>
      </w:r>
      <w:r>
        <w:rPr>
          <w:rFonts w:hint="eastAsia" w:ascii="Times New Roman" w:hAnsi="Times New Roman" w:eastAsia="宋体" w:cs="Times New Roman"/>
          <w:color w:val="000000"/>
          <w:sz w:val="24"/>
          <w:szCs w:val="24"/>
          <w:lang w:val="en-US" w:eastAsia="zh-CN" w:bidi="ar"/>
        </w:rPr>
        <w:t>0</w:t>
      </w:r>
      <w:r>
        <w:rPr>
          <w:rFonts w:hint="default" w:ascii="Times New Roman" w:hAnsi="Times New Roman" w:eastAsia="宋体" w:cs="Times New Roman"/>
          <w:color w:val="000000"/>
          <w:sz w:val="24"/>
          <w:szCs w:val="24"/>
          <w:lang w:bidi="ar"/>
        </w:rPr>
        <w:t>万元</w:t>
      </w:r>
      <w:r>
        <w:rPr>
          <w:rFonts w:hint="default" w:ascii="Times New Roman" w:hAnsi="Times New Roman" w:eastAsia="宋体" w:cs="Times New Roman"/>
          <w:bCs/>
          <w:color w:val="000000"/>
          <w:sz w:val="24"/>
        </w:rPr>
        <w:t>建设</w:t>
      </w:r>
      <w:r>
        <w:rPr>
          <w:rFonts w:hint="default" w:ascii="Times New Roman" w:hAnsi="Times New Roman" w:eastAsia="宋体" w:cs="Times New Roman"/>
          <w:color w:val="000000"/>
          <w:kern w:val="0"/>
          <w:sz w:val="24"/>
          <w:szCs w:val="24"/>
          <w:lang w:eastAsia="zh-CN" w:bidi="ar"/>
        </w:rPr>
        <w:t>钢化玻璃、夹层玻璃、中空玻璃生产</w:t>
      </w:r>
      <w:r>
        <w:rPr>
          <w:rFonts w:hint="default" w:ascii="Times New Roman" w:hAnsi="Times New Roman" w:eastAsia="宋体" w:cs="Times New Roman"/>
          <w:color w:val="000000"/>
          <w:kern w:val="0"/>
          <w:sz w:val="24"/>
          <w:szCs w:val="24"/>
          <w:lang w:bidi="ar"/>
        </w:rPr>
        <w:t>项目</w:t>
      </w:r>
      <w:r>
        <w:rPr>
          <w:rFonts w:hint="default" w:ascii="Times New Roman" w:hAnsi="Times New Roman" w:eastAsia="宋体" w:cs="Times New Roman"/>
          <w:color w:val="000000"/>
          <w:kern w:val="0"/>
          <w:sz w:val="24"/>
          <w:lang w:bidi="ar"/>
        </w:rPr>
        <w:t>，</w:t>
      </w:r>
      <w:r>
        <w:rPr>
          <w:rFonts w:hint="default" w:ascii="Times New Roman" w:hAnsi="Times New Roman" w:eastAsia="宋体" w:cs="Times New Roman"/>
          <w:color w:val="auto"/>
          <w:kern w:val="0"/>
          <w:sz w:val="24"/>
          <w:szCs w:val="22"/>
          <w:lang w:val="en-US" w:eastAsia="zh-CN" w:bidi="ar-SA"/>
        </w:rPr>
        <w:t>环保投资1</w:t>
      </w:r>
      <w:r>
        <w:rPr>
          <w:rFonts w:hint="eastAsia" w:ascii="Times New Roman" w:hAnsi="Times New Roman" w:eastAsia="宋体" w:cs="Times New Roman"/>
          <w:color w:val="auto"/>
          <w:kern w:val="0"/>
          <w:sz w:val="24"/>
          <w:szCs w:val="22"/>
          <w:lang w:val="en-US" w:eastAsia="zh-CN" w:bidi="ar-SA"/>
        </w:rPr>
        <w:t>0</w:t>
      </w:r>
      <w:r>
        <w:rPr>
          <w:rFonts w:hint="default" w:ascii="Times New Roman" w:hAnsi="Times New Roman" w:eastAsia="宋体" w:cs="Times New Roman"/>
          <w:color w:val="auto"/>
          <w:kern w:val="0"/>
          <w:sz w:val="24"/>
          <w:szCs w:val="22"/>
          <w:lang w:val="en-US" w:eastAsia="zh-CN" w:bidi="ar-SA"/>
        </w:rPr>
        <w:t>万元，</w:t>
      </w:r>
      <w:r>
        <w:rPr>
          <w:rFonts w:hint="default" w:ascii="Times New Roman" w:hAnsi="Times New Roman" w:eastAsia="宋体" w:cs="Times New Roman"/>
          <w:sz w:val="24"/>
        </w:rPr>
        <w:t>租赁现有厂房进行建设</w:t>
      </w:r>
      <w:r>
        <w:rPr>
          <w:rFonts w:hint="default" w:ascii="Times New Roman" w:hAnsi="Times New Roman" w:eastAsia="宋体" w:cs="Times New Roman"/>
          <w:color w:val="000000"/>
          <w:sz w:val="24"/>
          <w:szCs w:val="24"/>
          <w:lang w:bidi="ar"/>
        </w:rPr>
        <w:t>，租凭厂区总占地约</w:t>
      </w:r>
      <w:r>
        <w:rPr>
          <w:rFonts w:hint="eastAsia" w:ascii="Times New Roman" w:hAnsi="Times New Roman" w:eastAsia="宋体" w:cs="Times New Roman"/>
          <w:color w:val="000000"/>
          <w:sz w:val="24"/>
          <w:szCs w:val="24"/>
          <w:lang w:val="en-US" w:eastAsia="zh-CN" w:bidi="ar"/>
        </w:rPr>
        <w:t>8085</w:t>
      </w:r>
      <w:r>
        <w:rPr>
          <w:rFonts w:hint="default" w:ascii="Times New Roman" w:hAnsi="Times New Roman" w:eastAsia="宋体" w:cs="Times New Roman"/>
          <w:color w:val="000000"/>
          <w:sz w:val="24"/>
          <w:szCs w:val="24"/>
          <w:lang w:bidi="ar"/>
        </w:rPr>
        <w:t>平方米，总建筑面积</w:t>
      </w:r>
      <w:r>
        <w:rPr>
          <w:rFonts w:hint="eastAsia" w:ascii="Times New Roman" w:hAnsi="Times New Roman" w:eastAsia="宋体" w:cs="Times New Roman"/>
          <w:color w:val="000000"/>
          <w:sz w:val="24"/>
          <w:szCs w:val="24"/>
          <w:lang w:val="en-US" w:eastAsia="zh-CN" w:bidi="ar"/>
        </w:rPr>
        <w:t>6785</w:t>
      </w:r>
      <w:r>
        <w:rPr>
          <w:rFonts w:hint="default" w:ascii="Times New Roman" w:hAnsi="Times New Roman" w:eastAsia="宋体" w:cs="Times New Roman"/>
          <w:color w:val="000000"/>
          <w:sz w:val="24"/>
          <w:szCs w:val="24"/>
          <w:lang w:bidi="ar"/>
        </w:rPr>
        <w:t>平方米。本项目</w:t>
      </w:r>
      <w:r>
        <w:rPr>
          <w:rFonts w:hint="default" w:ascii="Times New Roman" w:hAnsi="Times New Roman" w:eastAsia="宋体" w:cs="Times New Roman"/>
          <w:bCs/>
          <w:color w:val="000000"/>
          <w:sz w:val="24"/>
          <w:szCs w:val="24"/>
        </w:rPr>
        <w:t>主要建设内容有生产车间、办公室等</w:t>
      </w:r>
      <w:r>
        <w:rPr>
          <w:rFonts w:hint="default" w:ascii="Times New Roman" w:hAnsi="Times New Roman" w:eastAsia="宋体" w:cs="Times New Roman"/>
          <w:color w:val="000000"/>
          <w:sz w:val="24"/>
          <w:szCs w:val="24"/>
          <w:lang w:bidi="ar"/>
        </w:rPr>
        <w:t>。项目拟定劳动定员</w:t>
      </w:r>
      <w:r>
        <w:rPr>
          <w:rFonts w:hint="eastAsia" w:ascii="Times New Roman" w:hAnsi="Times New Roman" w:eastAsia="宋体" w:cs="Times New Roman"/>
          <w:color w:val="000000"/>
          <w:sz w:val="24"/>
          <w:szCs w:val="24"/>
          <w:lang w:val="en-US" w:eastAsia="zh-CN" w:bidi="ar"/>
        </w:rPr>
        <w:t>50</w:t>
      </w:r>
      <w:r>
        <w:rPr>
          <w:rFonts w:hint="default" w:ascii="Times New Roman" w:hAnsi="Times New Roman" w:eastAsia="宋体" w:cs="Times New Roman"/>
          <w:color w:val="000000"/>
          <w:sz w:val="24"/>
          <w:szCs w:val="24"/>
          <w:lang w:bidi="ar"/>
        </w:rPr>
        <w:t>人，年工作日300天，每天生产8小时。</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1.2项目相符性分析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根据《产业结构调整指导目录》（2019年本），本项目不属于鼓励类、限制类和淘汰类，属于允许建设项目，符合国家产业政策要求。该项目已在山东省政务服务平台进行了备案，项目代码为：</w:t>
      </w:r>
      <w:r>
        <w:rPr>
          <w:rFonts w:hint="eastAsia" w:ascii="Times New Roman" w:hAnsi="Times New Roman" w:eastAsia="宋体" w:cs="Times New Roman"/>
          <w:color w:val="auto"/>
          <w:kern w:val="0"/>
          <w:sz w:val="24"/>
          <w:szCs w:val="22"/>
          <w:lang w:val="en-US" w:eastAsia="zh-CN" w:bidi="ar-SA"/>
        </w:rPr>
        <w:t>2211</w:t>
      </w:r>
      <w:r>
        <w:rPr>
          <w:rFonts w:hint="default" w:ascii="Times New Roman" w:hAnsi="Times New Roman" w:eastAsia="宋体" w:cs="Times New Roman"/>
          <w:color w:val="auto"/>
          <w:kern w:val="0"/>
          <w:sz w:val="24"/>
          <w:szCs w:val="22"/>
          <w:lang w:val="en-US" w:eastAsia="zh-CN" w:bidi="ar-SA"/>
        </w:rPr>
        <w:t>-3717</w:t>
      </w:r>
      <w:r>
        <w:rPr>
          <w:rFonts w:hint="eastAsia" w:ascii="Times New Roman" w:hAnsi="Times New Roman" w:eastAsia="宋体" w:cs="Times New Roman"/>
          <w:color w:val="auto"/>
          <w:kern w:val="0"/>
          <w:sz w:val="24"/>
          <w:szCs w:val="22"/>
          <w:lang w:val="en-US" w:eastAsia="zh-CN" w:bidi="ar-SA"/>
        </w:rPr>
        <w:t>21</w:t>
      </w:r>
      <w:r>
        <w:rPr>
          <w:rFonts w:hint="default" w:ascii="Times New Roman" w:hAnsi="Times New Roman" w:eastAsia="宋体" w:cs="Times New Roman"/>
          <w:color w:val="auto"/>
          <w:kern w:val="0"/>
          <w:sz w:val="24"/>
          <w:szCs w:val="22"/>
          <w:lang w:val="en-US" w:eastAsia="zh-CN" w:bidi="ar-SA"/>
        </w:rPr>
        <w:t>-89-01-</w:t>
      </w:r>
      <w:r>
        <w:rPr>
          <w:rFonts w:hint="eastAsia" w:ascii="Times New Roman" w:hAnsi="Times New Roman" w:eastAsia="宋体" w:cs="Times New Roman"/>
          <w:color w:val="auto"/>
          <w:kern w:val="0"/>
          <w:sz w:val="24"/>
          <w:szCs w:val="22"/>
          <w:lang w:val="en-US" w:eastAsia="zh-CN" w:bidi="ar-SA"/>
        </w:rPr>
        <w:t>947590</w:t>
      </w:r>
      <w:r>
        <w:rPr>
          <w:rFonts w:hint="default" w:ascii="Times New Roman" w:hAnsi="Times New Roman" w:eastAsia="宋体" w:cs="Times New Roman"/>
          <w:color w:val="auto"/>
          <w:kern w:val="0"/>
          <w:sz w:val="24"/>
          <w:szCs w:val="22"/>
          <w:lang w:val="en-US" w:eastAsia="zh-CN" w:bidi="ar-SA"/>
        </w:rPr>
        <w:t>。因此，本项目符合国家及地方产业政策。</w:t>
      </w:r>
    </w:p>
    <w:p>
      <w:pPr>
        <w:pStyle w:val="26"/>
        <w:spacing w:before="0" w:beforeAutospacing="0" w:after="0" w:afterAutospacing="0" w:line="360" w:lineRule="auto"/>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1.</w:t>
      </w:r>
      <w:r>
        <w:rPr>
          <w:rFonts w:hint="default" w:ascii="Times New Roman" w:hAnsi="Times New Roman" w:eastAsia="宋体" w:cs="Times New Roman"/>
          <w:b/>
          <w:bCs/>
          <w:color w:val="auto"/>
          <w:lang w:val="en-US" w:eastAsia="zh-CN"/>
        </w:rPr>
        <w:t>3环境空气质量现状</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项目位于</w:t>
      </w:r>
      <w:r>
        <w:rPr>
          <w:rFonts w:hint="default" w:ascii="Times New Roman" w:hAnsi="Times New Roman" w:eastAsia="宋体" w:cs="Times New Roman"/>
          <w:color w:val="auto"/>
          <w:kern w:val="0"/>
          <w:sz w:val="24"/>
          <w:szCs w:val="22"/>
          <w:lang w:val="en-US" w:eastAsia="zh-CN" w:bidi="ar-SA"/>
        </w:rPr>
        <w:t>山东省曹县中小企业孵化园</w:t>
      </w:r>
      <w:r>
        <w:rPr>
          <w:rFonts w:hint="default" w:ascii="Times New Roman" w:hAnsi="Times New Roman" w:eastAsia="宋体" w:cs="Times New Roman"/>
          <w:sz w:val="24"/>
        </w:rPr>
        <w:t>，为了解项目区环境空气质量现状，本次环评搜集了菏泽市生态环境局在“菏泽市智慧环保监管平台”发布的环境空气质量监测数据，</w:t>
      </w:r>
      <w:r>
        <w:rPr>
          <w:rFonts w:hint="default" w:ascii="Times New Roman" w:hAnsi="Times New Roman" w:eastAsia="宋体" w:cs="Times New Roman"/>
          <w:sz w:val="24"/>
          <w:lang w:val="en-US" w:eastAsia="zh-CN"/>
        </w:rPr>
        <w:t>普连集镇</w:t>
      </w:r>
      <w:r>
        <w:rPr>
          <w:rFonts w:hint="default" w:ascii="Times New Roman" w:hAnsi="Times New Roman" w:eastAsia="宋体" w:cs="Times New Roman"/>
          <w:sz w:val="24"/>
        </w:rPr>
        <w:t>2022年监测数据见表</w:t>
      </w:r>
      <w:r>
        <w:rPr>
          <w:rFonts w:hint="default" w:ascii="Times New Roman" w:hAnsi="Times New Roman" w:eastAsia="宋体" w:cs="Times New Roman"/>
          <w:sz w:val="24"/>
          <w:lang w:val="en-US" w:eastAsia="zh-CN"/>
        </w:rPr>
        <w:t>5.1-1</w:t>
      </w:r>
      <w:r>
        <w:rPr>
          <w:rFonts w:hint="default" w:ascii="Times New Roman" w:hAnsi="Times New Roman" w:eastAsia="宋体" w:cs="Times New Roman"/>
          <w:sz w:val="24"/>
        </w:rPr>
        <w:t>。</w:t>
      </w:r>
    </w:p>
    <w:p>
      <w:pPr>
        <w:spacing w:line="24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5.1-1</w:t>
      </w:r>
      <w:r>
        <w:rPr>
          <w:rFonts w:hint="default" w:ascii="Times New Roman" w:hAnsi="Times New Roman" w:eastAsia="宋体" w:cs="Times New Roman"/>
          <w:b/>
          <w:sz w:val="24"/>
          <w:szCs w:val="24"/>
        </w:rPr>
        <w:t xml:space="preserve">  2022年</w:t>
      </w:r>
      <w:r>
        <w:rPr>
          <w:rFonts w:hint="default" w:ascii="Times New Roman" w:hAnsi="Times New Roman" w:eastAsia="宋体" w:cs="Times New Roman"/>
          <w:b/>
          <w:sz w:val="24"/>
          <w:szCs w:val="24"/>
          <w:lang w:val="en-US" w:eastAsia="zh-CN"/>
        </w:rPr>
        <w:t>普连集镇</w:t>
      </w:r>
      <w:r>
        <w:rPr>
          <w:rFonts w:hint="default" w:ascii="Times New Roman" w:hAnsi="Times New Roman" w:eastAsia="宋体" w:cs="Times New Roman"/>
          <w:b/>
          <w:sz w:val="24"/>
          <w:szCs w:val="24"/>
        </w:rPr>
        <w:t>环境空气质量情况</w:t>
      </w:r>
    </w:p>
    <w:tbl>
      <w:tblPr>
        <w:tblStyle w:val="30"/>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1138"/>
        <w:gridCol w:w="1139"/>
        <w:gridCol w:w="1062"/>
        <w:gridCol w:w="886"/>
        <w:gridCol w:w="1469"/>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1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 xml:space="preserve"> (μg</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13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color w:val="auto"/>
                <w:sz w:val="21"/>
                <w:szCs w:val="21"/>
              </w:rPr>
              <w:t>NO</w:t>
            </w:r>
            <w:r>
              <w:rPr>
                <w:rFonts w:hint="default" w:ascii="Times New Roman" w:hAnsi="Times New Roman" w:cs="Times New Roman"/>
                <w:b w:val="0"/>
                <w:color w:val="auto"/>
                <w:sz w:val="21"/>
                <w:szCs w:val="21"/>
                <w:vertAlign w:val="subscript"/>
                <w:lang w:val="en-US" w:eastAsia="zh-CN"/>
              </w:rPr>
              <w:t>2</w:t>
            </w:r>
            <w:r>
              <w:rPr>
                <w:rFonts w:hint="default" w:ascii="Times New Roman" w:hAnsi="Times New Roman" w:cs="Times New Roman"/>
                <w:color w:val="auto"/>
                <w:sz w:val="21"/>
                <w:szCs w:val="21"/>
                <w:vertAlign w:val="subscript"/>
              </w:rPr>
              <w:t xml:space="preserve"> </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 xml:space="preserve">10 </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 xml:space="preserve"> (μg/m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4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subscript"/>
                <w:lang w:val="en-US" w:eastAsia="zh-CN"/>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baseline"/>
                <w:lang w:val="en-US" w:eastAsia="zh-CN"/>
              </w:rPr>
              <w:t>日最大8小时平均浓度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CO </w:t>
            </w:r>
            <w:r>
              <w:rPr>
                <w:rFonts w:hint="default" w:ascii="Times New Roman" w:hAnsi="Times New Roman" w:cs="Times New Roman"/>
                <w:color w:val="auto"/>
                <w:sz w:val="21"/>
                <w:szCs w:val="21"/>
                <w:lang w:val="en-US" w:eastAsia="zh-CN"/>
              </w:rPr>
              <w:t>24小时平均浓度</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平均值</w:t>
            </w:r>
          </w:p>
        </w:tc>
        <w:tc>
          <w:tcPr>
            <w:tcW w:w="11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113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w:t>
            </w:r>
          </w:p>
        </w:tc>
        <w:tc>
          <w:tcPr>
            <w:tcW w:w="10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87</w:t>
            </w: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53</w:t>
            </w:r>
          </w:p>
        </w:tc>
        <w:tc>
          <w:tcPr>
            <w:tcW w:w="14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152</w:t>
            </w:r>
          </w:p>
        </w:tc>
        <w:tc>
          <w:tcPr>
            <w:tcW w:w="1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11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13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10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14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1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是否达标</w:t>
            </w:r>
          </w:p>
        </w:tc>
        <w:tc>
          <w:tcPr>
            <w:tcW w:w="11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113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10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w:t>
            </w:r>
          </w:p>
        </w:tc>
        <w:tc>
          <w:tcPr>
            <w:tcW w:w="8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w:t>
            </w:r>
          </w:p>
        </w:tc>
        <w:tc>
          <w:tcPr>
            <w:tcW w:w="14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达标</w:t>
            </w:r>
          </w:p>
        </w:tc>
        <w:tc>
          <w:tcPr>
            <w:tcW w:w="1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adjustRightInd w:val="0"/>
        <w:snapToGrid w:val="0"/>
        <w:spacing w:line="440" w:lineRule="exact"/>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由上表分析结果可知，</w:t>
      </w:r>
      <w:r>
        <w:rPr>
          <w:rFonts w:hint="default" w:ascii="Times New Roman" w:hAnsi="Times New Roman" w:eastAsia="宋体" w:cs="Times New Roman"/>
          <w:color w:val="auto"/>
          <w:sz w:val="24"/>
          <w:szCs w:val="24"/>
        </w:rPr>
        <w:t>可知，202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u w:val="none"/>
          <w:lang w:val="en-US" w:eastAsia="zh-CN"/>
        </w:rPr>
        <w:t>普连集镇管控单元</w:t>
      </w:r>
      <w:r>
        <w:rPr>
          <w:rFonts w:hint="default" w:ascii="Times New Roman" w:hAnsi="Times New Roman" w:eastAsia="宋体" w:cs="Times New Roman"/>
          <w:color w:val="auto"/>
          <w:sz w:val="24"/>
          <w:szCs w:val="24"/>
        </w:rPr>
        <w:t>例行监测点位的数据中 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 xml:space="preserve">、CO </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rPr>
        <w:t>年均浓度能够满足《环境空气质量标准》</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GB3095- 2012）二级标准，PM</w:t>
      </w:r>
      <w:r>
        <w:rPr>
          <w:rFonts w:hint="default" w:ascii="Times New Roman" w:hAnsi="Times New Roman" w:eastAsia="宋体" w:cs="Times New Roman"/>
          <w:color w:val="auto"/>
          <w:sz w:val="24"/>
          <w:szCs w:val="24"/>
          <w:vertAlign w:val="subscript"/>
        </w:rPr>
        <w:t>10</w:t>
      </w:r>
      <w:r>
        <w:rPr>
          <w:rFonts w:hint="default" w:ascii="Times New Roman" w:hAnsi="Times New Roman" w:cs="Times New Roman"/>
          <w:color w:val="auto"/>
          <w:sz w:val="24"/>
          <w:szCs w:val="24"/>
          <w:vertAlign w:val="baseline"/>
          <w:lang w:eastAsia="zh-CN"/>
        </w:rPr>
        <w:t>、</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cs="Times New Roman"/>
          <w:color w:val="auto"/>
          <w:lang w:eastAsia="zh-CN"/>
        </w:rPr>
        <w:t>、</w:t>
      </w:r>
      <w:r>
        <w:rPr>
          <w:rFonts w:hint="default" w:ascii="Times New Roman" w:hAnsi="Times New Roman" w:eastAsia="宋体" w:cs="Times New Roman"/>
          <w:color w:val="auto"/>
          <w:sz w:val="24"/>
          <w:szCs w:val="24"/>
        </w:rPr>
        <w:t>年均浓度不达标。因此判断本项目区域PM</w:t>
      </w:r>
      <w:r>
        <w:rPr>
          <w:rFonts w:hint="default" w:ascii="Times New Roman" w:hAnsi="Times New Roman" w:eastAsia="宋体" w:cs="Times New Roman"/>
          <w:color w:val="auto"/>
          <w:sz w:val="24"/>
          <w:szCs w:val="24"/>
          <w:vertAlign w:val="subscript"/>
        </w:rPr>
        <w:t>10</w:t>
      </w:r>
      <w:r>
        <w:rPr>
          <w:rFonts w:hint="default" w:ascii="Times New Roman" w:hAnsi="Times New Roman" w:cs="Times New Roman"/>
          <w:color w:val="auto"/>
          <w:sz w:val="24"/>
          <w:szCs w:val="24"/>
          <w:vertAlign w:val="baseline"/>
          <w:lang w:eastAsia="zh-CN"/>
        </w:rPr>
        <w:t>、</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不达标，整体环境空气质量不达标。PM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均出现超标现象，超标倍数分别为</w:t>
      </w:r>
      <w:r>
        <w:rPr>
          <w:rFonts w:hint="default" w:ascii="Times New Roman" w:hAnsi="Times New Roman" w:eastAsia="宋体" w:cs="Times New Roman"/>
          <w:color w:val="auto"/>
          <w:sz w:val="24"/>
          <w:szCs w:val="24"/>
          <w:lang w:val="en-US" w:eastAsia="zh-CN"/>
        </w:rPr>
        <w:t>0.</w:t>
      </w:r>
      <w:r>
        <w:rPr>
          <w:rFonts w:hint="default" w:ascii="Times New Roman" w:hAnsi="Times New Roman" w:cs="Times New Roman"/>
          <w:color w:val="auto"/>
          <w:sz w:val="24"/>
          <w:szCs w:val="24"/>
          <w:lang w:val="en-US" w:eastAsia="zh-CN"/>
        </w:rPr>
        <w:t>41</w:t>
      </w:r>
      <w:r>
        <w:rPr>
          <w:rFonts w:hint="default" w:ascii="Times New Roman" w:hAnsi="Times New Roman" w:eastAsia="宋体" w:cs="Times New Roman"/>
          <w:color w:val="auto"/>
          <w:sz w:val="24"/>
          <w:szCs w:val="24"/>
        </w:rPr>
        <w:t>、0.</w:t>
      </w:r>
      <w:r>
        <w:rPr>
          <w:rFonts w:hint="default" w:ascii="Times New Roman" w:hAnsi="Times New Roman" w:cs="Times New Roman"/>
          <w:color w:val="auto"/>
          <w:sz w:val="24"/>
          <w:szCs w:val="24"/>
          <w:lang w:val="en-US" w:eastAsia="zh-CN"/>
        </w:rPr>
        <w:t>54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超标原因主要是</w:t>
      </w:r>
      <w:r>
        <w:rPr>
          <w:rFonts w:hint="default" w:ascii="Times New Roman" w:hAnsi="Times New Roman" w:eastAsia="宋体" w:cs="Times New Roman"/>
          <w:b w:val="0"/>
          <w:bCs/>
          <w:color w:val="auto"/>
          <w:kern w:val="2"/>
          <w:sz w:val="24"/>
          <w:szCs w:val="24"/>
          <w:lang w:val="en-US" w:eastAsia="zh-CN" w:bidi="ar-SA"/>
        </w:rPr>
        <w:t>该区域地处我国的北方地区，干旱少雨，风沙</w:t>
      </w:r>
      <w:r>
        <w:rPr>
          <w:rFonts w:hint="default" w:ascii="Times New Roman" w:hAnsi="Times New Roman" w:eastAsia="宋体" w:cs="Times New Roman"/>
          <w:color w:val="auto"/>
          <w:sz w:val="24"/>
          <w:szCs w:val="24"/>
          <w:lang w:val="en-US" w:eastAsia="zh-CN"/>
        </w:rPr>
        <w:t>较大</w:t>
      </w:r>
      <w:r>
        <w:rPr>
          <w:rFonts w:hint="default" w:ascii="Times New Roman" w:hAnsi="Times New Roman" w:eastAsia="宋体" w:cs="Times New Roman"/>
          <w:b w:val="0"/>
          <w:bCs/>
          <w:color w:val="auto"/>
          <w:kern w:val="2"/>
          <w:sz w:val="24"/>
          <w:szCs w:val="24"/>
          <w:lang w:val="en-US" w:eastAsia="zh-CN" w:bidi="ar-SA"/>
        </w:rPr>
        <w:t>；同时机动车辆的迅猛发展所带来的地面扬尘，致使PM</w:t>
      </w:r>
      <w:r>
        <w:rPr>
          <w:rFonts w:hint="default" w:ascii="Times New Roman" w:hAnsi="Times New Roman" w:eastAsia="宋体" w:cs="Times New Roman"/>
          <w:b w:val="0"/>
          <w:bCs/>
          <w:color w:val="auto"/>
          <w:kern w:val="2"/>
          <w:sz w:val="24"/>
          <w:szCs w:val="24"/>
          <w:vertAlign w:val="subscript"/>
          <w:lang w:val="en-US" w:eastAsia="zh-CN" w:bidi="ar-SA"/>
        </w:rPr>
        <w:t>2.5</w:t>
      </w:r>
      <w:r>
        <w:rPr>
          <w:rFonts w:hint="default" w:ascii="Times New Roman" w:hAnsi="Times New Roman" w:eastAsia="宋体" w:cs="Times New Roman"/>
          <w:b w:val="0"/>
          <w:bCs/>
          <w:color w:val="auto"/>
          <w:kern w:val="2"/>
          <w:sz w:val="24"/>
          <w:szCs w:val="24"/>
          <w:lang w:val="en-US" w:eastAsia="zh-CN" w:bidi="ar-SA"/>
        </w:rPr>
        <w:t>、PM</w:t>
      </w:r>
      <w:r>
        <w:rPr>
          <w:rFonts w:hint="default" w:ascii="Times New Roman" w:hAnsi="Times New Roman" w:eastAsia="宋体" w:cs="Times New Roman"/>
          <w:b w:val="0"/>
          <w:bCs/>
          <w:color w:val="auto"/>
          <w:kern w:val="2"/>
          <w:sz w:val="24"/>
          <w:szCs w:val="24"/>
          <w:vertAlign w:val="subscript"/>
          <w:lang w:val="en-US" w:eastAsia="zh-CN" w:bidi="ar-SA"/>
        </w:rPr>
        <w:t>10</w:t>
      </w:r>
      <w:r>
        <w:rPr>
          <w:rFonts w:hint="default" w:ascii="Times New Roman" w:hAnsi="Times New Roman" w:eastAsia="宋体" w:cs="Times New Roman"/>
          <w:color w:val="auto"/>
          <w:sz w:val="24"/>
          <w:szCs w:val="24"/>
          <w:lang w:val="en-US" w:eastAsia="zh-CN"/>
        </w:rPr>
        <w:t>有超标现象</w:t>
      </w:r>
      <w:r>
        <w:rPr>
          <w:rFonts w:hint="default" w:ascii="Times New Roman" w:hAnsi="Times New Roman" w:eastAsia="宋体" w:cs="Times New Roman"/>
          <w:bCs/>
          <w:color w:val="000000"/>
          <w:sz w:val="24"/>
        </w:rPr>
        <w:t>。</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《菏泽市</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十四五</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生态环境保护规划》（菏政发〔2021〕11 号） 中提出持续改善环境空气质量的相关措施如下：</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①深化工业污染源治理：大力推进重点行业VOCs治理。禁止建设生产和使用高VOCs含量的溶剂型涂料、油墨、胶粘剂等项目。石化、化工、包装印刷、工业涂装等重点行业建立完善源头替代、过程管控和末端治理的 VOCs 全过程控制体系。开展原油、成品油、有机化学品等涉VOCs物质储罐排查。实施重点行业NO</w:t>
      </w:r>
      <w:r>
        <w:rPr>
          <w:rFonts w:hint="default" w:ascii="Times New Roman" w:hAnsi="Times New Roman" w:eastAsia="宋体" w:cs="Times New Roman"/>
          <w:sz w:val="24"/>
          <w:vertAlign w:val="subscript"/>
        </w:rPr>
        <w:t>X</w:t>
      </w:r>
      <w:r>
        <w:rPr>
          <w:rFonts w:hint="default" w:ascii="Times New Roman" w:hAnsi="Times New Roman" w:eastAsia="宋体" w:cs="Times New Roman"/>
          <w:sz w:val="24"/>
        </w:rPr>
        <w:t>等污染物深度治理。开展焦化、水泥行业超低排放改造，推进玻璃、陶瓷、铸造、有色等行业污染深度治理。加强燃煤机组、锅炉运行管控，确保按照超低排放要求稳定运行。全面加强无组织排放管控，严格控制焦化、砖瓦、铸造、水泥、铁合金、石灰、耐火材料等行业物料储存、输送及生产工艺过程无组织排放。</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②推进扬尘精细化管控：加强施工工地扬尘污染治理。完善施工工地动态管理清单，建筑、拆迁工地严格落实“7个100%”“5个100%”扬尘治理措施。全面推行绿色施工，将绿 色施工纳入企业资质评价、信用评价。防治扬尘污染费用纳入工程造价。强化道路扬尘污染 治理。严格落实“路长制”，提升道路扬尘治理水平。推进低尘机械化湿式清扫作业，鼓励 使用纯吸式吸尘车，加大城市出入口、城乡结合部、支路街巷等道路冲洗保洁力度，提高机 械化清扫率和洒水率，扩大主次干道深度保洁覆盖范围，实施道路分类保洁分级作业方式。加强其他扬尘治理。加强城市裸地、粉粒类物料堆放和拆迁闲置地块排查，严格落实硬化、绿化、苫盖等治理措施，强化绿化用地扬尘治理。禁止新建露天矿山项目，严控矿山扬尘污染。</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③强化车船油路港联合防控：加强机动车全流程污染管控。落实重型柴油车污染物排放 限值要求，严禁生产、进口、销售和注册登记不符合国家第六阶段排放标准要求的重型柴油 车。推进非道路移动机械治理。开展非道路移动机械编码登记、定位管控，基本消除未登记、未监管现象，加强源头监管。采用政策引导、区域禁用等方式，疏堵结合推动高排放老旧非 道路移动机械报废更新， 将主城区划定为禁止使用高排放非道路移动机械的区域， 引导重点 工地、重点项目、重点区域及各类市场主体减少使用高排放非道路移动机械。建立常态化油 品监督检查机制。严格执行汽柴油质量标准，强化油品生产、运输、销售、储存、使用全链 条监管，集中打击劣质油品存储销售集散地和生产加工企业，清理取缔黑加油站点、非法流动加油车，严厉打击制售劣质和不合格油品等违法行为。</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在落实上述措施后，区域环境质量将得到明显改善。</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1.4环境影响分析</w:t>
      </w:r>
    </w:p>
    <w:p>
      <w:pPr>
        <w:pStyle w:val="28"/>
        <w:keepNext w:val="0"/>
        <w:keepLines w:val="0"/>
        <w:pageBreakBefore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1.4.1施工期影响分析</w:t>
      </w:r>
    </w:p>
    <w:p>
      <w:pPr>
        <w:pStyle w:val="28"/>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color w:val="000000"/>
          <w:sz w:val="24"/>
        </w:rPr>
        <w:t>本项目通过</w:t>
      </w:r>
      <w:r>
        <w:rPr>
          <w:rFonts w:hint="default" w:ascii="Times New Roman" w:hAnsi="Times New Roman" w:eastAsia="宋体" w:cs="Times New Roman"/>
          <w:sz w:val="24"/>
        </w:rPr>
        <w:t>租赁现有厂房进行建设</w:t>
      </w:r>
      <w:r>
        <w:rPr>
          <w:rFonts w:hint="default" w:ascii="Times New Roman" w:hAnsi="Times New Roman" w:eastAsia="宋体" w:cs="Times New Roman"/>
          <w:color w:val="000000"/>
          <w:sz w:val="24"/>
        </w:rPr>
        <w:t>，本项目施工期主要为环保设施</w:t>
      </w:r>
      <w:r>
        <w:rPr>
          <w:rFonts w:hint="eastAsia" w:ascii="Times New Roman" w:hAnsi="Times New Roman" w:eastAsia="宋体" w:cs="Times New Roman"/>
          <w:color w:val="000000"/>
          <w:sz w:val="24"/>
          <w:lang w:val="en-US" w:eastAsia="zh-CN"/>
        </w:rPr>
        <w:t>安装</w:t>
      </w:r>
      <w:r>
        <w:rPr>
          <w:rFonts w:hint="default" w:ascii="Times New Roman" w:hAnsi="Times New Roman" w:eastAsia="宋体" w:cs="Times New Roman"/>
          <w:color w:val="000000"/>
          <w:sz w:val="24"/>
        </w:rPr>
        <w:t>，</w:t>
      </w:r>
      <w:r>
        <w:rPr>
          <w:rFonts w:hint="default" w:ascii="Times New Roman" w:hAnsi="Times New Roman" w:eastAsia="宋体" w:cs="Times New Roman"/>
          <w:sz w:val="24"/>
        </w:rPr>
        <w:t>时间较短，影响较小，不再单独分析。</w:t>
      </w:r>
    </w:p>
    <w:p>
      <w:pPr>
        <w:pStyle w:val="28"/>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1.4.2运营期对环境的影响</w:t>
      </w:r>
    </w:p>
    <w:p>
      <w:pPr>
        <w:pStyle w:val="24"/>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bCs/>
          <w:color w:val="auto"/>
          <w:sz w:val="24"/>
          <w:lang w:val="en-US" w:eastAsia="zh-CN"/>
        </w:rPr>
        <w:t>1.4.2.1环境空气影响</w:t>
      </w:r>
    </w:p>
    <w:p>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整个生产过程涂胶、封胶、夹胶合片工序产生的VOCs经集气罩收集后进入</w:t>
      </w:r>
      <w:r>
        <w:rPr>
          <w:rFonts w:hint="eastAsia" w:ascii="Times New Roman" w:hAnsi="Times New Roman" w:eastAsia="宋体" w:cs="Times New Roman"/>
          <w:color w:val="auto"/>
          <w:kern w:val="0"/>
          <w:sz w:val="24"/>
          <w:szCs w:val="22"/>
          <w:lang w:val="en-US" w:eastAsia="zh-CN" w:bidi="ar-SA"/>
        </w:rPr>
        <w:t>二级活性炭吸附</w:t>
      </w:r>
      <w:r>
        <w:rPr>
          <w:rFonts w:hint="default" w:ascii="Times New Roman" w:hAnsi="Times New Roman" w:eastAsia="宋体" w:cs="Times New Roman"/>
          <w:color w:val="auto"/>
          <w:kern w:val="0"/>
          <w:sz w:val="24"/>
          <w:szCs w:val="22"/>
          <w:lang w:val="en-US" w:eastAsia="zh-CN" w:bidi="ar-SA"/>
        </w:rPr>
        <w:t>装置后经15m高排气筒DA001排放，VOCs</w:t>
      </w:r>
      <w:r>
        <w:rPr>
          <w:rFonts w:hint="eastAsia" w:ascii="Times New Roman" w:hAnsi="Times New Roman" w:eastAsia="宋体" w:cs="Times New Roman"/>
          <w:color w:val="auto"/>
          <w:kern w:val="0"/>
          <w:sz w:val="24"/>
          <w:szCs w:val="22"/>
          <w:lang w:val="en-US" w:eastAsia="zh-CN" w:bidi="ar-SA"/>
        </w:rPr>
        <w:t>排放速率和浓度均弄够满足</w:t>
      </w:r>
      <w:r>
        <w:rPr>
          <w:rFonts w:hint="default" w:ascii="Times New Roman" w:hAnsi="Times New Roman" w:eastAsia="宋体" w:cs="Times New Roman"/>
          <w:color w:val="auto"/>
          <w:kern w:val="0"/>
          <w:sz w:val="24"/>
          <w:szCs w:val="22"/>
          <w:lang w:val="en-US" w:eastAsia="zh-CN" w:bidi="ar-SA"/>
        </w:rPr>
        <w:t>《挥发性有机物排放标准 第7部分：其他行业》(DB37/ 2801.7—2019)表1非重点行业对应限值(VOCs最高允许排放浓度≤60mg/m</w:t>
      </w:r>
      <w:r>
        <w:rPr>
          <w:rFonts w:hint="default" w:ascii="Times New Roman" w:hAnsi="Times New Roman" w:eastAsia="宋体" w:cs="Times New Roman"/>
          <w:color w:val="auto"/>
          <w:kern w:val="0"/>
          <w:sz w:val="24"/>
          <w:szCs w:val="22"/>
          <w:vertAlign w:val="superscript"/>
          <w:lang w:val="en-US" w:eastAsia="zh-CN" w:bidi="ar-SA"/>
        </w:rPr>
        <w:t>3</w:t>
      </w:r>
      <w:r>
        <w:rPr>
          <w:rFonts w:hint="default" w:ascii="Times New Roman" w:hAnsi="Times New Roman" w:eastAsia="宋体" w:cs="Times New Roman"/>
          <w:color w:val="auto"/>
          <w:kern w:val="0"/>
          <w:sz w:val="24"/>
          <w:szCs w:val="22"/>
          <w:lang w:val="en-US" w:eastAsia="zh-CN" w:bidi="ar-SA"/>
        </w:rPr>
        <w:t>，最高排放速率≤3.0kg/h。</w:t>
      </w:r>
    </w:p>
    <w:p>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胶、封胶、夹胶合片工序未被收集的VOCs，</w:t>
      </w:r>
      <w:r>
        <w:rPr>
          <w:rFonts w:hint="eastAsia" w:ascii="Times New Roman" w:hAnsi="Times New Roman" w:eastAsia="宋体" w:cs="Times New Roman"/>
          <w:color w:val="auto"/>
          <w:kern w:val="0"/>
          <w:sz w:val="24"/>
          <w:szCs w:val="22"/>
          <w:lang w:val="en-US" w:eastAsia="zh-CN" w:bidi="ar-SA"/>
        </w:rPr>
        <w:t>厂界</w:t>
      </w:r>
      <w:r>
        <w:rPr>
          <w:rFonts w:hint="default" w:ascii="Times New Roman" w:hAnsi="Times New Roman" w:eastAsia="宋体" w:cs="Times New Roman"/>
          <w:color w:val="auto"/>
          <w:kern w:val="0"/>
          <w:sz w:val="24"/>
          <w:szCs w:val="22"/>
          <w:lang w:val="en-US" w:eastAsia="zh-CN" w:bidi="ar-SA"/>
        </w:rPr>
        <w:t>浓度能够满足《挥发性有机物排放标准 第7部分：其他行业》(DB37/ 2801.7—2019)表2(≤2.0mg/m</w:t>
      </w:r>
      <w:r>
        <w:rPr>
          <w:rFonts w:hint="default" w:ascii="Times New Roman" w:hAnsi="Times New Roman" w:eastAsia="宋体" w:cs="Times New Roman"/>
          <w:color w:val="auto"/>
          <w:kern w:val="0"/>
          <w:sz w:val="24"/>
          <w:szCs w:val="22"/>
          <w:vertAlign w:val="superscript"/>
          <w:lang w:val="en-US" w:eastAsia="zh-CN" w:bidi="ar-SA"/>
        </w:rPr>
        <w:t>3</w:t>
      </w:r>
      <w:r>
        <w:rPr>
          <w:rFonts w:hint="default" w:ascii="Times New Roman" w:hAnsi="Times New Roman" w:eastAsia="宋体" w:cs="Times New Roman"/>
          <w:color w:val="auto"/>
          <w:kern w:val="0"/>
          <w:sz w:val="24"/>
          <w:szCs w:val="22"/>
          <w:lang w:val="en-US" w:eastAsia="zh-CN" w:bidi="ar-SA"/>
        </w:rPr>
        <w:t>）</w:t>
      </w:r>
      <w:r>
        <w:rPr>
          <w:rFonts w:hint="eastAsia" w:ascii="Times New Roman" w:hAnsi="Times New Roman" w:eastAsia="宋体" w:cs="Times New Roman"/>
          <w:color w:val="auto"/>
          <w:kern w:val="0"/>
          <w:sz w:val="24"/>
          <w:szCs w:val="22"/>
          <w:lang w:val="en-US" w:eastAsia="zh-CN" w:bidi="ar-SA"/>
        </w:rPr>
        <w:t>厂区内浓度能够满足</w:t>
      </w:r>
      <w:r>
        <w:rPr>
          <w:rFonts w:hint="default" w:ascii="Times New Roman" w:hAnsi="Times New Roman" w:eastAsia="宋体" w:cs="Times New Roman"/>
          <w:color w:val="auto"/>
          <w:kern w:val="0"/>
          <w:sz w:val="24"/>
          <w:szCs w:val="22"/>
          <w:lang w:val="en-US" w:eastAsia="zh-CN" w:bidi="ar-SA"/>
        </w:rPr>
        <w:t>《挥发性有机物无组织排放控制标准》(GB 37822-2019）表 A.1 限值(厂房外监控点任意一次监控特别排放限值20mg/m</w:t>
      </w:r>
      <w:r>
        <w:rPr>
          <w:rFonts w:hint="default" w:ascii="Times New Roman" w:hAnsi="Times New Roman" w:eastAsia="宋体" w:cs="Times New Roman"/>
          <w:color w:val="auto"/>
          <w:kern w:val="0"/>
          <w:sz w:val="24"/>
          <w:szCs w:val="22"/>
          <w:vertAlign w:val="superscript"/>
          <w:lang w:val="en-US" w:eastAsia="zh-CN" w:bidi="ar-SA"/>
        </w:rPr>
        <w:t>3</w:t>
      </w:r>
      <w:r>
        <w:rPr>
          <w:rFonts w:hint="default" w:ascii="Times New Roman" w:hAnsi="Times New Roman" w:eastAsia="宋体" w:cs="Times New Roman"/>
          <w:color w:val="auto"/>
          <w:kern w:val="0"/>
          <w:sz w:val="24"/>
          <w:szCs w:val="22"/>
          <w:lang w:val="en-US" w:eastAsia="zh-CN" w:bidi="ar-SA"/>
        </w:rPr>
        <w:t>）</w:t>
      </w:r>
      <w:r>
        <w:rPr>
          <w:rFonts w:hint="eastAsia" w:ascii="Times New Roman" w:hAnsi="Times New Roman" w:eastAsia="宋体" w:cs="Times New Roman"/>
          <w:color w:val="auto"/>
          <w:kern w:val="0"/>
          <w:sz w:val="24"/>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1.4.2.2水环境影响</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auto"/>
          <w:kern w:val="0"/>
          <w:sz w:val="24"/>
          <w:szCs w:val="22"/>
          <w:lang w:val="en-US" w:eastAsia="zh-CN" w:bidi="ar-SA"/>
        </w:rPr>
        <w:t>本项目废水主要为钢化玻璃在钻孔、磨边生产过程中</w:t>
      </w:r>
      <w:r>
        <w:rPr>
          <w:rFonts w:hint="eastAsia" w:ascii="Times New Roman" w:hAnsi="Times New Roman" w:eastAsia="宋体" w:cs="Times New Roman"/>
          <w:color w:val="auto"/>
          <w:kern w:val="0"/>
          <w:sz w:val="24"/>
          <w:szCs w:val="22"/>
          <w:lang w:val="en-US" w:eastAsia="zh-CN" w:bidi="ar-SA"/>
        </w:rPr>
        <w:t>产生的生产废水及员工生活中产生的</w:t>
      </w:r>
      <w:r>
        <w:rPr>
          <w:rFonts w:hint="default" w:ascii="Times New Roman" w:hAnsi="Times New Roman" w:eastAsia="宋体" w:cs="Times New Roman"/>
          <w:color w:val="auto"/>
          <w:kern w:val="0"/>
          <w:sz w:val="24"/>
          <w:szCs w:val="22"/>
          <w:lang w:val="en-US" w:eastAsia="zh-CN" w:bidi="ar-SA"/>
        </w:rPr>
        <w:t>生活污水。</w:t>
      </w:r>
      <w:r>
        <w:rPr>
          <w:rFonts w:hint="default" w:ascii="Times New Roman" w:hAnsi="Times New Roman" w:eastAsia="宋体" w:cs="Times New Roman"/>
          <w:color w:val="000000"/>
          <w:sz w:val="24"/>
          <w:szCs w:val="32"/>
        </w:rPr>
        <w:t>本项目</w:t>
      </w:r>
      <w:r>
        <w:rPr>
          <w:rFonts w:hint="default" w:ascii="Times New Roman" w:hAnsi="Times New Roman" w:eastAsia="宋体" w:cs="Times New Roman"/>
          <w:color w:val="000000"/>
          <w:sz w:val="24"/>
          <w:szCs w:val="32"/>
          <w:lang w:val="en-US" w:eastAsia="zh-CN"/>
        </w:rPr>
        <w:t>生产废水经厂内二级沉淀池沉淀处理后循环使用，不对外排放。</w:t>
      </w:r>
      <w:r>
        <w:rPr>
          <w:rFonts w:hint="default" w:ascii="Times New Roman" w:hAnsi="Times New Roman" w:eastAsia="宋体" w:cs="Times New Roman"/>
          <w:color w:val="000000"/>
          <w:sz w:val="24"/>
        </w:rPr>
        <w:t>生活污水排入厂区内部化粪池预处理后，环卫部门清运处理，不外排。</w:t>
      </w:r>
    </w:p>
    <w:p>
      <w:pPr>
        <w:pStyle w:val="24"/>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1.4.2.3声环境影响</w:t>
      </w:r>
    </w:p>
    <w:p>
      <w:pPr>
        <w:pStyle w:val="2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kern w:val="2"/>
          <w:sz w:val="24"/>
          <w:szCs w:val="22"/>
          <w:lang w:val="en-US" w:eastAsia="zh-CN" w:bidi="ar-SA"/>
        </w:rPr>
      </w:pPr>
      <w:r>
        <w:rPr>
          <w:rFonts w:hint="default" w:ascii="Times New Roman" w:hAnsi="Times New Roman" w:eastAsia="宋体" w:cs="Times New Roman"/>
          <w:color w:val="000000"/>
          <w:kern w:val="2"/>
          <w:sz w:val="24"/>
          <w:szCs w:val="22"/>
          <w:lang w:val="en-US" w:eastAsia="zh-CN" w:bidi="ar-SA"/>
        </w:rPr>
        <w:t>本项目噪声主要来源于抛光机、奥拓福水切割机、朝阳全自动玻璃水切机、空压机、风机等设备的运行噪音等设备运转过程产生的噪声，噪声源强在</w:t>
      </w:r>
      <w:r>
        <w:rPr>
          <w:rFonts w:hint="eastAsia" w:ascii="Times New Roman" w:hAnsi="Times New Roman" w:eastAsia="宋体" w:cs="Times New Roman"/>
          <w:color w:val="000000"/>
          <w:kern w:val="2"/>
          <w:sz w:val="24"/>
          <w:szCs w:val="22"/>
          <w:lang w:val="en-US" w:eastAsia="zh-CN" w:bidi="ar-SA"/>
        </w:rPr>
        <w:t>70</w:t>
      </w:r>
      <w:r>
        <w:rPr>
          <w:rFonts w:hint="default" w:ascii="Times New Roman" w:hAnsi="Times New Roman" w:eastAsia="宋体" w:cs="Times New Roman"/>
          <w:color w:val="000000"/>
          <w:kern w:val="2"/>
          <w:sz w:val="24"/>
          <w:szCs w:val="22"/>
          <w:lang w:val="en-US" w:eastAsia="zh-CN" w:bidi="ar-SA"/>
        </w:rPr>
        <w:t>~</w:t>
      </w:r>
      <w:r>
        <w:rPr>
          <w:rFonts w:hint="eastAsia" w:ascii="Times New Roman" w:hAnsi="Times New Roman" w:eastAsia="宋体" w:cs="Times New Roman"/>
          <w:color w:val="000000"/>
          <w:kern w:val="2"/>
          <w:sz w:val="24"/>
          <w:szCs w:val="22"/>
          <w:lang w:val="en-US" w:eastAsia="zh-CN" w:bidi="ar-SA"/>
        </w:rPr>
        <w:t>8</w:t>
      </w:r>
      <w:r>
        <w:rPr>
          <w:rFonts w:hint="default" w:ascii="Times New Roman" w:hAnsi="Times New Roman" w:eastAsia="宋体" w:cs="Times New Roman"/>
          <w:color w:val="000000"/>
          <w:kern w:val="2"/>
          <w:sz w:val="24"/>
          <w:szCs w:val="22"/>
          <w:lang w:val="en-US" w:eastAsia="zh-CN" w:bidi="ar-SA"/>
        </w:rPr>
        <w:t>0dB（A）之间，采用低噪声设备，建筑隔声，关键部位加胶垫以减少振动，设吸收板或隔声罩或安装消声器以减少噪声等；加强设备的日常保养和维护，避免在不良状态下运行，合理布局，采取以上措施后，生产过程中产生的噪声满足《工业企业厂界环境噪声排放标准》(GB12348-2008)中规定的 2 类标准限值。对外界声环境影响很小。</w:t>
      </w:r>
    </w:p>
    <w:p>
      <w:pPr>
        <w:pStyle w:val="28"/>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1.4.2.4固废影响</w:t>
      </w:r>
    </w:p>
    <w:p>
      <w:pPr>
        <w:pStyle w:val="2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kern w:val="2"/>
          <w:sz w:val="24"/>
          <w:szCs w:val="22"/>
          <w:lang w:val="en-US" w:eastAsia="zh-CN" w:bidi="ar-SA"/>
        </w:rPr>
      </w:pPr>
      <w:r>
        <w:rPr>
          <w:rFonts w:hint="default" w:ascii="Times New Roman" w:hAnsi="Times New Roman" w:eastAsia="宋体" w:cs="Times New Roman"/>
          <w:color w:val="000000"/>
          <w:kern w:val="2"/>
          <w:sz w:val="24"/>
          <w:szCs w:val="22"/>
          <w:lang w:val="en-US" w:eastAsia="zh-CN" w:bidi="ar-SA"/>
        </w:rPr>
        <w:t>本项目生产区固体废弃物主要为废胶桶、玻璃沉渣、废润滑油、废润滑油桶、废活性炭、废玻璃下脚料，PVB胶片边角料、废包装箱、废包装袋、废铝条小角料员工生活产生的生活垃圾。废活性炭、废胶、废润滑油、废润滑油桶等危废定期委托有资质单位处置；废胶桶由厂家回收利用；玻璃边角料、玻璃沉渣、碎玻璃渣、不合格品、铝片边角料、PVB胶片边角料满足《一般工业固体废物贮存和填埋污染控制标准》(GB18599-2020）要求外售综合利用生活垃圾收集后由环卫部门统一清运处理。本项目产生的固体废物全部得到综合利用或合理处置，实现了零排放，不会对环境构成二次污染，故固体废物处理处置措施可行。</w:t>
      </w:r>
    </w:p>
    <w:p>
      <w:pPr>
        <w:pStyle w:val="28"/>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1.4.2.5总量指标</w:t>
      </w:r>
    </w:p>
    <w:p>
      <w:pPr>
        <w:adjustRightInd w:val="0"/>
        <w:snapToGrid w:val="0"/>
        <w:spacing w:line="360" w:lineRule="auto"/>
        <w:ind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auto"/>
          <w:kern w:val="0"/>
          <w:sz w:val="24"/>
          <w:szCs w:val="22"/>
          <w:lang w:val="en-US" w:eastAsia="zh-CN" w:bidi="ar-SA"/>
        </w:rPr>
        <w:t xml:space="preserve">  </w:t>
      </w:r>
      <w:r>
        <w:rPr>
          <w:rFonts w:hint="default" w:ascii="Times New Roman" w:hAnsi="Times New Roman" w:eastAsia="宋体" w:cs="Times New Roman"/>
          <w:color w:val="000000"/>
          <w:sz w:val="24"/>
        </w:rPr>
        <w:t>根据《山东省建设项目主要大气污染物排放总量替代指标核算及管理方法》（鲁环发[2019]132号）和《“十三五”主要污染物总量控制规划》，大气污染物：</w:t>
      </w:r>
      <w:r>
        <w:rPr>
          <w:rFonts w:hint="default" w:ascii="Times New Roman" w:hAnsi="Times New Roman" w:eastAsia="宋体" w:cs="Times New Roman"/>
          <w:sz w:val="24"/>
        </w:rPr>
        <w:t>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X</w:t>
      </w:r>
      <w:r>
        <w:rPr>
          <w:rFonts w:hint="default" w:ascii="Times New Roman" w:hAnsi="Times New Roman" w:eastAsia="宋体" w:cs="Times New Roman"/>
          <w:sz w:val="24"/>
        </w:rPr>
        <w:t>。废水：COD和氨氮。同时，在重点区域推进挥发性有机物和烟粉尘排放总量控制，实行区域严格执行倍量替代要求。</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本项目建成后</w:t>
      </w:r>
      <w:r>
        <w:rPr>
          <w:rFonts w:hint="default" w:ascii="Times New Roman" w:hAnsi="Times New Roman" w:eastAsia="宋体" w:cs="Times New Roman"/>
          <w:color w:val="000000"/>
          <w:sz w:val="24"/>
          <w:lang w:val="en-US" w:eastAsia="zh-CN"/>
        </w:rPr>
        <w:t>申请有机废气VOCs总量指标</w:t>
      </w:r>
      <w:r>
        <w:rPr>
          <w:rFonts w:hint="default" w:ascii="Times New Roman" w:hAnsi="Times New Roman" w:eastAsia="宋体" w:cs="Times New Roman"/>
          <w:color w:val="000000"/>
          <w:sz w:val="24"/>
        </w:rPr>
        <w:t>为</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0.0316t/a</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sz w:val="24"/>
        </w:rPr>
        <w:t>。</w:t>
      </w:r>
    </w:p>
    <w:p>
      <w:pPr>
        <w:adjustRightInd w:val="0"/>
        <w:snapToGrid w:val="0"/>
        <w:spacing w:line="360" w:lineRule="auto"/>
        <w:ind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sz w:val="24"/>
        </w:rPr>
        <w:t>项目生产废水</w:t>
      </w:r>
      <w:r>
        <w:rPr>
          <w:rFonts w:hint="eastAsia" w:ascii="Times New Roman" w:hAnsi="Times New Roman" w:eastAsia="宋体" w:cs="Times New Roman"/>
          <w:sz w:val="24"/>
          <w:lang w:val="en-US" w:eastAsia="zh-CN"/>
        </w:rPr>
        <w:t>循环使用不外排</w:t>
      </w:r>
      <w:r>
        <w:rPr>
          <w:rFonts w:hint="default" w:ascii="Times New Roman" w:hAnsi="Times New Roman" w:eastAsia="宋体" w:cs="Times New Roman"/>
          <w:sz w:val="24"/>
        </w:rPr>
        <w:t>；生活污水排入厂区内部化粪池预处理后，环卫部门清运处理，不外排。</w:t>
      </w:r>
      <w:r>
        <w:rPr>
          <w:rFonts w:hint="default" w:ascii="Times New Roman" w:hAnsi="Times New Roman" w:eastAsia="宋体" w:cs="Times New Roman"/>
          <w:color w:val="000000"/>
          <w:sz w:val="24"/>
        </w:rPr>
        <w:t>无需申请COD和氨氮总量指标。</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2措施与建议</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1、确保废气处理设施正常运行，保证废气稳定达标排放。</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2、增强环境保护意识，加强管理，降低能耗、物耗，实行清洁生产。</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3、加强环境管理，落实环保措施，并保证其正常运行。</w:t>
      </w:r>
    </w:p>
    <w:p>
      <w:pPr>
        <w:pStyle w:val="51"/>
        <w:spacing w:line="360" w:lineRule="auto"/>
        <w:ind w:firstLine="0" w:firstLineChars="0"/>
        <w:jc w:val="left"/>
        <w:rPr>
          <w:rFonts w:hint="default" w:ascii="Times New Roman" w:hAnsi="Times New Roman" w:eastAsia="宋体" w:cs="Times New Roman"/>
          <w:b/>
          <w:sz w:val="28"/>
          <w:szCs w:val="32"/>
        </w:rPr>
      </w:pPr>
      <w:r>
        <w:rPr>
          <w:rFonts w:hint="default" w:ascii="Times New Roman" w:hAnsi="Times New Roman" w:eastAsia="宋体" w:cs="Times New Roman"/>
          <w:b/>
          <w:sz w:val="28"/>
          <w:szCs w:val="32"/>
        </w:rPr>
        <w:t>5.2审批部门审批决定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山东省朗荣玻璃科技股份有限公司：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你单位报送的关于《山东省朗荣玻璃科技股份有限公司钢化玻璃、夹层玻璃、中空玻璃生产项目环境影响报告表》收悉，经研究，批复如下：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一、该项目为新建项目，位于山东省曹县中小企业孵化园。项目总投资1000万元，其中环保投资10万元。项目占地面积8085m</w:t>
      </w:r>
      <w:r>
        <w:rPr>
          <w:rFonts w:hint="default" w:ascii="Times New Roman" w:hAnsi="Times New Roman" w:eastAsia="宋体" w:cs="Times New Roman"/>
          <w:color w:val="auto"/>
          <w:kern w:val="2"/>
          <w:sz w:val="24"/>
          <w:szCs w:val="22"/>
          <w:highlight w:val="none"/>
          <w:vertAlign w:val="superscript"/>
          <w:lang w:val="en-US" w:eastAsia="zh-CN" w:bidi="ar-SA"/>
        </w:rPr>
        <w:t>2</w:t>
      </w:r>
      <w:r>
        <w:rPr>
          <w:rFonts w:hint="default" w:ascii="Times New Roman" w:hAnsi="Times New Roman" w:eastAsia="宋体" w:cs="Times New Roman"/>
          <w:color w:val="auto"/>
          <w:kern w:val="2"/>
          <w:sz w:val="24"/>
          <w:szCs w:val="22"/>
          <w:highlight w:val="none"/>
          <w:lang w:val="en-US" w:eastAsia="zh-CN" w:bidi="ar-SA"/>
        </w:rPr>
        <w:t>，项目主要购置高速玻璃清洗机、空压机、环保水处理设备、上片机、下片机、磨边机、朝阳全自动玻璃水切机、奥拓福水切割机、钢化炉、抛光机等设备及对应环保设施。项目建成后规模为年产45万平方米钢化玻璃、5 万平方米夹层玻璃、10万平方米中空玻璃。经审查，该项目在落实报告表提出的各项污染防治和生态保护措施的前提下，能够满足环境保护要求，从环境保护角度项目可行。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二、该项目已在山东省投资项目在线审批监管平台进行了备案，项目代码2211-371721-89-01-947590。在全面落实报告表提出的各项环境保护措施后，污染物达标排放，环境影响可接受。原则同意环境影响报告表所列建设项目的性质、规模、工艺、地点和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三、该项目在设计、建设和运营中，要全面落实环评报告表提出的污染防治措施，重点做好以下工作。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（一）落实水污染防治措施。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项目生活污水经化粪池处理后由环卫部门统一清运。生产废水经厂内二级沉淀池沉淀处理后循环使用不外排。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地下水保护与污染防治按照"源头控制、分区防治、污染监控、应急响应"的原则，重点防渗区、一般防渗区分别按照《危险废物贮存污染控制标准》(GB18597-2023）和《一般工业固体废物贮存和填埋污染控制标准》(GB18599-2020）要求做好防渗工作，防止地下水和土壤受到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（二）落实大气污染防治措施。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1、有组织废气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项目组框、涂胶、封胶、夹胶合片工序产生的有机废气经集气罩收集后通过二级活性炭吸附装置处理，处理后的尾气由15m 高排气筒（DA001）排放。有组织 VOCs 排放速率、排放浓度满足山东省《挥发性有机物排放标准 第7部分：其他行业》(DB37/2801.7-2019)表1非重点行业对应限值。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2、无组织废气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采取车间封闭及加强设备的密闭性等综合防治措施，加强废气的排放控制及治理。确保无组织VOCs 排放浓度满足《挥发性有机物排放标准 第7部分：其他行业》(DB37/2801.7-2019）表2厂界监控点浓度限值；厂区内 VOCs 无组织排放监控点浓度应满足《挥发性有机物无组织排放控制标准》(GB 37822-2019）表A.1限值。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三）落实噪声污染防治措施。优先选用低噪声设备，优化厂区平面布置，合理布置高噪声设备。对主要噪声源采取减振消声、隔声等措施，确保厂界噪声符合《工业企业厂界环境噪声排放标准》(GB12348-2008)2类标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（四）落实固体废物污染防治措施。按固体废物"资源化、减量化、无害化"处置原则，落实各类固体废物的收集、处置和综合利用措施。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项目运营过程中产生的空废胶桶收集后由厂家进行回收利用;废玻璃下脚料、碎玻璃渣、废铝条边角料、废包装袋、废包装箱、PVB 胶片边角料等固体废物经收集后外售综合利用;生活垃圾由环卫部门定期处理。废料、废胶收集桶、废润滑油桶、废活性炭属于危险废物委托有资质单位处置</w:t>
      </w:r>
      <w:r>
        <w:rPr>
          <w:rFonts w:hint="eastAsia" w:ascii="Times New Roman" w:hAnsi="Times New Roman" w:cs="Times New Roman"/>
          <w:sz w:val="24"/>
          <w:szCs w:val="24"/>
          <w:lang w:eastAsia="zh-CN"/>
        </w:rPr>
        <w:t>，</w:t>
      </w:r>
      <w:r>
        <w:rPr>
          <w:rFonts w:hint="default" w:ascii="Times New Roman" w:hAnsi="Times New Roman" w:eastAsia="宋体" w:cs="Times New Roman"/>
          <w:b w:val="0"/>
          <w:bCs/>
          <w:sz w:val="24"/>
          <w:szCs w:val="24"/>
          <w:lang w:val="en-US" w:eastAsia="zh-CN"/>
        </w:rPr>
        <w:t>各类固体废物分类储存,一般固废按照《一般工业固体废物贮存和填埋污染控制标准》(GB18599-2020)，危险废物按照《危险废物贮存污染控制标准》(GB18597-2023)要求，规范暂存。</w:t>
      </w:r>
    </w:p>
    <w:p>
      <w:pPr>
        <w:pStyle w:val="2"/>
        <w:spacing w:before="0" w:beforeLines="0" w:beforeAutospacing="0" w:after="0" w:afterLines="0" w:afterAutospacing="0"/>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 xml:space="preserve"> </w:t>
      </w:r>
      <w:r>
        <w:rPr>
          <w:rFonts w:hint="default" w:ascii="Times New Roman" w:hAnsi="Times New Roman" w:eastAsia="宋体" w:cs="Times New Roman"/>
          <w:b w:val="0"/>
          <w:bCs/>
          <w:sz w:val="24"/>
          <w:szCs w:val="24"/>
          <w:lang w:val="en-US" w:eastAsia="zh-CN"/>
        </w:rPr>
        <w:t xml:space="preserve">  (五)落实总量控制要求。项目投产后，有组织废气污染物排放量VOCs0.0316t/a。项目废气污染物总量已确认。</w:t>
      </w:r>
    </w:p>
    <w:p>
      <w:pPr>
        <w:pStyle w:val="2"/>
        <w:spacing w:before="0" w:beforeLines="0" w:beforeAutospacing="0" w:after="0" w:afterLines="0" w:afterAutospacing="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 xml:space="preserve"> </w:t>
      </w:r>
      <w:r>
        <w:rPr>
          <w:rFonts w:hint="eastAsia" w:ascii="Times New Roman" w:hAnsi="Times New Roman" w:eastAsia="宋体" w:cs="Times New Roman"/>
          <w:b w:val="0"/>
          <w:bCs/>
          <w:sz w:val="24"/>
          <w:szCs w:val="24"/>
          <w:lang w:val="en-US" w:eastAsia="zh-CN"/>
        </w:rPr>
        <w:t xml:space="preserve">  </w:t>
      </w:r>
      <w:r>
        <w:rPr>
          <w:rFonts w:hint="default" w:ascii="Times New Roman" w:hAnsi="Times New Roman" w:eastAsia="宋体" w:cs="Times New Roman"/>
          <w:b w:val="0"/>
          <w:bCs/>
          <w:sz w:val="24"/>
          <w:szCs w:val="24"/>
          <w:lang w:val="en-US" w:eastAsia="zh-CN"/>
        </w:rPr>
        <w:t xml:space="preserve"> 四、项目建设必须严格执行配套建设的环境保护设施和主体工程同时设计、同时施工、同时投产使用的环境保护“三同时”制度。项目建成后，应按规定程序申领排污许可证及进行竣工环境保护验收，验收合格后，方可正式投入运行。</w:t>
      </w:r>
    </w:p>
    <w:p>
      <w:pPr>
        <w:pStyle w:val="2"/>
        <w:spacing w:before="0" w:beforeLines="0" w:beforeAutospacing="0" w:after="0" w:afterLines="0" w:afterAutospacing="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 xml:space="preserve">  </w:t>
      </w:r>
      <w:r>
        <w:rPr>
          <w:rFonts w:hint="eastAsia" w:ascii="Times New Roman" w:hAnsi="Times New Roman" w:eastAsia="宋体" w:cs="Times New Roman"/>
          <w:b w:val="0"/>
          <w:bCs/>
          <w:sz w:val="24"/>
          <w:szCs w:val="24"/>
          <w:lang w:val="en-US" w:eastAsia="zh-CN"/>
        </w:rPr>
        <w:t xml:space="preserve">  </w:t>
      </w:r>
      <w:r>
        <w:rPr>
          <w:rFonts w:hint="default" w:ascii="Times New Roman" w:hAnsi="Times New Roman" w:eastAsia="宋体" w:cs="Times New Roman"/>
          <w:b w:val="0"/>
          <w:bCs/>
          <w:sz w:val="24"/>
          <w:szCs w:val="24"/>
          <w:lang w:val="en-US" w:eastAsia="zh-CN"/>
        </w:rPr>
        <w:t>五、建设项目的环境影响报告表经批准后，若该建设项目的性质、规模、地点、生产工艺或者环境保护措施等发生《关于印发污染影响类建设项目重大变动清单(试行)的通知》(环办环评函[2020]688号)中规定的重大变动，应重新报批该项目环境影响报告表。本批复自批准之日起超过五年，方决定项目开工建设的，其环境影响评价文件须报我局重新审核。</w:t>
      </w:r>
    </w:p>
    <w:p>
      <w:pPr>
        <w:pStyle w:val="2"/>
        <w:spacing w:before="0" w:beforeLines="0" w:beforeAutospacing="0" w:after="0" w:afterLines="0" w:afterAutospacing="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 xml:space="preserve">  </w:t>
      </w:r>
      <w:r>
        <w:rPr>
          <w:rFonts w:hint="eastAsia" w:ascii="Times New Roman" w:hAnsi="Times New Roman" w:eastAsia="宋体" w:cs="Times New Roman"/>
          <w:b w:val="0"/>
          <w:bCs/>
          <w:sz w:val="24"/>
          <w:szCs w:val="24"/>
          <w:lang w:val="en-US" w:eastAsia="zh-CN"/>
        </w:rPr>
        <w:t xml:space="preserve">  </w:t>
      </w:r>
      <w:r>
        <w:rPr>
          <w:rFonts w:hint="default" w:ascii="Times New Roman" w:hAnsi="Times New Roman" w:eastAsia="宋体" w:cs="Times New Roman"/>
          <w:b w:val="0"/>
          <w:bCs/>
          <w:sz w:val="24"/>
          <w:szCs w:val="24"/>
          <w:lang w:val="en-US" w:eastAsia="zh-CN"/>
        </w:rPr>
        <w:t>六、请环境执法四中队做好该项目的“三同时”监督检查和日常管理工作</w:t>
      </w:r>
    </w:p>
    <w:p>
      <w:pPr>
        <w:pStyle w:val="51"/>
        <w:spacing w:beforeAutospacing="0"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0"/>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0"/>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0"/>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0"/>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0"/>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0"/>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0"/>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52" w:name="_Toc15557"/>
      <w:r>
        <w:rPr>
          <w:rFonts w:hint="default" w:ascii="Times New Roman" w:hAnsi="Times New Roman" w:eastAsia="宋体" w:cs="Times New Roman"/>
          <w:b/>
          <w:sz w:val="32"/>
          <w:szCs w:val="32"/>
        </w:rPr>
        <w:t>6、验收执行标准</w:t>
      </w:r>
      <w:bookmarkEnd w:id="52"/>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受</w:t>
      </w:r>
      <w:r>
        <w:rPr>
          <w:rFonts w:hint="eastAsia" w:cs="Times New Roman"/>
          <w:color w:val="000000"/>
          <w:sz w:val="24"/>
          <w:szCs w:val="28"/>
          <w:lang w:eastAsia="zh-CN"/>
        </w:rPr>
        <w:t>山东省朗荣玻璃科技股份有限公司</w:t>
      </w:r>
      <w:r>
        <w:rPr>
          <w:rFonts w:hint="default" w:ascii="Times New Roman" w:hAnsi="Times New Roman" w:eastAsia="宋体" w:cs="Times New Roman"/>
          <w:color w:val="000000"/>
          <w:sz w:val="24"/>
          <w:szCs w:val="28"/>
        </w:rPr>
        <w:t>委托，根据《关于</w:t>
      </w:r>
      <w:r>
        <w:rPr>
          <w:rFonts w:hint="eastAsia" w:cs="Times New Roman"/>
          <w:color w:val="000000"/>
          <w:sz w:val="24"/>
          <w:szCs w:val="28"/>
          <w:lang w:eastAsia="zh-CN"/>
        </w:rPr>
        <w:t>山东省朗荣玻璃科技股份有限公司</w:t>
      </w:r>
      <w:r>
        <w:rPr>
          <w:rFonts w:hint="default" w:ascii="Times New Roman" w:hAnsi="Times New Roman" w:eastAsia="宋体" w:cs="Times New Roman"/>
          <w:color w:val="000000"/>
          <w:sz w:val="24"/>
          <w:szCs w:val="28"/>
          <w:lang w:eastAsia="zh-CN"/>
        </w:rPr>
        <w:t>钢化玻璃、夹层玻璃、中空玻璃生产项目</w:t>
      </w:r>
      <w:r>
        <w:rPr>
          <w:rFonts w:hint="default" w:ascii="Times New Roman" w:hAnsi="Times New Roman" w:eastAsia="宋体" w:cs="Times New Roman"/>
          <w:color w:val="000000"/>
          <w:sz w:val="24"/>
          <w:szCs w:val="28"/>
        </w:rPr>
        <w:t>环境影响报告表的批复》（</w:t>
      </w:r>
      <w:r>
        <w:rPr>
          <w:rFonts w:hint="eastAsia" w:ascii="Times New Roman" w:hAnsi="Times New Roman" w:eastAsia="宋体" w:cs="Times New Roman"/>
          <w:color w:val="000000"/>
          <w:sz w:val="24"/>
          <w:szCs w:val="28"/>
          <w:lang w:val="en-US" w:eastAsia="zh-CN"/>
        </w:rPr>
        <w:t>曹</w:t>
      </w:r>
      <w:r>
        <w:rPr>
          <w:rFonts w:hint="default" w:ascii="Times New Roman" w:hAnsi="Times New Roman" w:eastAsia="宋体" w:cs="Times New Roman"/>
          <w:color w:val="000000"/>
          <w:sz w:val="24"/>
          <w:szCs w:val="28"/>
          <w:lang w:val="en-US" w:eastAsia="zh-CN"/>
        </w:rPr>
        <w:t>环报告表【2023】</w:t>
      </w:r>
      <w:r>
        <w:rPr>
          <w:rFonts w:hint="eastAsia" w:ascii="Times New Roman" w:hAnsi="Times New Roman" w:eastAsia="宋体" w:cs="Times New Roman"/>
          <w:color w:val="000000"/>
          <w:sz w:val="24"/>
          <w:szCs w:val="28"/>
          <w:lang w:val="en-US" w:eastAsia="zh-CN"/>
        </w:rPr>
        <w:t>027</w:t>
      </w:r>
      <w:r>
        <w:rPr>
          <w:rFonts w:hint="default" w:ascii="Times New Roman" w:hAnsi="Times New Roman" w:eastAsia="宋体" w:cs="Times New Roman"/>
          <w:color w:val="000000"/>
          <w:sz w:val="24"/>
          <w:szCs w:val="28"/>
          <w:lang w:val="en-US" w:eastAsia="zh-CN"/>
        </w:rPr>
        <w:t>号</w:t>
      </w:r>
      <w:r>
        <w:rPr>
          <w:rFonts w:hint="default" w:ascii="Times New Roman" w:hAnsi="Times New Roman" w:eastAsia="宋体" w:cs="Times New Roman"/>
          <w:color w:val="000000"/>
          <w:sz w:val="24"/>
          <w:szCs w:val="28"/>
        </w:rPr>
        <w:t>）的要求，</w:t>
      </w:r>
      <w:r>
        <w:rPr>
          <w:rFonts w:hint="default" w:ascii="Times New Roman" w:hAnsi="Times New Roman" w:eastAsia="宋体" w:cs="Times New Roman"/>
          <w:color w:val="000000"/>
          <w:sz w:val="24"/>
          <w:szCs w:val="28"/>
          <w:lang w:eastAsia="zh-CN"/>
        </w:rPr>
        <w:t>山东</w:t>
      </w:r>
      <w:r>
        <w:rPr>
          <w:rFonts w:hint="default" w:ascii="Times New Roman" w:hAnsi="Times New Roman" w:eastAsia="宋体" w:cs="Times New Roman"/>
          <w:color w:val="000000"/>
          <w:sz w:val="24"/>
          <w:szCs w:val="28"/>
          <w:lang w:val="en-US" w:eastAsia="zh-CN"/>
        </w:rPr>
        <w:t>汇成</w:t>
      </w:r>
      <w:r>
        <w:rPr>
          <w:rFonts w:hint="default" w:ascii="Times New Roman" w:hAnsi="Times New Roman" w:eastAsia="宋体" w:cs="Times New Roman"/>
          <w:color w:val="000000"/>
          <w:sz w:val="24"/>
          <w:szCs w:val="28"/>
          <w:lang w:eastAsia="zh-CN"/>
        </w:rPr>
        <w:t>检测</w:t>
      </w:r>
      <w:r>
        <w:rPr>
          <w:rFonts w:hint="default" w:ascii="Times New Roman" w:hAnsi="Times New Roman" w:eastAsia="宋体" w:cs="Times New Roman"/>
          <w:color w:val="000000"/>
          <w:sz w:val="24"/>
          <w:szCs w:val="28"/>
          <w:lang w:val="en-US" w:eastAsia="zh-CN"/>
        </w:rPr>
        <w:t>科技</w:t>
      </w:r>
      <w:r>
        <w:rPr>
          <w:rFonts w:hint="default" w:ascii="Times New Roman" w:hAnsi="Times New Roman" w:eastAsia="宋体" w:cs="Times New Roman"/>
          <w:color w:val="000000"/>
          <w:sz w:val="24"/>
          <w:szCs w:val="28"/>
          <w:lang w:eastAsia="zh-CN"/>
        </w:rPr>
        <w:t>有限公司</w:t>
      </w:r>
      <w:r>
        <w:rPr>
          <w:rFonts w:hint="default" w:ascii="Times New Roman" w:hAnsi="Times New Roman" w:eastAsia="宋体" w:cs="Times New Roman"/>
          <w:color w:val="000000"/>
          <w:sz w:val="24"/>
          <w:szCs w:val="28"/>
        </w:rPr>
        <w:t>分别对该项目废气</w:t>
      </w:r>
      <w:r>
        <w:rPr>
          <w:rFonts w:hint="default" w:ascii="Times New Roman" w:hAnsi="Times New Roman" w:eastAsia="宋体" w:cs="Times New Roman"/>
          <w:color w:val="000000"/>
          <w:sz w:val="24"/>
          <w:szCs w:val="28"/>
          <w:lang w:val="en-US" w:eastAsia="zh-CN"/>
        </w:rPr>
        <w:t>、</w:t>
      </w:r>
      <w:r>
        <w:rPr>
          <w:rFonts w:hint="default" w:ascii="Times New Roman" w:hAnsi="Times New Roman" w:eastAsia="宋体" w:cs="Times New Roman"/>
          <w:color w:val="000000"/>
          <w:sz w:val="24"/>
          <w:szCs w:val="28"/>
        </w:rPr>
        <w:t>厂界噪声进行现场监测，项目处于正常运行状态，环保设施运行正常。具体见表6-1。</w:t>
      </w: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表6-1  监测项目执行标准及限值</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676"/>
        <w:gridCol w:w="868"/>
        <w:gridCol w:w="4464"/>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364"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监测类别</w:t>
            </w:r>
          </w:p>
        </w:tc>
        <w:tc>
          <w:tcPr>
            <w:tcW w:w="467"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监测项目</w:t>
            </w:r>
          </w:p>
        </w:tc>
        <w:tc>
          <w:tcPr>
            <w:tcW w:w="2402"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w:t>
            </w:r>
          </w:p>
        </w:tc>
        <w:tc>
          <w:tcPr>
            <w:tcW w:w="1490"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364" w:type="pct"/>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有组织</w:t>
            </w:r>
          </w:p>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467"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VOCs</w:t>
            </w:r>
          </w:p>
        </w:tc>
        <w:tc>
          <w:tcPr>
            <w:tcW w:w="2402" w:type="pct"/>
            <w:vMerge w:val="restar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《挥发性有机物排放标准 第</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eastAsia="zh-CN"/>
              </w:rPr>
              <w:t>部分：</w:t>
            </w:r>
            <w:r>
              <w:rPr>
                <w:rFonts w:hint="default" w:ascii="Times New Roman" w:hAnsi="Times New Roman" w:eastAsia="宋体" w:cs="Times New Roman"/>
                <w:color w:val="auto"/>
                <w:sz w:val="21"/>
                <w:szCs w:val="21"/>
                <w:lang w:val="en-US" w:eastAsia="zh-CN"/>
              </w:rPr>
              <w:t>其他</w:t>
            </w:r>
            <w:r>
              <w:rPr>
                <w:rFonts w:hint="default" w:ascii="Times New Roman" w:hAnsi="Times New Roman" w:eastAsia="宋体" w:cs="Times New Roman"/>
                <w:color w:val="auto"/>
                <w:sz w:val="21"/>
                <w:szCs w:val="21"/>
                <w:lang w:eastAsia="zh-CN"/>
              </w:rPr>
              <w:t>行业》(DB37/ 2801.7—2019)表</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非重点行业对应限值</w:t>
            </w:r>
          </w:p>
        </w:tc>
        <w:tc>
          <w:tcPr>
            <w:tcW w:w="1490"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 w:val="21"/>
                <w:szCs w:val="21"/>
                <w:lang w:eastAsia="zh-CN"/>
              </w:rPr>
              <w:t>最高允许排放浓度≤</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eastAsia="zh-CN"/>
              </w:rPr>
              <w:t>0mg/m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，最高排放速率≤</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 w:type="pct"/>
            <w:vMerge w:val="continue"/>
            <w:vAlign w:val="center"/>
          </w:tcPr>
          <w:p>
            <w:pPr>
              <w:spacing w:line="300" w:lineRule="exact"/>
              <w:jc w:val="center"/>
              <w:rPr>
                <w:rFonts w:hint="default" w:ascii="Times New Roman" w:hAnsi="Times New Roman" w:eastAsia="宋体" w:cs="Times New Roman"/>
                <w:szCs w:val="21"/>
                <w:lang w:val="en-US" w:eastAsia="zh-CN"/>
              </w:rPr>
            </w:pPr>
          </w:p>
        </w:tc>
        <w:tc>
          <w:tcPr>
            <w:tcW w:w="364" w:type="pct"/>
            <w:vMerge w:val="continue"/>
            <w:vAlign w:val="center"/>
          </w:tcPr>
          <w:p>
            <w:pPr>
              <w:spacing w:line="300" w:lineRule="exact"/>
              <w:jc w:val="center"/>
              <w:rPr>
                <w:rFonts w:hint="default" w:ascii="Times New Roman" w:hAnsi="Times New Roman" w:eastAsia="宋体" w:cs="Times New Roman"/>
                <w:szCs w:val="21"/>
              </w:rPr>
            </w:pPr>
          </w:p>
        </w:tc>
        <w:tc>
          <w:tcPr>
            <w:tcW w:w="467" w:type="pct"/>
            <w:vMerge w:val="continue"/>
            <w:vAlign w:val="center"/>
          </w:tcPr>
          <w:p>
            <w:pPr>
              <w:spacing w:line="300" w:lineRule="exact"/>
              <w:jc w:val="center"/>
              <w:rPr>
                <w:rFonts w:hint="default" w:ascii="Times New Roman" w:hAnsi="Times New Roman" w:eastAsia="宋体" w:cs="Times New Roman"/>
                <w:szCs w:val="21"/>
              </w:rPr>
            </w:pPr>
          </w:p>
        </w:tc>
        <w:tc>
          <w:tcPr>
            <w:tcW w:w="2402" w:type="pct"/>
            <w:vMerge w:val="continue"/>
            <w:vAlign w:val="center"/>
          </w:tcPr>
          <w:p>
            <w:pPr>
              <w:spacing w:line="300" w:lineRule="exact"/>
              <w:jc w:val="center"/>
              <w:rPr>
                <w:rFonts w:hint="default" w:ascii="Times New Roman" w:hAnsi="Times New Roman" w:eastAsia="宋体" w:cs="Times New Roman"/>
                <w:szCs w:val="21"/>
                <w:lang w:val="en-US" w:eastAsia="zh-CN"/>
              </w:rPr>
            </w:pPr>
          </w:p>
        </w:tc>
        <w:tc>
          <w:tcPr>
            <w:tcW w:w="1490" w:type="pct"/>
            <w:vMerge w:val="continue"/>
            <w:vAlign w:val="center"/>
          </w:tcPr>
          <w:p>
            <w:pPr>
              <w:spacing w:line="300" w:lineRule="exact"/>
              <w:jc w:val="center"/>
              <w:rPr>
                <w:rFonts w:hint="default"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364"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无组织</w:t>
            </w:r>
          </w:p>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废气</w:t>
            </w:r>
          </w:p>
        </w:tc>
        <w:tc>
          <w:tcPr>
            <w:tcW w:w="467" w:type="pct"/>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VOCs</w:t>
            </w:r>
          </w:p>
        </w:tc>
        <w:tc>
          <w:tcPr>
            <w:tcW w:w="2402"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《挥发性有机物排放标准 第7部分：其他行业》(DB37/ 2801.7—2019)表</w:t>
            </w:r>
            <w:r>
              <w:rPr>
                <w:rFonts w:hint="default" w:ascii="Times New Roman" w:hAnsi="Times New Roman" w:eastAsia="宋体" w:cs="Times New Roman"/>
                <w:color w:val="auto"/>
                <w:sz w:val="21"/>
                <w:szCs w:val="21"/>
                <w:lang w:val="en-US" w:eastAsia="zh-CN"/>
              </w:rPr>
              <w:t>2</w:t>
            </w:r>
          </w:p>
        </w:tc>
        <w:tc>
          <w:tcPr>
            <w:tcW w:w="1490"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364"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w:t>
            </w:r>
          </w:p>
        </w:tc>
        <w:tc>
          <w:tcPr>
            <w:tcW w:w="467"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LAeq</w:t>
            </w:r>
          </w:p>
        </w:tc>
        <w:tc>
          <w:tcPr>
            <w:tcW w:w="2402"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《工业企业厂界环境噪声排放标准》</w:t>
            </w:r>
            <w:r>
              <w:rPr>
                <w:rFonts w:hint="default" w:ascii="Times New Roman" w:hAnsi="Times New Roman" w:eastAsia="宋体" w:cs="Times New Roman"/>
                <w:szCs w:val="21"/>
                <w:lang w:val="en-US" w:eastAsia="zh-CN"/>
              </w:rPr>
              <w:t>2</w:t>
            </w:r>
            <w:r>
              <w:rPr>
                <w:rFonts w:hint="default" w:ascii="Times New Roman" w:hAnsi="Times New Roman" w:eastAsia="宋体" w:cs="Times New Roman"/>
                <w:szCs w:val="21"/>
              </w:rPr>
              <w:t>级标准</w:t>
            </w:r>
          </w:p>
        </w:tc>
        <w:tc>
          <w:tcPr>
            <w:tcW w:w="1490"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昼间：6</w:t>
            </w:r>
            <w:r>
              <w:rPr>
                <w:rFonts w:hint="default" w:ascii="Times New Roman" w:hAnsi="Times New Roman" w:eastAsia="宋体" w:cs="Times New Roman"/>
                <w:szCs w:val="21"/>
                <w:lang w:val="en-US" w:eastAsia="zh-CN"/>
              </w:rPr>
              <w:t>0</w:t>
            </w:r>
            <w:r>
              <w:rPr>
                <w:rFonts w:hint="default" w:ascii="Times New Roman" w:hAnsi="Times New Roman" w:eastAsia="宋体" w:cs="Times New Roman"/>
                <w:szCs w:val="21"/>
              </w:rPr>
              <w:t>dB</w:t>
            </w:r>
          </w:p>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夜间：5</w:t>
            </w:r>
            <w:r>
              <w:rPr>
                <w:rFonts w:hint="default" w:ascii="Times New Roman" w:hAnsi="Times New Roman" w:eastAsia="宋体" w:cs="Times New Roman"/>
                <w:szCs w:val="21"/>
                <w:lang w:val="en-US" w:eastAsia="zh-CN"/>
              </w:rPr>
              <w:t>0</w:t>
            </w:r>
            <w:r>
              <w:rPr>
                <w:rFonts w:hint="default" w:ascii="Times New Roman" w:hAnsi="Times New Roman" w:eastAsia="宋体" w:cs="Times New Roman"/>
                <w:szCs w:val="21"/>
              </w:rPr>
              <w:t>dB</w:t>
            </w:r>
          </w:p>
        </w:tc>
      </w:tr>
    </w:tbl>
    <w:p>
      <w:pPr>
        <w:widowControl/>
        <w:jc w:val="lef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highlight w:val="none"/>
        </w:rPr>
      </w:pPr>
      <w:bookmarkStart w:id="53" w:name="_Toc25473"/>
      <w:r>
        <w:rPr>
          <w:rFonts w:hint="default" w:ascii="Times New Roman" w:hAnsi="Times New Roman" w:eastAsia="宋体" w:cs="Times New Roman"/>
          <w:b/>
          <w:sz w:val="32"/>
          <w:szCs w:val="32"/>
          <w:highlight w:val="none"/>
        </w:rPr>
        <w:t>7、验收监测内容</w:t>
      </w:r>
      <w:bookmarkEnd w:id="53"/>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54" w:name="_Toc26291"/>
      <w:bookmarkStart w:id="55" w:name="_Toc15397"/>
      <w:r>
        <w:rPr>
          <w:rFonts w:hint="default" w:ascii="Times New Roman" w:hAnsi="Times New Roman" w:eastAsia="宋体" w:cs="Times New Roman"/>
          <w:b/>
          <w:sz w:val="28"/>
          <w:szCs w:val="32"/>
        </w:rPr>
        <w:t>7.1 环境保护设施调试效果</w:t>
      </w:r>
      <w:bookmarkEnd w:id="54"/>
      <w:bookmarkEnd w:id="55"/>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为核查该工程主要污染源和污染物及环保设施运转情况，确定本次验收主要监测内容为厂界噪声、有组织废气、无组织废气。</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7.1.1废气</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7.1.1.1有组织排放</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1、监测点位</w:t>
      </w:r>
    </w:p>
    <w:p>
      <w:pPr>
        <w:pStyle w:val="9"/>
        <w:spacing w:after="0" w:line="360" w:lineRule="auto"/>
        <w:ind w:left="0" w:firstLine="480" w:firstLineChars="200"/>
        <w:rPr>
          <w:rFonts w:hint="default" w:ascii="Times New Roman" w:hAnsi="Times New Roman" w:eastAsia="宋体" w:cs="Times New Roman"/>
          <w:color w:val="000000"/>
          <w:sz w:val="24"/>
          <w:szCs w:val="28"/>
        </w:rPr>
      </w:pPr>
      <w:bookmarkStart w:id="56" w:name="_Toc27679"/>
      <w:bookmarkStart w:id="57" w:name="_Toc4253"/>
      <w:r>
        <w:rPr>
          <w:rFonts w:hint="default" w:ascii="Times New Roman" w:hAnsi="Times New Roman" w:eastAsia="宋体" w:cs="Times New Roman"/>
          <w:color w:val="000000"/>
          <w:sz w:val="24"/>
          <w:szCs w:val="28"/>
        </w:rPr>
        <w:t>监测点位：根据项目生产情况及环保设施设置情况，在废气</w:t>
      </w:r>
      <w:r>
        <w:rPr>
          <w:rFonts w:hint="default" w:ascii="Times New Roman" w:hAnsi="Times New Roman" w:eastAsia="宋体" w:cs="Times New Roman"/>
          <w:color w:val="000000"/>
          <w:sz w:val="24"/>
          <w:szCs w:val="28"/>
          <w:lang w:val="en-US" w:eastAsia="zh-CN"/>
        </w:rPr>
        <w:t>排气筒</w:t>
      </w:r>
      <w:r>
        <w:rPr>
          <w:rFonts w:hint="default" w:ascii="Times New Roman" w:hAnsi="Times New Roman" w:eastAsia="宋体" w:cs="Times New Roman"/>
          <w:color w:val="000000"/>
          <w:sz w:val="24"/>
          <w:szCs w:val="28"/>
        </w:rPr>
        <w:t>处设置监测点位。</w:t>
      </w:r>
      <w:bookmarkEnd w:id="56"/>
      <w:bookmarkEnd w:id="57"/>
    </w:p>
    <w:p>
      <w:pPr>
        <w:pStyle w:val="9"/>
        <w:spacing w:after="0" w:line="360" w:lineRule="auto"/>
        <w:ind w:left="0"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2、</w:t>
      </w:r>
      <w:r>
        <w:rPr>
          <w:rFonts w:hint="default" w:ascii="Times New Roman" w:hAnsi="Times New Roman" w:eastAsia="宋体" w:cs="Times New Roman"/>
          <w:color w:val="000000"/>
          <w:sz w:val="24"/>
          <w:szCs w:val="28"/>
          <w:lang w:val="en-US" w:eastAsia="zh-CN"/>
        </w:rPr>
        <w:t>监测方法/依据、监测仪器</w:t>
      </w:r>
    </w:p>
    <w:p>
      <w:pPr>
        <w:pStyle w:val="9"/>
        <w:spacing w:after="0" w:line="240" w:lineRule="auto"/>
        <w:ind w:left="0"/>
        <w:jc w:val="center"/>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 xml:space="preserve">表7-1  </w:t>
      </w:r>
      <w:r>
        <w:rPr>
          <w:rFonts w:hint="default" w:ascii="Times New Roman" w:hAnsi="Times New Roman" w:eastAsia="宋体" w:cs="Times New Roman"/>
          <w:b/>
          <w:sz w:val="24"/>
          <w:szCs w:val="24"/>
          <w:lang w:val="en-US" w:eastAsia="zh-CN"/>
        </w:rPr>
        <w:t>监测项目方法一览表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82"/>
        <w:gridCol w:w="1118"/>
        <w:gridCol w:w="5479"/>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blHeader/>
          <w:jc w:val="center"/>
        </w:trPr>
        <w:tc>
          <w:tcPr>
            <w:tcW w:w="318"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序号</w:t>
            </w:r>
          </w:p>
        </w:tc>
        <w:tc>
          <w:tcPr>
            <w:tcW w:w="529"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检测项目</w:t>
            </w:r>
          </w:p>
        </w:tc>
        <w:tc>
          <w:tcPr>
            <w:tcW w:w="602"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标准代号</w:t>
            </w:r>
          </w:p>
        </w:tc>
        <w:tc>
          <w:tcPr>
            <w:tcW w:w="2950"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标准名称</w:t>
            </w:r>
          </w:p>
        </w:tc>
        <w:tc>
          <w:tcPr>
            <w:tcW w:w="599"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18"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1</w:t>
            </w:r>
          </w:p>
        </w:tc>
        <w:tc>
          <w:tcPr>
            <w:tcW w:w="529" w:type="pct"/>
            <w:noWrap w:val="0"/>
            <w:vAlign w:val="center"/>
          </w:tcPr>
          <w:p>
            <w:pPr>
              <w:adjustRightInd w:val="0"/>
              <w:snapToGrid w:val="0"/>
              <w:spacing w:line="360" w:lineRule="exact"/>
              <w:jc w:val="center"/>
              <w:rPr>
                <w:rFonts w:hint="default" w:ascii="Times New Roman" w:hAnsi="Times New Roman" w:eastAsia="宋体" w:cs="Times New Roman"/>
                <w:szCs w:val="24"/>
                <w:lang w:val="en-US" w:eastAsia="zh-CN" w:bidi="ar"/>
              </w:rPr>
            </w:pPr>
            <w:r>
              <w:rPr>
                <w:rFonts w:hint="eastAsia" w:ascii="Times New Roman" w:hAnsi="Times New Roman" w:eastAsia="宋体" w:cs="Times New Roman"/>
                <w:szCs w:val="24"/>
                <w:lang w:val="en-US" w:eastAsia="zh-CN" w:bidi="ar"/>
              </w:rPr>
              <w:t>VOCs</w:t>
            </w:r>
          </w:p>
        </w:tc>
        <w:tc>
          <w:tcPr>
            <w:tcW w:w="602"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38-2017</w:t>
            </w:r>
          </w:p>
        </w:tc>
        <w:tc>
          <w:tcPr>
            <w:tcW w:w="295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固定污染源废气 总烃、甲烷和非甲烷总烃的测定 气相色谱法</w:t>
            </w:r>
          </w:p>
        </w:tc>
        <w:tc>
          <w:tcPr>
            <w:tcW w:w="599"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0.07 mg/m</w:t>
            </w:r>
            <w:r>
              <w:rPr>
                <w:rFonts w:hint="default" w:ascii="Times New Roman" w:hAnsi="Times New Roman" w:eastAsia="宋体" w:cs="Times New Roman"/>
                <w:sz w:val="21"/>
                <w:szCs w:val="21"/>
                <w:vertAlign w:val="superscript"/>
              </w:rPr>
              <w:t>3</w:t>
            </w:r>
          </w:p>
        </w:tc>
      </w:tr>
    </w:tbl>
    <w:p>
      <w:pPr>
        <w:pStyle w:val="9"/>
        <w:spacing w:after="0" w:line="240" w:lineRule="auto"/>
        <w:ind w:lef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sz w:val="24"/>
          <w:szCs w:val="24"/>
          <w:lang w:val="en-US" w:eastAsia="zh-CN"/>
        </w:rPr>
        <w:t>表7-2主要监测设备一览表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1715"/>
        <w:gridCol w:w="2543"/>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1784"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设备名称</w:t>
            </w:r>
          </w:p>
        </w:tc>
        <w:tc>
          <w:tcPr>
            <w:tcW w:w="923"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设备型号</w:t>
            </w:r>
          </w:p>
        </w:tc>
        <w:tc>
          <w:tcPr>
            <w:tcW w:w="1369"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设备编号</w:t>
            </w:r>
          </w:p>
        </w:tc>
        <w:tc>
          <w:tcPr>
            <w:tcW w:w="922"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空盒气压表</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DYM3型</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SDHC-YQ096-2022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温湿度计</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ST8817</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SDHC-YQ097-2022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便携式风向风速仪</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PLC-16025</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SDHC-YQ099-2022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污染源真空采样箱</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SDHC-YQ072-2022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w:t>
            </w:r>
          </w:p>
        </w:tc>
      </w:tr>
    </w:tbl>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3、监测时间与频次</w:t>
      </w:r>
    </w:p>
    <w:p>
      <w:pPr>
        <w:pStyle w:val="9"/>
        <w:spacing w:after="0" w:line="360" w:lineRule="auto"/>
        <w:ind w:left="0" w:firstLine="480" w:firstLineChars="200"/>
        <w:rPr>
          <w:rFonts w:hint="default" w:ascii="Times New Roman" w:hAnsi="Times New Roman" w:eastAsia="宋体" w:cs="Times New Roman"/>
          <w:color w:val="000000"/>
          <w:sz w:val="24"/>
          <w:szCs w:val="28"/>
          <w:highlight w:val="none"/>
          <w:lang w:val="en-US" w:eastAsia="zh-CN"/>
        </w:rPr>
      </w:pPr>
      <w:bookmarkStart w:id="58" w:name="_Toc25091"/>
      <w:bookmarkStart w:id="59" w:name="_Toc23181"/>
      <w:r>
        <w:rPr>
          <w:rFonts w:hint="default" w:ascii="Times New Roman" w:hAnsi="Times New Roman" w:eastAsia="宋体" w:cs="Times New Roman"/>
          <w:color w:val="000000"/>
          <w:sz w:val="24"/>
          <w:szCs w:val="28"/>
          <w:highlight w:val="none"/>
        </w:rPr>
        <w:t>202</w:t>
      </w:r>
      <w:r>
        <w:rPr>
          <w:rFonts w:hint="default" w:ascii="Times New Roman" w:hAnsi="Times New Roman" w:eastAsia="宋体" w:cs="Times New Roman"/>
          <w:color w:val="000000"/>
          <w:sz w:val="24"/>
          <w:szCs w:val="28"/>
          <w:highlight w:val="none"/>
          <w:lang w:val="en-US" w:eastAsia="zh-CN"/>
        </w:rPr>
        <w:t>3</w:t>
      </w:r>
      <w:r>
        <w:rPr>
          <w:rFonts w:hint="default" w:ascii="Times New Roman" w:hAnsi="Times New Roman" w:eastAsia="宋体" w:cs="Times New Roman"/>
          <w:color w:val="000000"/>
          <w:sz w:val="24"/>
          <w:szCs w:val="28"/>
          <w:highlight w:val="none"/>
        </w:rPr>
        <w:t>年</w:t>
      </w:r>
      <w:r>
        <w:rPr>
          <w:rFonts w:hint="default" w:ascii="Times New Roman" w:hAnsi="Times New Roman" w:eastAsia="宋体" w:cs="Times New Roman"/>
          <w:color w:val="000000"/>
          <w:sz w:val="24"/>
          <w:szCs w:val="28"/>
          <w:highlight w:val="none"/>
          <w:lang w:val="en-US" w:eastAsia="zh-CN"/>
        </w:rPr>
        <w:t>1</w:t>
      </w:r>
      <w:r>
        <w:rPr>
          <w:rFonts w:hint="eastAsia" w:cs="Times New Roman"/>
          <w:color w:val="000000"/>
          <w:sz w:val="24"/>
          <w:szCs w:val="28"/>
          <w:highlight w:val="none"/>
          <w:lang w:val="en-US" w:eastAsia="zh-CN"/>
        </w:rPr>
        <w:t>2</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17</w:t>
      </w:r>
      <w:r>
        <w:rPr>
          <w:rFonts w:hint="default" w:ascii="Times New Roman" w:hAnsi="Times New Roman" w:eastAsia="宋体" w:cs="Times New Roman"/>
          <w:color w:val="000000"/>
          <w:sz w:val="24"/>
          <w:szCs w:val="28"/>
          <w:highlight w:val="none"/>
        </w:rPr>
        <w:t>日~</w:t>
      </w:r>
      <w:r>
        <w:rPr>
          <w:rFonts w:hint="default" w:ascii="Times New Roman" w:hAnsi="Times New Roman" w:eastAsia="宋体" w:cs="Times New Roman"/>
          <w:color w:val="000000"/>
          <w:sz w:val="24"/>
          <w:szCs w:val="28"/>
          <w:highlight w:val="none"/>
          <w:lang w:val="en-US" w:eastAsia="zh-CN"/>
        </w:rPr>
        <w:t>1</w:t>
      </w:r>
      <w:r>
        <w:rPr>
          <w:rFonts w:hint="eastAsia" w:cs="Times New Roman"/>
          <w:color w:val="000000"/>
          <w:sz w:val="24"/>
          <w:szCs w:val="28"/>
          <w:highlight w:val="none"/>
          <w:lang w:val="en-US" w:eastAsia="zh-CN"/>
        </w:rPr>
        <w:t>2</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18</w:t>
      </w:r>
      <w:r>
        <w:rPr>
          <w:rFonts w:hint="default" w:ascii="Times New Roman" w:hAnsi="Times New Roman" w:eastAsia="宋体" w:cs="Times New Roman"/>
          <w:color w:val="000000"/>
          <w:sz w:val="24"/>
          <w:szCs w:val="28"/>
          <w:highlight w:val="none"/>
        </w:rPr>
        <w:t>日连续监测2天</w:t>
      </w:r>
      <w:bookmarkEnd w:id="58"/>
      <w:bookmarkEnd w:id="59"/>
      <w:r>
        <w:rPr>
          <w:rFonts w:hint="eastAsia" w:cs="Times New Roman"/>
          <w:color w:val="000000"/>
          <w:sz w:val="24"/>
          <w:szCs w:val="28"/>
          <w:highlight w:val="none"/>
          <w:lang w:eastAsia="zh-CN"/>
        </w:rPr>
        <w:t>，</w:t>
      </w:r>
      <w:r>
        <w:rPr>
          <w:rFonts w:hint="eastAsia" w:cs="Times New Roman"/>
          <w:color w:val="000000"/>
          <w:sz w:val="24"/>
          <w:szCs w:val="28"/>
          <w:highlight w:val="none"/>
          <w:lang w:val="en-US" w:eastAsia="zh-CN"/>
        </w:rPr>
        <w:t>每天监测3次。</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7.1.1.2无组织废气监测</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该项目产生的无组织废气污染物主要为</w:t>
      </w:r>
      <w:r>
        <w:rPr>
          <w:rFonts w:hint="eastAsia" w:cs="Times New Roman"/>
          <w:color w:val="000000"/>
          <w:sz w:val="24"/>
          <w:szCs w:val="28"/>
          <w:lang w:val="en-US" w:eastAsia="zh-CN"/>
        </w:rPr>
        <w:t>VOCs</w:t>
      </w:r>
      <w:r>
        <w:rPr>
          <w:rFonts w:hint="default" w:ascii="Times New Roman" w:hAnsi="Times New Roman" w:eastAsia="宋体" w:cs="Times New Roman"/>
          <w:color w:val="000000"/>
          <w:sz w:val="24"/>
          <w:szCs w:val="28"/>
        </w:rPr>
        <w:t>。</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1、监测点位</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根据监测期间气象条件设定，厂界上风向设置1个参照点，下风向3个监测点，</w:t>
      </w:r>
    </w:p>
    <w:p>
      <w:pPr>
        <w:pStyle w:val="38"/>
        <w:rPr>
          <w:rFonts w:hint="default"/>
        </w:rPr>
      </w:pPr>
      <w:r>
        <w:drawing>
          <wp:inline distT="0" distB="0" distL="114300" distR="114300">
            <wp:extent cx="4123055" cy="1751330"/>
            <wp:effectExtent l="0" t="0" r="10795"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9"/>
                    <a:srcRect l="10402" t="15325" r="9409" b="14873"/>
                    <a:stretch>
                      <a:fillRect/>
                    </a:stretch>
                  </pic:blipFill>
                  <pic:spPr>
                    <a:xfrm>
                      <a:off x="0" y="0"/>
                      <a:ext cx="4123055" cy="1751330"/>
                    </a:xfrm>
                    <a:prstGeom prst="rect">
                      <a:avLst/>
                    </a:prstGeom>
                    <a:noFill/>
                    <a:ln>
                      <a:noFill/>
                    </a:ln>
                  </pic:spPr>
                </pic:pic>
              </a:graphicData>
            </a:graphic>
          </wp:inline>
        </w:drawing>
      </w:r>
    </w:p>
    <w:p>
      <w:pPr>
        <w:jc w:val="center"/>
      </w:pPr>
      <w:r>
        <w:rPr>
          <w:rFonts w:ascii="Times New Roman" w:hAnsi="Times New Roman" w:eastAsia="宋体" w:cs="Times New Roman"/>
          <w:b/>
          <w:sz w:val="22"/>
          <w:szCs w:val="24"/>
        </w:rPr>
        <w:t>图</w:t>
      </w:r>
      <w:r>
        <w:rPr>
          <w:rFonts w:hint="eastAsia" w:ascii="Times New Roman" w:hAnsi="Times New Roman" w:eastAsia="宋体" w:cs="Times New Roman"/>
          <w:b/>
          <w:sz w:val="22"/>
          <w:szCs w:val="24"/>
        </w:rPr>
        <w:t>7</w:t>
      </w:r>
      <w:r>
        <w:rPr>
          <w:rFonts w:ascii="Times New Roman" w:hAnsi="Times New Roman" w:eastAsia="宋体" w:cs="Times New Roman"/>
          <w:b/>
          <w:sz w:val="22"/>
          <w:szCs w:val="24"/>
        </w:rPr>
        <w:t>-1</w:t>
      </w:r>
      <w:r>
        <w:rPr>
          <w:rFonts w:hint="eastAsia" w:ascii="Times New Roman" w:hAnsi="Times New Roman" w:eastAsia="宋体" w:cs="Times New Roman"/>
          <w:b/>
          <w:sz w:val="22"/>
          <w:szCs w:val="24"/>
        </w:rPr>
        <w:t xml:space="preserve">  </w:t>
      </w:r>
      <w:r>
        <w:rPr>
          <w:rFonts w:ascii="Times New Roman" w:hAnsi="Times New Roman" w:eastAsia="宋体" w:cs="Times New Roman"/>
          <w:b/>
          <w:sz w:val="22"/>
          <w:szCs w:val="24"/>
        </w:rPr>
        <w:t>无组织废气监测布点示意图</w:t>
      </w:r>
    </w:p>
    <w:p>
      <w:pPr>
        <w:pStyle w:val="9"/>
        <w:spacing w:after="0" w:line="360" w:lineRule="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2、监测技术规范及使用仪器见表。</w:t>
      </w: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表7-</w:t>
      </w:r>
      <w:r>
        <w:rPr>
          <w:rFonts w:hint="default"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监测项目方法一览表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778"/>
        <w:gridCol w:w="1956"/>
        <w:gridCol w:w="363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序号</w:t>
            </w:r>
          </w:p>
        </w:tc>
        <w:tc>
          <w:tcPr>
            <w:tcW w:w="958"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检测项目</w:t>
            </w:r>
          </w:p>
        </w:tc>
        <w:tc>
          <w:tcPr>
            <w:tcW w:w="105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标准代号</w:t>
            </w:r>
          </w:p>
        </w:tc>
        <w:tc>
          <w:tcPr>
            <w:tcW w:w="1960"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标准名称</w:t>
            </w:r>
          </w:p>
        </w:tc>
        <w:tc>
          <w:tcPr>
            <w:tcW w:w="683"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1</w:t>
            </w:r>
          </w:p>
        </w:tc>
        <w:tc>
          <w:tcPr>
            <w:tcW w:w="958" w:type="pct"/>
            <w:noWrap w:val="0"/>
            <w:vAlign w:val="center"/>
          </w:tcPr>
          <w:p>
            <w:pPr>
              <w:adjustRightInd w:val="0"/>
              <w:snapToGrid w:val="0"/>
              <w:spacing w:line="360" w:lineRule="exact"/>
              <w:jc w:val="center"/>
              <w:rPr>
                <w:rFonts w:hint="default" w:ascii="Times New Roman" w:hAnsi="Times New Roman" w:eastAsia="宋体" w:cs="Times New Roman"/>
                <w:szCs w:val="24"/>
                <w:lang w:val="en-US" w:eastAsia="zh-CN" w:bidi="ar"/>
              </w:rPr>
            </w:pPr>
            <w:r>
              <w:rPr>
                <w:rFonts w:hint="eastAsia" w:ascii="Times New Roman" w:hAnsi="Times New Roman" w:eastAsia="宋体" w:cs="Times New Roman"/>
                <w:szCs w:val="24"/>
                <w:lang w:val="en-US" w:eastAsia="zh-CN" w:bidi="ar"/>
              </w:rPr>
              <w:t>VOCs</w:t>
            </w:r>
          </w:p>
        </w:tc>
        <w:tc>
          <w:tcPr>
            <w:tcW w:w="1054"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604-2017</w:t>
            </w:r>
          </w:p>
        </w:tc>
        <w:tc>
          <w:tcPr>
            <w:tcW w:w="196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环境空气 总烃、甲烷和非甲烷总烃的测定 直接进样-气相色谱法</w:t>
            </w:r>
          </w:p>
        </w:tc>
        <w:tc>
          <w:tcPr>
            <w:tcW w:w="683"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0.07 mg/m</w:t>
            </w:r>
            <w:r>
              <w:rPr>
                <w:rFonts w:hint="default" w:ascii="Times New Roman" w:hAnsi="Times New Roman" w:eastAsia="宋体" w:cs="Times New Roman"/>
                <w:sz w:val="21"/>
                <w:szCs w:val="21"/>
                <w:vertAlign w:val="superscript"/>
              </w:rPr>
              <w:t>3</w:t>
            </w:r>
          </w:p>
        </w:tc>
      </w:tr>
    </w:tbl>
    <w:p>
      <w:pPr>
        <w:pStyle w:val="9"/>
        <w:spacing w:after="0" w:line="240" w:lineRule="auto"/>
        <w:ind w:left="0"/>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表7-4</w:t>
      </w:r>
      <w:r>
        <w:rPr>
          <w:rFonts w:hint="default" w:ascii="Times New Roman" w:hAnsi="Times New Roman" w:eastAsia="宋体" w:cs="Times New Roman"/>
          <w:b/>
          <w:bCs/>
          <w:sz w:val="24"/>
          <w:szCs w:val="24"/>
          <w:lang w:val="en-US" w:eastAsia="zh-CN"/>
        </w:rPr>
        <w:t>主要监测设备一览表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1715"/>
        <w:gridCol w:w="2543"/>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1784"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设备名称</w:t>
            </w:r>
          </w:p>
        </w:tc>
        <w:tc>
          <w:tcPr>
            <w:tcW w:w="923"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设备型号</w:t>
            </w:r>
          </w:p>
        </w:tc>
        <w:tc>
          <w:tcPr>
            <w:tcW w:w="1369"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设备编号</w:t>
            </w:r>
          </w:p>
        </w:tc>
        <w:tc>
          <w:tcPr>
            <w:tcW w:w="922"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空盒气压表</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DYM3型</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SDHC-YQ096-2022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温湿度计</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ST8817</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SDHC-YQ097-2022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便携式风向风速仪</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PLC-16025</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SDHC-YQ099-2022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污染源真空采样箱</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SDHC-YQ072-2022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w:t>
            </w:r>
          </w:p>
        </w:tc>
      </w:tr>
    </w:tbl>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、监测时间与频次</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废气</w:t>
      </w:r>
      <w:r>
        <w:rPr>
          <w:rFonts w:hint="default" w:ascii="Times New Roman" w:hAnsi="Times New Roman" w:eastAsia="宋体" w:cs="Times New Roman"/>
          <w:color w:val="000000"/>
          <w:sz w:val="24"/>
          <w:szCs w:val="28"/>
          <w:highlight w:val="none"/>
        </w:rPr>
        <w:t>于202</w:t>
      </w:r>
      <w:r>
        <w:rPr>
          <w:rFonts w:hint="default" w:ascii="Times New Roman" w:hAnsi="Times New Roman" w:eastAsia="宋体" w:cs="Times New Roman"/>
          <w:color w:val="000000"/>
          <w:sz w:val="24"/>
          <w:szCs w:val="28"/>
          <w:highlight w:val="none"/>
          <w:lang w:val="en-US" w:eastAsia="zh-CN"/>
        </w:rPr>
        <w:t>3</w:t>
      </w:r>
      <w:r>
        <w:rPr>
          <w:rFonts w:hint="default" w:ascii="Times New Roman" w:hAnsi="Times New Roman" w:eastAsia="宋体" w:cs="Times New Roman"/>
          <w:color w:val="000000"/>
          <w:sz w:val="24"/>
          <w:szCs w:val="28"/>
          <w:highlight w:val="none"/>
        </w:rPr>
        <w:t>年</w:t>
      </w:r>
      <w:r>
        <w:rPr>
          <w:rFonts w:hint="default" w:ascii="Times New Roman" w:hAnsi="Times New Roman" w:eastAsia="宋体" w:cs="Times New Roman"/>
          <w:color w:val="000000"/>
          <w:sz w:val="24"/>
          <w:szCs w:val="28"/>
          <w:highlight w:val="none"/>
          <w:lang w:val="en-US" w:eastAsia="zh-CN"/>
        </w:rPr>
        <w:t>1</w:t>
      </w:r>
      <w:r>
        <w:rPr>
          <w:rFonts w:hint="eastAsia" w:cs="Times New Roman"/>
          <w:color w:val="000000"/>
          <w:sz w:val="24"/>
          <w:szCs w:val="28"/>
          <w:highlight w:val="none"/>
          <w:lang w:val="en-US" w:eastAsia="zh-CN"/>
        </w:rPr>
        <w:t>2</w:t>
      </w:r>
      <w:r>
        <w:rPr>
          <w:rFonts w:hint="default" w:ascii="Times New Roman" w:hAnsi="Times New Roman" w:eastAsia="宋体" w:cs="Times New Roman"/>
          <w:color w:val="000000"/>
          <w:sz w:val="24"/>
          <w:szCs w:val="28"/>
          <w:highlight w:val="none"/>
        </w:rPr>
        <w:t>月</w:t>
      </w:r>
      <w:r>
        <w:rPr>
          <w:rFonts w:hint="eastAsia" w:cs="Times New Roman"/>
          <w:color w:val="000000"/>
          <w:sz w:val="24"/>
          <w:szCs w:val="28"/>
          <w:highlight w:val="none"/>
          <w:lang w:val="en-US" w:eastAsia="zh-CN"/>
        </w:rPr>
        <w:t>1</w:t>
      </w:r>
      <w:r>
        <w:rPr>
          <w:rFonts w:hint="default" w:ascii="Times New Roman" w:hAnsi="Times New Roman" w:eastAsia="宋体" w:cs="Times New Roman"/>
          <w:color w:val="000000"/>
          <w:sz w:val="24"/>
          <w:szCs w:val="28"/>
          <w:highlight w:val="none"/>
          <w:lang w:val="en-US" w:eastAsia="zh-CN"/>
        </w:rPr>
        <w:t>7</w:t>
      </w:r>
      <w:r>
        <w:rPr>
          <w:rFonts w:hint="default" w:ascii="Times New Roman" w:hAnsi="Times New Roman" w:eastAsia="宋体" w:cs="Times New Roman"/>
          <w:color w:val="000000"/>
          <w:sz w:val="24"/>
          <w:szCs w:val="28"/>
          <w:highlight w:val="none"/>
        </w:rPr>
        <w:t>日~</w:t>
      </w:r>
      <w:r>
        <w:rPr>
          <w:rFonts w:hint="default" w:ascii="Times New Roman" w:hAnsi="Times New Roman" w:eastAsia="宋体" w:cs="Times New Roman"/>
          <w:color w:val="000000"/>
          <w:sz w:val="24"/>
          <w:szCs w:val="28"/>
          <w:highlight w:val="none"/>
          <w:lang w:val="en-US" w:eastAsia="zh-CN"/>
        </w:rPr>
        <w:t>1</w:t>
      </w:r>
      <w:r>
        <w:rPr>
          <w:rFonts w:hint="eastAsia" w:cs="Times New Roman"/>
          <w:color w:val="000000"/>
          <w:sz w:val="24"/>
          <w:szCs w:val="28"/>
          <w:highlight w:val="none"/>
          <w:lang w:val="en-US" w:eastAsia="zh-CN"/>
        </w:rPr>
        <w:t>2</w:t>
      </w:r>
      <w:r>
        <w:rPr>
          <w:rFonts w:hint="default" w:ascii="Times New Roman" w:hAnsi="Times New Roman" w:eastAsia="宋体" w:cs="Times New Roman"/>
          <w:color w:val="000000"/>
          <w:sz w:val="24"/>
          <w:szCs w:val="28"/>
          <w:highlight w:val="none"/>
        </w:rPr>
        <w:t>月</w:t>
      </w:r>
      <w:r>
        <w:rPr>
          <w:rFonts w:hint="eastAsia" w:cs="Times New Roman"/>
          <w:color w:val="000000"/>
          <w:sz w:val="24"/>
          <w:szCs w:val="28"/>
          <w:highlight w:val="none"/>
          <w:lang w:val="en-US" w:eastAsia="zh-CN"/>
        </w:rPr>
        <w:t>1</w:t>
      </w:r>
      <w:r>
        <w:rPr>
          <w:rFonts w:hint="default" w:ascii="Times New Roman" w:hAnsi="Times New Roman" w:eastAsia="宋体" w:cs="Times New Roman"/>
          <w:color w:val="000000"/>
          <w:sz w:val="24"/>
          <w:szCs w:val="28"/>
          <w:highlight w:val="none"/>
          <w:lang w:val="en-US" w:eastAsia="zh-CN"/>
        </w:rPr>
        <w:t>8</w:t>
      </w:r>
      <w:r>
        <w:rPr>
          <w:rFonts w:hint="default" w:ascii="Times New Roman" w:hAnsi="Times New Roman" w:eastAsia="宋体" w:cs="Times New Roman"/>
          <w:color w:val="000000"/>
          <w:sz w:val="24"/>
          <w:szCs w:val="28"/>
          <w:highlight w:val="none"/>
        </w:rPr>
        <w:t>日连续监测2天</w:t>
      </w:r>
      <w:r>
        <w:rPr>
          <w:rFonts w:hint="default" w:ascii="Times New Roman" w:hAnsi="Times New Roman" w:eastAsia="宋体" w:cs="Times New Roman"/>
          <w:color w:val="000000"/>
          <w:sz w:val="24"/>
          <w:szCs w:val="28"/>
        </w:rPr>
        <w:t>，每天昼间各监测3次。</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7.1.2噪声监测</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1、监测点位</w:t>
      </w:r>
    </w:p>
    <w:p>
      <w:pPr>
        <w:pStyle w:val="9"/>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在项目区厂界最大噪声处各布设4个厂界噪声监测点位。</w:t>
      </w:r>
    </w:p>
    <w:p>
      <w:pPr>
        <w:pStyle w:val="38"/>
      </w:pPr>
      <w:r>
        <w:drawing>
          <wp:inline distT="0" distB="0" distL="114300" distR="114300">
            <wp:extent cx="3683635" cy="1931670"/>
            <wp:effectExtent l="0" t="0" r="12065" b="1143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0"/>
                    <a:srcRect l="33" t="10324" r="1902" b="1105"/>
                    <a:stretch>
                      <a:fillRect/>
                    </a:stretch>
                  </pic:blipFill>
                  <pic:spPr>
                    <a:xfrm>
                      <a:off x="0" y="0"/>
                      <a:ext cx="3683635" cy="1931670"/>
                    </a:xfrm>
                    <a:prstGeom prst="rect">
                      <a:avLst/>
                    </a:prstGeom>
                    <a:noFill/>
                    <a:ln>
                      <a:noFill/>
                    </a:ln>
                  </pic:spPr>
                </pic:pic>
              </a:graphicData>
            </a:graphic>
          </wp:inline>
        </w:drawing>
      </w:r>
    </w:p>
    <w:p>
      <w:pPr>
        <w:jc w:val="center"/>
        <w:rPr>
          <w:rFonts w:ascii="Times New Roman" w:hAnsi="Times New Roman" w:eastAsia="宋体" w:cs="Times New Roman"/>
          <w:b/>
          <w:sz w:val="22"/>
          <w:szCs w:val="24"/>
        </w:rPr>
      </w:pPr>
      <w:r>
        <w:rPr>
          <w:rFonts w:ascii="Times New Roman" w:hAnsi="Times New Roman" w:eastAsia="宋体" w:cs="Times New Roman"/>
          <w:b/>
          <w:sz w:val="22"/>
          <w:szCs w:val="24"/>
        </w:rPr>
        <w:t>图</w:t>
      </w:r>
      <w:r>
        <w:rPr>
          <w:rFonts w:hint="eastAsia" w:ascii="Times New Roman" w:hAnsi="Times New Roman" w:eastAsia="宋体" w:cs="Times New Roman"/>
          <w:b/>
          <w:sz w:val="22"/>
          <w:szCs w:val="24"/>
        </w:rPr>
        <w:t>7</w:t>
      </w:r>
      <w:r>
        <w:rPr>
          <w:rFonts w:ascii="Times New Roman" w:hAnsi="Times New Roman" w:eastAsia="宋体" w:cs="Times New Roman"/>
          <w:b/>
          <w:sz w:val="22"/>
          <w:szCs w:val="24"/>
        </w:rPr>
        <w:t>-</w:t>
      </w:r>
      <w:r>
        <w:rPr>
          <w:rFonts w:hint="eastAsia" w:ascii="Times New Roman" w:hAnsi="Times New Roman" w:eastAsia="宋体" w:cs="Times New Roman"/>
          <w:b/>
          <w:sz w:val="22"/>
          <w:szCs w:val="24"/>
        </w:rPr>
        <w:t xml:space="preserve">2  </w:t>
      </w:r>
      <w:r>
        <w:rPr>
          <w:rFonts w:ascii="Times New Roman" w:hAnsi="Times New Roman" w:eastAsia="宋体" w:cs="Times New Roman"/>
          <w:b/>
          <w:sz w:val="22"/>
          <w:szCs w:val="24"/>
        </w:rPr>
        <w:t>噪声监测布点图</w:t>
      </w:r>
    </w:p>
    <w:p>
      <w:pPr>
        <w:rPr>
          <w:rFonts w:hint="default"/>
        </w:rPr>
      </w:pP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2、监测技术规范及使用仪器</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监测技术规范及使用仪器见表7-</w:t>
      </w:r>
      <w:r>
        <w:rPr>
          <w:rFonts w:hint="default" w:ascii="Times New Roman" w:hAnsi="Times New Roman" w:eastAsia="宋体" w:cs="Times New Roman"/>
          <w:color w:val="000000"/>
          <w:sz w:val="24"/>
          <w:szCs w:val="28"/>
          <w:lang w:val="en-US" w:eastAsia="zh-CN"/>
        </w:rPr>
        <w:t>5和表7-6</w:t>
      </w:r>
      <w:r>
        <w:rPr>
          <w:rFonts w:hint="default" w:ascii="Times New Roman" w:hAnsi="Times New Roman" w:eastAsia="宋体" w:cs="Times New Roman"/>
          <w:color w:val="000000"/>
          <w:sz w:val="24"/>
          <w:szCs w:val="28"/>
        </w:rPr>
        <w:t>。</w:t>
      </w:r>
    </w:p>
    <w:p>
      <w:pPr>
        <w:pStyle w:val="9"/>
        <w:spacing w:after="0" w:line="240" w:lineRule="auto"/>
        <w:ind w:left="0"/>
        <w:jc w:val="center"/>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表7-</w:t>
      </w:r>
      <w:r>
        <w:rPr>
          <w:rFonts w:hint="default"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监测项目方法及仪器</w:t>
      </w:r>
      <w:r>
        <w:rPr>
          <w:rFonts w:hint="default" w:ascii="Times New Roman" w:hAnsi="Times New Roman" w:eastAsia="宋体" w:cs="Times New Roman"/>
          <w:b/>
          <w:sz w:val="24"/>
          <w:szCs w:val="24"/>
          <w:lang w:val="en-US" w:eastAsia="zh-CN"/>
        </w:rPr>
        <w:t>一览表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777"/>
        <w:gridCol w:w="1957"/>
        <w:gridCol w:w="3640"/>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序号</w:t>
            </w:r>
          </w:p>
        </w:tc>
        <w:tc>
          <w:tcPr>
            <w:tcW w:w="957"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检测项目</w:t>
            </w:r>
          </w:p>
        </w:tc>
        <w:tc>
          <w:tcPr>
            <w:tcW w:w="105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标准代号</w:t>
            </w:r>
          </w:p>
        </w:tc>
        <w:tc>
          <w:tcPr>
            <w:tcW w:w="1960"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标准名称</w:t>
            </w:r>
          </w:p>
        </w:tc>
        <w:tc>
          <w:tcPr>
            <w:tcW w:w="682"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1</w:t>
            </w:r>
          </w:p>
        </w:tc>
        <w:tc>
          <w:tcPr>
            <w:tcW w:w="957" w:type="pct"/>
            <w:noWrap w:val="0"/>
            <w:vAlign w:val="center"/>
          </w:tcPr>
          <w:p>
            <w:pPr>
              <w:adjustRightInd w:val="0"/>
              <w:snapToGrid w:val="0"/>
              <w:spacing w:line="360" w:lineRule="exact"/>
              <w:jc w:val="center"/>
              <w:rPr>
                <w:rFonts w:hint="default" w:ascii="Times New Roman" w:hAnsi="Times New Roman" w:eastAsia="宋体" w:cs="Times New Roman"/>
                <w:szCs w:val="24"/>
                <w:lang w:val="en-US" w:eastAsia="zh-CN" w:bidi="ar"/>
              </w:rPr>
            </w:pPr>
            <w:r>
              <w:rPr>
                <w:rFonts w:hint="default" w:ascii="Times New Roman" w:hAnsi="Times New Roman" w:eastAsia="宋体" w:cs="Times New Roman"/>
                <w:szCs w:val="24"/>
                <w:lang w:val="en-US" w:eastAsia="zh-CN" w:bidi="ar"/>
              </w:rPr>
              <w:t>噪声</w:t>
            </w:r>
          </w:p>
        </w:tc>
        <w:tc>
          <w:tcPr>
            <w:tcW w:w="1054" w:type="pct"/>
            <w:noWrap w:val="0"/>
            <w:vAlign w:val="center"/>
          </w:tcPr>
          <w:p>
            <w:pPr>
              <w:adjustRightInd w:val="0"/>
              <w:snapToGrid w:val="0"/>
              <w:spacing w:line="360" w:lineRule="exact"/>
              <w:jc w:val="center"/>
              <w:rPr>
                <w:rFonts w:hint="default" w:ascii="Times New Roman" w:hAnsi="Times New Roman" w:eastAsia="宋体" w:cs="Times New Roman"/>
                <w:szCs w:val="24"/>
                <w:lang w:val="en-US" w:eastAsia="zh-CN" w:bidi="ar"/>
              </w:rPr>
            </w:pPr>
            <w:r>
              <w:rPr>
                <w:rFonts w:hint="default" w:ascii="Times New Roman" w:hAnsi="Times New Roman" w:eastAsia="宋体" w:cs="Times New Roman"/>
                <w:szCs w:val="24"/>
                <w:lang w:val="en-US" w:eastAsia="zh-CN" w:bidi="ar"/>
              </w:rPr>
              <w:t>GB12348-2008</w:t>
            </w:r>
          </w:p>
        </w:tc>
        <w:tc>
          <w:tcPr>
            <w:tcW w:w="1960" w:type="pct"/>
            <w:noWrap w:val="0"/>
            <w:vAlign w:val="center"/>
          </w:tcPr>
          <w:p>
            <w:pPr>
              <w:adjustRightInd w:val="0"/>
              <w:snapToGrid w:val="0"/>
              <w:spacing w:line="360" w:lineRule="exact"/>
              <w:jc w:val="center"/>
              <w:rPr>
                <w:rFonts w:hint="default" w:ascii="Times New Roman" w:hAnsi="Times New Roman" w:eastAsia="宋体" w:cs="Times New Roman"/>
                <w:szCs w:val="24"/>
                <w:lang w:bidi="ar"/>
              </w:rPr>
            </w:pPr>
            <w:r>
              <w:rPr>
                <w:rFonts w:hint="default" w:ascii="Times New Roman" w:hAnsi="Times New Roman" w:eastAsia="宋体" w:cs="Times New Roman"/>
                <w:szCs w:val="24"/>
                <w:lang w:bidi="ar"/>
              </w:rPr>
              <w:t>工业企业厂界环境噪声排放标准</w:t>
            </w:r>
          </w:p>
        </w:tc>
        <w:tc>
          <w:tcPr>
            <w:tcW w:w="682" w:type="pct"/>
            <w:noWrap w:val="0"/>
            <w:vAlign w:val="center"/>
          </w:tcPr>
          <w:p>
            <w:pPr>
              <w:adjustRightInd w:val="0"/>
              <w:snapToGrid w:val="0"/>
              <w:spacing w:line="360" w:lineRule="exact"/>
              <w:jc w:val="center"/>
              <w:rPr>
                <w:rFonts w:hint="default" w:ascii="Times New Roman" w:hAnsi="Times New Roman" w:eastAsia="宋体" w:cs="Times New Roman"/>
                <w:szCs w:val="24"/>
                <w:lang w:eastAsia="zh-CN" w:bidi="ar"/>
              </w:rPr>
            </w:pPr>
            <w:r>
              <w:rPr>
                <w:rFonts w:hint="default" w:ascii="Times New Roman" w:hAnsi="Times New Roman" w:eastAsia="宋体" w:cs="Times New Roman"/>
                <w:szCs w:val="24"/>
                <w:lang w:val="en-US" w:eastAsia="zh-CN" w:bidi="ar"/>
              </w:rPr>
              <w:t>/</w:t>
            </w:r>
          </w:p>
        </w:tc>
      </w:tr>
    </w:tbl>
    <w:p>
      <w:pPr>
        <w:pStyle w:val="9"/>
        <w:spacing w:after="0" w:line="240" w:lineRule="auto"/>
        <w:ind w:left="0"/>
        <w:jc w:val="center"/>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rPr>
        <w:t>表7-</w:t>
      </w:r>
      <w:r>
        <w:rPr>
          <w:rFonts w:hint="default" w:ascii="Times New Roman" w:hAnsi="Times New Roman" w:eastAsia="宋体" w:cs="Times New Roman"/>
          <w:b/>
          <w:sz w:val="24"/>
          <w:szCs w:val="24"/>
          <w:lang w:val="en-US" w:eastAsia="zh-CN"/>
        </w:rPr>
        <w:t>6</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sz w:val="24"/>
          <w:szCs w:val="24"/>
          <w:lang w:val="en-US" w:eastAsia="zh-CN"/>
        </w:rPr>
        <w:t>主要监测设备一览表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1715"/>
        <w:gridCol w:w="2543"/>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blHeader/>
          <w:jc w:val="center"/>
        </w:trPr>
        <w:tc>
          <w:tcPr>
            <w:tcW w:w="1784"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设备名称</w:t>
            </w:r>
          </w:p>
        </w:tc>
        <w:tc>
          <w:tcPr>
            <w:tcW w:w="923"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设备型号</w:t>
            </w:r>
          </w:p>
        </w:tc>
        <w:tc>
          <w:tcPr>
            <w:tcW w:w="1369"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设备编号</w:t>
            </w:r>
          </w:p>
        </w:tc>
        <w:tc>
          <w:tcPr>
            <w:tcW w:w="922"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声校准器</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AWA6022A型</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SDHC-YQ098-2022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多功能声级计</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AWA5688</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SDHC-YQ100-2022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09</w:t>
            </w:r>
          </w:p>
        </w:tc>
      </w:tr>
    </w:tbl>
    <w:p>
      <w:pPr>
        <w:pStyle w:val="9"/>
        <w:spacing w:after="0" w:line="360" w:lineRule="auto"/>
        <w:ind w:left="0" w:firstLine="480" w:firstLineChars="200"/>
        <w:rPr>
          <w:rFonts w:hint="default" w:ascii="Times New Roman" w:hAnsi="Times New Roman" w:eastAsia="宋体" w:cs="Times New Roman"/>
          <w:color w:val="000000"/>
          <w:sz w:val="24"/>
          <w:szCs w:val="28"/>
        </w:rPr>
      </w:pP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3、监测时间与频次</w:t>
      </w:r>
    </w:p>
    <w:p>
      <w:pPr>
        <w:pStyle w:val="9"/>
        <w:spacing w:after="0" w:line="360" w:lineRule="auto"/>
        <w:ind w:left="0" w:firstLine="480" w:firstLineChars="200"/>
        <w:rPr>
          <w:rFonts w:hint="default" w:ascii="Times New Roman" w:hAnsi="Times New Roman" w:eastAsia="宋体" w:cs="Times New Roman"/>
          <w:color w:val="000000"/>
          <w:sz w:val="24"/>
          <w:szCs w:val="28"/>
          <w:highlight w:val="none"/>
        </w:rPr>
      </w:pPr>
      <w:r>
        <w:rPr>
          <w:rFonts w:hint="default" w:ascii="Times New Roman" w:hAnsi="Times New Roman" w:eastAsia="宋体" w:cs="Times New Roman"/>
          <w:color w:val="000000"/>
          <w:sz w:val="24"/>
          <w:szCs w:val="28"/>
          <w:lang w:val="en-US" w:eastAsia="zh-CN"/>
        </w:rPr>
        <w:t>噪声</w:t>
      </w:r>
      <w:r>
        <w:rPr>
          <w:rFonts w:hint="default" w:ascii="Times New Roman" w:hAnsi="Times New Roman" w:eastAsia="宋体" w:cs="Times New Roman"/>
          <w:color w:val="000000"/>
          <w:sz w:val="24"/>
          <w:szCs w:val="28"/>
          <w:highlight w:val="none"/>
        </w:rPr>
        <w:t>202</w:t>
      </w:r>
      <w:r>
        <w:rPr>
          <w:rFonts w:hint="default" w:ascii="Times New Roman" w:hAnsi="Times New Roman" w:eastAsia="宋体" w:cs="Times New Roman"/>
          <w:color w:val="000000"/>
          <w:sz w:val="24"/>
          <w:szCs w:val="28"/>
          <w:highlight w:val="none"/>
          <w:lang w:val="en-US" w:eastAsia="zh-CN"/>
        </w:rPr>
        <w:t>3</w:t>
      </w:r>
      <w:r>
        <w:rPr>
          <w:rFonts w:hint="default" w:ascii="Times New Roman" w:hAnsi="Times New Roman" w:eastAsia="宋体" w:cs="Times New Roman"/>
          <w:color w:val="000000"/>
          <w:sz w:val="24"/>
          <w:szCs w:val="28"/>
          <w:highlight w:val="none"/>
        </w:rPr>
        <w:t>年</w:t>
      </w:r>
      <w:r>
        <w:rPr>
          <w:rFonts w:hint="eastAsia" w:cs="Times New Roman"/>
          <w:color w:val="000000"/>
          <w:sz w:val="24"/>
          <w:szCs w:val="28"/>
          <w:highlight w:val="none"/>
          <w:lang w:val="en-US" w:eastAsia="zh-CN"/>
        </w:rPr>
        <w:t>12</w:t>
      </w:r>
      <w:r>
        <w:rPr>
          <w:rFonts w:hint="default" w:ascii="Times New Roman" w:hAnsi="Times New Roman" w:eastAsia="宋体" w:cs="Times New Roman"/>
          <w:color w:val="000000"/>
          <w:sz w:val="24"/>
          <w:szCs w:val="28"/>
          <w:highlight w:val="none"/>
        </w:rPr>
        <w:t>月</w:t>
      </w:r>
      <w:r>
        <w:rPr>
          <w:rFonts w:hint="eastAsia" w:cs="Times New Roman"/>
          <w:color w:val="000000"/>
          <w:sz w:val="24"/>
          <w:szCs w:val="28"/>
          <w:highlight w:val="none"/>
          <w:lang w:val="en-US" w:eastAsia="zh-CN"/>
        </w:rPr>
        <w:t>17</w:t>
      </w:r>
      <w:r>
        <w:rPr>
          <w:rFonts w:hint="default" w:ascii="Times New Roman" w:hAnsi="Times New Roman" w:eastAsia="宋体" w:cs="Times New Roman"/>
          <w:color w:val="000000"/>
          <w:sz w:val="24"/>
          <w:szCs w:val="28"/>
          <w:highlight w:val="none"/>
        </w:rPr>
        <w:t>日~</w:t>
      </w:r>
      <w:r>
        <w:rPr>
          <w:rFonts w:hint="eastAsia" w:cs="Times New Roman"/>
          <w:color w:val="000000"/>
          <w:sz w:val="24"/>
          <w:szCs w:val="28"/>
          <w:highlight w:val="none"/>
          <w:lang w:val="en-US" w:eastAsia="zh-CN"/>
        </w:rPr>
        <w:t>12</w:t>
      </w:r>
      <w:r>
        <w:rPr>
          <w:rFonts w:hint="default" w:ascii="Times New Roman" w:hAnsi="Times New Roman" w:eastAsia="宋体" w:cs="Times New Roman"/>
          <w:color w:val="000000"/>
          <w:sz w:val="24"/>
          <w:szCs w:val="28"/>
          <w:highlight w:val="none"/>
        </w:rPr>
        <w:t>月</w:t>
      </w:r>
      <w:r>
        <w:rPr>
          <w:rFonts w:hint="eastAsia" w:cs="Times New Roman"/>
          <w:color w:val="000000"/>
          <w:sz w:val="24"/>
          <w:szCs w:val="28"/>
          <w:highlight w:val="none"/>
          <w:lang w:val="en-US" w:eastAsia="zh-CN"/>
        </w:rPr>
        <w:t>18</w:t>
      </w:r>
      <w:r>
        <w:rPr>
          <w:rFonts w:hint="default" w:ascii="Times New Roman" w:hAnsi="Times New Roman" w:eastAsia="宋体" w:cs="Times New Roman"/>
          <w:color w:val="000000"/>
          <w:sz w:val="24"/>
          <w:szCs w:val="28"/>
          <w:highlight w:val="none"/>
        </w:rPr>
        <w:t>日连续监测2天，每天昼监测</w:t>
      </w:r>
      <w:r>
        <w:rPr>
          <w:rFonts w:hint="default" w:ascii="Times New Roman" w:hAnsi="Times New Roman" w:eastAsia="宋体" w:cs="Times New Roman"/>
          <w:color w:val="000000"/>
          <w:sz w:val="24"/>
          <w:szCs w:val="28"/>
          <w:highlight w:val="none"/>
          <w:lang w:val="en-US" w:eastAsia="zh-CN"/>
        </w:rPr>
        <w:t>1</w:t>
      </w:r>
      <w:r>
        <w:rPr>
          <w:rFonts w:hint="default" w:ascii="Times New Roman" w:hAnsi="Times New Roman" w:eastAsia="宋体" w:cs="Times New Roman"/>
          <w:color w:val="000000"/>
          <w:sz w:val="24"/>
          <w:szCs w:val="28"/>
          <w:highlight w:val="none"/>
        </w:rPr>
        <w:t>次。</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60" w:name="_Toc25240"/>
      <w:r>
        <w:rPr>
          <w:rFonts w:hint="default" w:ascii="Times New Roman" w:hAnsi="Times New Roman" w:eastAsia="宋体" w:cs="Times New Roman"/>
          <w:b/>
          <w:sz w:val="28"/>
          <w:szCs w:val="32"/>
        </w:rPr>
        <w:t>7.2环境质量监测</w:t>
      </w:r>
      <w:bookmarkEnd w:id="60"/>
    </w:p>
    <w:p>
      <w:pPr>
        <w:pStyle w:val="9"/>
        <w:spacing w:after="0" w:line="360" w:lineRule="auto"/>
        <w:ind w:left="0" w:firstLine="480" w:firstLineChars="200"/>
        <w:rPr>
          <w:rFonts w:hint="default" w:ascii="Times New Roman" w:hAnsi="Times New Roman" w:eastAsia="宋体" w:cs="Times New Roman"/>
          <w:b/>
          <w:sz w:val="28"/>
          <w:szCs w:val="28"/>
        </w:rPr>
      </w:pPr>
      <w:r>
        <w:rPr>
          <w:rFonts w:hint="default" w:ascii="Times New Roman" w:hAnsi="Times New Roman" w:eastAsia="宋体" w:cs="Times New Roman"/>
          <w:color w:val="000000"/>
          <w:sz w:val="24"/>
          <w:szCs w:val="28"/>
        </w:rPr>
        <w:t>该项目所在位置周边无自然保护区、风景名胜等其他环境敏感点，生态环境不敏感。根据该项目环境影响评价报告表中结论，项目在严格落实评价中提出的各项有关环保措施，并确保各种治理设施正常运转的前提下，项目对周围环境质量的影响不大。</w:t>
      </w:r>
      <w:r>
        <w:rPr>
          <w:rFonts w:hint="default" w:ascii="Times New Roman" w:hAnsi="Times New Roman" w:eastAsia="宋体" w:cs="Times New Roman"/>
          <w:b/>
          <w:sz w:val="28"/>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61" w:name="_Toc23401"/>
      <w:r>
        <w:rPr>
          <w:rFonts w:hint="default" w:ascii="Times New Roman" w:hAnsi="Times New Roman" w:eastAsia="宋体" w:cs="Times New Roman"/>
          <w:b/>
          <w:sz w:val="32"/>
          <w:szCs w:val="32"/>
        </w:rPr>
        <w:t>8、质量保证及质量控制</w:t>
      </w:r>
      <w:bookmarkEnd w:id="61"/>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62" w:name="_Toc29861"/>
      <w:r>
        <w:rPr>
          <w:rFonts w:hint="default" w:ascii="Times New Roman" w:hAnsi="Times New Roman" w:eastAsia="宋体" w:cs="Times New Roman"/>
          <w:b/>
          <w:sz w:val="28"/>
          <w:szCs w:val="32"/>
        </w:rPr>
        <w:t>8.1监测分析方法及监测仪器</w:t>
      </w:r>
      <w:bookmarkEnd w:id="62"/>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1、声级计在测试前后用标准发生源进行校准，测量前后仪器的灵敏度相差不大于0.5dB。测量在无雨、无雪天气条件下进行，风速5m/s以上停止测量；测量时传声器加风罩。</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2、被测排放物的浓度在仪器量程的有效范围内。</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63" w:name="_Toc600"/>
      <w:r>
        <w:rPr>
          <w:rFonts w:hint="default" w:ascii="Times New Roman" w:hAnsi="Times New Roman" w:eastAsia="宋体" w:cs="Times New Roman"/>
          <w:b/>
          <w:sz w:val="28"/>
          <w:szCs w:val="32"/>
        </w:rPr>
        <w:t>8.2人员资质</w:t>
      </w:r>
      <w:bookmarkEnd w:id="63"/>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参加验收监测采样和测试的人员，按国家有关规定均持证上岗，所有监测设备均经过计量部门的检定并在检定有效周期内。</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64" w:name="_Toc19288"/>
      <w:bookmarkStart w:id="65" w:name="_Toc24512"/>
      <w:bookmarkStart w:id="66" w:name="_Toc4390"/>
      <w:r>
        <w:rPr>
          <w:rFonts w:hint="default" w:ascii="Times New Roman" w:hAnsi="Times New Roman" w:eastAsia="宋体" w:cs="Times New Roman"/>
          <w:b/>
          <w:sz w:val="28"/>
          <w:szCs w:val="32"/>
        </w:rPr>
        <w:t>8.3水质监测分析过程中的质量保证和质量控制</w:t>
      </w:r>
      <w:bookmarkEnd w:id="64"/>
      <w:bookmarkEnd w:id="65"/>
      <w:bookmarkEnd w:id="66"/>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该项目未做水质监测。</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67" w:name="_Toc2660"/>
      <w:bookmarkStart w:id="68" w:name="_Toc16565"/>
      <w:bookmarkStart w:id="69" w:name="_Toc15346"/>
      <w:r>
        <w:rPr>
          <w:rFonts w:hint="default" w:ascii="Times New Roman" w:hAnsi="Times New Roman" w:eastAsia="宋体" w:cs="Times New Roman"/>
          <w:b/>
          <w:sz w:val="28"/>
          <w:szCs w:val="32"/>
        </w:rPr>
        <w:t>8.4气体监测分析过程中的质量保证和质量控制</w:t>
      </w:r>
      <w:bookmarkEnd w:id="67"/>
      <w:bookmarkEnd w:id="68"/>
      <w:bookmarkEnd w:id="69"/>
      <w:r>
        <w:rPr>
          <w:rFonts w:hint="default" w:ascii="Times New Roman" w:hAnsi="Times New Roman" w:eastAsia="宋体" w:cs="Times New Roman"/>
          <w:b/>
          <w:sz w:val="28"/>
          <w:szCs w:val="32"/>
        </w:rPr>
        <w:t xml:space="preserve"> </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1、质控依据：</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《固定污染源监测质量保证与质量控制技术规范》HJ/T 373-2007；</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《固定源废气监测技术规范》HJ/T 397-2007；</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《大气污染物无组织排放监测技术导则》 HJ/T 55-2000。</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2、质控措施：</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（1）尽量避免被测排放物中共存污染物对分析的交叉干扰。</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（2）被测排放物的浓度在仪器量程的有效范围（即30%-70%之间）</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（3）颗粒物采样器在进入现场前应对采样器计、流速计等进行校核。气体监测仪器在测试前按监测因子分别用标准气体和流量计对其进行校核，在测试是应保证采样流量的准确。</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（4）监测、计量设备强检合格；人员持证上岗；</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70" w:name="_Toc27599"/>
      <w:bookmarkStart w:id="71" w:name="_Toc19134"/>
      <w:bookmarkStart w:id="72" w:name="_Toc29255"/>
      <w:r>
        <w:rPr>
          <w:rFonts w:hint="default" w:ascii="Times New Roman" w:hAnsi="Times New Roman" w:eastAsia="宋体" w:cs="Times New Roman"/>
          <w:b/>
          <w:sz w:val="28"/>
          <w:szCs w:val="32"/>
        </w:rPr>
        <w:t>8.5噪声监测分析过程中的质量保证和质量控制</w:t>
      </w:r>
      <w:bookmarkEnd w:id="70"/>
      <w:bookmarkEnd w:id="71"/>
      <w:bookmarkEnd w:id="72"/>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1、质控依据：《环境噪声监测技术规范噪声测量值修正》HJ706-2014；</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2、质控措施：</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（1）声级计在测试前后用标准发声源进行校准，测试前后仪器的灵敏度相差不大于0.5dB，若大于0.5dB测试数据无效。噪声仪测量前校准值93.8dB，测量后校准值93.8dB。</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（2）本次监测期间无雨雪、无雷电，且风速小于5m/s；</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（3）监测、计量设备强检合格；人员持证上岗。</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73" w:name="_Toc15075"/>
      <w:bookmarkStart w:id="74" w:name="_Toc31195"/>
      <w:bookmarkStart w:id="75" w:name="_Toc13816"/>
      <w:r>
        <w:rPr>
          <w:rFonts w:hint="default" w:ascii="Times New Roman" w:hAnsi="Times New Roman" w:eastAsia="宋体" w:cs="Times New Roman"/>
          <w:b/>
          <w:sz w:val="28"/>
          <w:szCs w:val="32"/>
        </w:rPr>
        <w:t>8.6固体废物监测分析过程中的质量保证和质量控制</w:t>
      </w:r>
      <w:bookmarkEnd w:id="73"/>
      <w:bookmarkEnd w:id="74"/>
      <w:bookmarkEnd w:id="75"/>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该项目未做固废监测。</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76" w:name="_Toc8329"/>
      <w:r>
        <w:rPr>
          <w:rFonts w:hint="default" w:ascii="Times New Roman" w:hAnsi="Times New Roman" w:eastAsia="宋体" w:cs="Times New Roman"/>
          <w:b/>
          <w:sz w:val="32"/>
          <w:szCs w:val="32"/>
        </w:rPr>
        <w:t>9、验收监测结果</w:t>
      </w:r>
      <w:bookmarkEnd w:id="76"/>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77" w:name="_Toc17112"/>
      <w:r>
        <w:rPr>
          <w:rFonts w:hint="default" w:ascii="Times New Roman" w:hAnsi="Times New Roman" w:eastAsia="宋体" w:cs="Times New Roman"/>
          <w:b/>
          <w:sz w:val="28"/>
          <w:szCs w:val="32"/>
        </w:rPr>
        <w:t>9.1生产工况</w:t>
      </w:r>
      <w:bookmarkEnd w:id="77"/>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kern w:val="2"/>
          <w:sz w:val="24"/>
          <w:szCs w:val="28"/>
          <w:lang w:val="en-US" w:eastAsia="zh-CN" w:bidi="ar-SA"/>
        </w:rPr>
        <w:t>监测时间为</w:t>
      </w:r>
      <w:r>
        <w:rPr>
          <w:rFonts w:hint="default" w:ascii="Times New Roman" w:hAnsi="Times New Roman" w:eastAsia="宋体" w:cs="Times New Roman"/>
          <w:color w:val="000000"/>
          <w:kern w:val="2"/>
          <w:sz w:val="24"/>
          <w:szCs w:val="28"/>
          <w:highlight w:val="none"/>
          <w:lang w:val="en-US" w:eastAsia="zh-CN" w:bidi="ar-SA"/>
        </w:rPr>
        <w:t>2023年1</w:t>
      </w:r>
      <w:r>
        <w:rPr>
          <w:rFonts w:hint="eastAsia" w:ascii="Times New Roman" w:hAnsi="Times New Roman" w:eastAsia="宋体" w:cs="Times New Roman"/>
          <w:color w:val="000000"/>
          <w:kern w:val="2"/>
          <w:sz w:val="24"/>
          <w:szCs w:val="28"/>
          <w:highlight w:val="none"/>
          <w:lang w:val="en-US" w:eastAsia="zh-CN" w:bidi="ar-SA"/>
        </w:rPr>
        <w:t>2</w:t>
      </w:r>
      <w:r>
        <w:rPr>
          <w:rFonts w:hint="default" w:ascii="Times New Roman" w:hAnsi="Times New Roman" w:eastAsia="宋体" w:cs="Times New Roman"/>
          <w:color w:val="000000"/>
          <w:kern w:val="2"/>
          <w:sz w:val="24"/>
          <w:szCs w:val="28"/>
          <w:highlight w:val="none"/>
          <w:lang w:val="en-US" w:eastAsia="zh-CN" w:bidi="ar-SA"/>
        </w:rPr>
        <w:t>月</w:t>
      </w:r>
      <w:r>
        <w:rPr>
          <w:rFonts w:hint="eastAsia" w:ascii="Times New Roman" w:hAnsi="Times New Roman" w:eastAsia="宋体" w:cs="Times New Roman"/>
          <w:color w:val="000000"/>
          <w:kern w:val="2"/>
          <w:sz w:val="24"/>
          <w:szCs w:val="28"/>
          <w:highlight w:val="none"/>
          <w:lang w:val="en-US" w:eastAsia="zh-CN" w:bidi="ar-SA"/>
        </w:rPr>
        <w:t>1</w:t>
      </w:r>
      <w:r>
        <w:rPr>
          <w:rFonts w:hint="default" w:ascii="Times New Roman" w:hAnsi="Times New Roman" w:eastAsia="宋体" w:cs="Times New Roman"/>
          <w:color w:val="000000"/>
          <w:kern w:val="2"/>
          <w:sz w:val="24"/>
          <w:szCs w:val="28"/>
          <w:highlight w:val="none"/>
          <w:lang w:val="en-US" w:eastAsia="zh-CN" w:bidi="ar-SA"/>
        </w:rPr>
        <w:t>7日~1</w:t>
      </w:r>
      <w:r>
        <w:rPr>
          <w:rFonts w:hint="eastAsia" w:ascii="Times New Roman" w:hAnsi="Times New Roman" w:eastAsia="宋体" w:cs="Times New Roman"/>
          <w:color w:val="000000"/>
          <w:kern w:val="2"/>
          <w:sz w:val="24"/>
          <w:szCs w:val="28"/>
          <w:highlight w:val="none"/>
          <w:lang w:val="en-US" w:eastAsia="zh-CN" w:bidi="ar-SA"/>
        </w:rPr>
        <w:t>2</w:t>
      </w:r>
      <w:r>
        <w:rPr>
          <w:rFonts w:hint="default" w:ascii="Times New Roman" w:hAnsi="Times New Roman" w:eastAsia="宋体" w:cs="Times New Roman"/>
          <w:color w:val="000000"/>
          <w:kern w:val="2"/>
          <w:sz w:val="24"/>
          <w:szCs w:val="28"/>
          <w:highlight w:val="none"/>
          <w:lang w:val="en-US" w:eastAsia="zh-CN" w:bidi="ar-SA"/>
        </w:rPr>
        <w:t>月</w:t>
      </w:r>
      <w:r>
        <w:rPr>
          <w:rFonts w:hint="eastAsia" w:ascii="Times New Roman" w:hAnsi="Times New Roman" w:eastAsia="宋体" w:cs="Times New Roman"/>
          <w:color w:val="000000"/>
          <w:kern w:val="2"/>
          <w:sz w:val="24"/>
          <w:szCs w:val="28"/>
          <w:highlight w:val="none"/>
          <w:lang w:val="en-US" w:eastAsia="zh-CN" w:bidi="ar-SA"/>
        </w:rPr>
        <w:t>1</w:t>
      </w:r>
      <w:r>
        <w:rPr>
          <w:rFonts w:hint="default" w:ascii="Times New Roman" w:hAnsi="Times New Roman" w:eastAsia="宋体" w:cs="Times New Roman"/>
          <w:color w:val="000000"/>
          <w:kern w:val="2"/>
          <w:sz w:val="24"/>
          <w:szCs w:val="28"/>
          <w:highlight w:val="none"/>
          <w:lang w:val="en-US" w:eastAsia="zh-CN" w:bidi="ar-SA"/>
        </w:rPr>
        <w:t>8日。</w:t>
      </w:r>
      <w:r>
        <w:rPr>
          <w:rFonts w:hint="default" w:ascii="Times New Roman" w:hAnsi="Times New Roman" w:eastAsia="宋体" w:cs="Times New Roman"/>
          <w:color w:val="000000"/>
          <w:kern w:val="2"/>
          <w:sz w:val="24"/>
          <w:szCs w:val="28"/>
          <w:lang w:val="en-US" w:eastAsia="zh-CN" w:bidi="ar-SA"/>
        </w:rPr>
        <w:t>监测期间，项目各生产设施开启运行，该项目年生产</w:t>
      </w:r>
      <w:r>
        <w:rPr>
          <w:rFonts w:hint="default" w:ascii="Times New Roman" w:hAnsi="Times New Roman" w:eastAsia="宋体" w:cs="Times New Roman"/>
          <w:color w:val="auto"/>
          <w:sz w:val="24"/>
          <w:szCs w:val="24"/>
          <w:lang w:val="en-US" w:eastAsia="zh-CN"/>
        </w:rPr>
        <w:t>45万平方米钢化玻璃、5万平方米夹层玻璃、10万平方米中空玻璃</w:t>
      </w:r>
      <w:r>
        <w:rPr>
          <w:rFonts w:hint="default" w:ascii="Times New Roman" w:hAnsi="Times New Roman" w:eastAsia="宋体" w:cs="Times New Roman"/>
          <w:color w:val="000000"/>
          <w:kern w:val="2"/>
          <w:sz w:val="24"/>
          <w:szCs w:val="28"/>
          <w:lang w:val="en-US" w:eastAsia="zh-CN" w:bidi="ar-SA"/>
        </w:rPr>
        <w:t>，本次验收范围为</w:t>
      </w:r>
      <w:r>
        <w:rPr>
          <w:rFonts w:hint="eastAsia" w:ascii="Times New Roman" w:hAnsi="Times New Roman" w:eastAsia="宋体" w:cs="Times New Roman"/>
          <w:color w:val="000000"/>
          <w:sz w:val="24"/>
          <w:szCs w:val="28"/>
          <w:lang w:eastAsia="zh-CN"/>
        </w:rPr>
        <w:t>山东省朗荣玻璃科技股份有限公司</w:t>
      </w:r>
      <w:r>
        <w:rPr>
          <w:rFonts w:hint="default" w:ascii="Times New Roman" w:hAnsi="Times New Roman" w:eastAsia="宋体" w:cs="Times New Roman"/>
          <w:color w:val="000000"/>
          <w:sz w:val="24"/>
          <w:szCs w:val="28"/>
          <w:lang w:eastAsia="zh-CN"/>
        </w:rPr>
        <w:t>钢化玻璃、夹层玻璃、中空玻璃生产项目</w:t>
      </w:r>
      <w:r>
        <w:rPr>
          <w:rFonts w:hint="default" w:ascii="Times New Roman" w:hAnsi="Times New Roman" w:eastAsia="宋体" w:cs="Times New Roman"/>
          <w:color w:val="000000"/>
          <w:sz w:val="24"/>
          <w:szCs w:val="28"/>
        </w:rPr>
        <w:t>建设</w:t>
      </w:r>
      <w:r>
        <w:rPr>
          <w:rFonts w:hint="default" w:ascii="Times New Roman" w:hAnsi="Times New Roman" w:eastAsia="宋体" w:cs="Times New Roman"/>
          <w:color w:val="000000"/>
          <w:sz w:val="24"/>
          <w:szCs w:val="28"/>
          <w:lang w:eastAsia="zh-CN"/>
        </w:rPr>
        <w:t>的</w:t>
      </w:r>
      <w:r>
        <w:rPr>
          <w:rFonts w:hint="default" w:ascii="Times New Roman" w:hAnsi="Times New Roman" w:eastAsia="宋体" w:cs="Times New Roman"/>
          <w:color w:val="000000"/>
          <w:sz w:val="24"/>
          <w:szCs w:val="28"/>
          <w:lang w:val="en-US" w:eastAsia="zh-CN"/>
        </w:rPr>
        <w:t>用于</w:t>
      </w:r>
      <w:r>
        <w:rPr>
          <w:rFonts w:hint="eastAsia" w:ascii="Times New Roman" w:hAnsi="Times New Roman" w:eastAsia="宋体" w:cs="Times New Roman"/>
          <w:color w:val="000000"/>
          <w:sz w:val="24"/>
          <w:szCs w:val="28"/>
          <w:lang w:val="en-US" w:eastAsia="zh-CN"/>
        </w:rPr>
        <w:t>钢化玻璃、夹胶玻璃、中空玻璃</w:t>
      </w:r>
      <w:r>
        <w:rPr>
          <w:rFonts w:hint="default" w:ascii="Times New Roman" w:hAnsi="Times New Roman" w:eastAsia="宋体" w:cs="Times New Roman"/>
          <w:color w:val="000000"/>
          <w:sz w:val="24"/>
          <w:szCs w:val="28"/>
          <w:lang w:val="en-US" w:eastAsia="zh-CN"/>
        </w:rPr>
        <w:t>的生产设备包括高速玻璃清洗机</w:t>
      </w:r>
      <w:r>
        <w:rPr>
          <w:rFonts w:hint="eastAsia" w:ascii="Times New Roman" w:hAnsi="Times New Roman" w:eastAsia="宋体" w:cs="Times New Roman"/>
          <w:color w:val="000000"/>
          <w:sz w:val="24"/>
          <w:szCs w:val="28"/>
          <w:lang w:val="en-US" w:eastAsia="zh-CN"/>
        </w:rPr>
        <w:t>、</w:t>
      </w:r>
      <w:r>
        <w:rPr>
          <w:rFonts w:hint="default" w:ascii="Times New Roman" w:hAnsi="Times New Roman" w:eastAsia="宋体" w:cs="Times New Roman"/>
          <w:color w:val="auto"/>
          <w:sz w:val="24"/>
          <w:szCs w:val="24"/>
          <w:lang w:val="en-US" w:eastAsia="zh-CN"/>
        </w:rPr>
        <w:t>空压机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上片机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下片机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磨边机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朝阳全自动玻璃水切机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钢化炉</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抛光机</w:t>
      </w:r>
      <w:r>
        <w:rPr>
          <w:rFonts w:hint="default" w:ascii="Times New Roman" w:hAnsi="Times New Roman" w:eastAsia="宋体" w:cs="Times New Roman"/>
          <w:color w:val="000000"/>
          <w:sz w:val="24"/>
          <w:szCs w:val="28"/>
          <w:lang w:val="en-US" w:eastAsia="zh-CN"/>
        </w:rPr>
        <w:t>以及与生产配套的供辅工程和环保设备</w:t>
      </w:r>
      <w:r>
        <w:rPr>
          <w:rFonts w:hint="default" w:ascii="Times New Roman" w:hAnsi="Times New Roman" w:eastAsia="宋体" w:cs="Times New Roman"/>
          <w:sz w:val="24"/>
          <w:szCs w:val="24"/>
        </w:rPr>
        <w:t>等。</w:t>
      </w:r>
      <w:r>
        <w:rPr>
          <w:rFonts w:hint="default" w:ascii="Times New Roman" w:hAnsi="Times New Roman" w:eastAsia="宋体" w:cs="Times New Roman"/>
          <w:color w:val="000000"/>
          <w:kern w:val="2"/>
          <w:sz w:val="24"/>
          <w:szCs w:val="28"/>
          <w:lang w:val="en-US" w:eastAsia="zh-CN" w:bidi="ar-SA"/>
        </w:rPr>
        <w:t>监测期间加工厂生产负荷</w:t>
      </w:r>
      <w:r>
        <w:rPr>
          <w:rFonts w:hint="default" w:ascii="Times New Roman" w:hAnsi="Times New Roman" w:eastAsia="宋体" w:cs="Times New Roman"/>
          <w:color w:val="000000"/>
          <w:sz w:val="24"/>
          <w:szCs w:val="28"/>
        </w:rPr>
        <w:t>达到设计生产负荷的90%</w:t>
      </w:r>
      <w:r>
        <w:rPr>
          <w:rFonts w:hint="eastAsia" w:ascii="Times New Roman" w:hAnsi="Times New Roman" w:eastAsia="宋体" w:cs="Times New Roman"/>
          <w:color w:val="000000"/>
          <w:sz w:val="24"/>
          <w:szCs w:val="28"/>
          <w:lang w:val="en-US" w:eastAsia="zh-CN"/>
        </w:rPr>
        <w:t>以上</w:t>
      </w:r>
      <w:r>
        <w:rPr>
          <w:rFonts w:hint="default" w:ascii="Times New Roman" w:hAnsi="Times New Roman" w:eastAsia="宋体" w:cs="Times New Roman"/>
          <w:color w:val="000000"/>
          <w:sz w:val="24"/>
          <w:szCs w:val="28"/>
        </w:rPr>
        <w:t>，工况稳定且环保设施运行正常，满足验收应在工况稳定、生产负荷达到设计生产能力的</w:t>
      </w:r>
      <w:r>
        <w:rPr>
          <w:rFonts w:hint="eastAsia" w:ascii="Times New Roman" w:hAnsi="Times New Roman" w:eastAsia="宋体" w:cs="Times New Roman"/>
          <w:color w:val="000000"/>
          <w:sz w:val="24"/>
          <w:szCs w:val="28"/>
          <w:lang w:val="en-US" w:eastAsia="zh-CN"/>
        </w:rPr>
        <w:t>75</w:t>
      </w:r>
      <w:r>
        <w:rPr>
          <w:rFonts w:hint="default" w:ascii="Times New Roman" w:hAnsi="Times New Roman" w:eastAsia="宋体" w:cs="Times New Roman"/>
          <w:color w:val="000000"/>
          <w:sz w:val="24"/>
          <w:szCs w:val="28"/>
        </w:rPr>
        <w:t>%以上的情况下进行的要求，监测数据具有代表性。</w:t>
      </w: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 9-1 生产工况</w:t>
      </w:r>
    </w:p>
    <w:tbl>
      <w:tblPr>
        <w:tblStyle w:val="3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77"/>
        <w:gridCol w:w="2176"/>
        <w:gridCol w:w="1777"/>
        <w:gridCol w:w="1778"/>
        <w:gridCol w:w="177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956"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产品种类</w:t>
            </w:r>
          </w:p>
        </w:tc>
        <w:tc>
          <w:tcPr>
            <w:tcW w:w="1171"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监测日期</w:t>
            </w:r>
          </w:p>
        </w:tc>
        <w:tc>
          <w:tcPr>
            <w:tcW w:w="956"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设计生产规模</w:t>
            </w:r>
          </w:p>
        </w:tc>
        <w:tc>
          <w:tcPr>
            <w:tcW w:w="957"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实际生产规模</w:t>
            </w:r>
          </w:p>
        </w:tc>
        <w:tc>
          <w:tcPr>
            <w:tcW w:w="957"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956" w:type="pct"/>
            <w:tcBorders>
              <w:bottom w:val="single" w:color="auto" w:sz="4" w:space="0"/>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钢化玻璃</w:t>
            </w:r>
          </w:p>
        </w:tc>
        <w:tc>
          <w:tcPr>
            <w:tcW w:w="1171" w:type="pct"/>
            <w:tcBorders>
              <w:bottom w:val="single" w:color="auto" w:sz="4" w:space="0"/>
            </w:tcBorders>
            <w:vAlign w:val="center"/>
          </w:tcPr>
          <w:p>
            <w:pPr>
              <w:spacing w:line="300" w:lineRule="exact"/>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2023.1</w:t>
            </w:r>
            <w:r>
              <w:rPr>
                <w:rFonts w:hint="eastAsia" w:ascii="Times New Roman" w:hAnsi="Times New Roman" w:eastAsia="宋体" w:cs="Times New Roman"/>
                <w:szCs w:val="21"/>
                <w:highlight w:val="none"/>
                <w:lang w:val="en-US" w:eastAsia="zh-CN"/>
              </w:rPr>
              <w:t>2</w:t>
            </w:r>
            <w:r>
              <w:rPr>
                <w:rFonts w:hint="default" w:ascii="Times New Roman" w:hAnsi="Times New Roman" w:eastAsia="宋体" w:cs="Times New Roman"/>
                <w:szCs w:val="21"/>
                <w:highlight w:val="none"/>
                <w:lang w:val="en-US" w:eastAsia="zh-CN"/>
              </w:rPr>
              <w:t>.</w:t>
            </w:r>
            <w:r>
              <w:rPr>
                <w:rFonts w:hint="eastAsia" w:ascii="Times New Roman" w:hAnsi="Times New Roman" w:eastAsia="宋体" w:cs="Times New Roman"/>
                <w:szCs w:val="21"/>
                <w:highlight w:val="none"/>
                <w:lang w:val="en-US" w:eastAsia="zh-CN"/>
              </w:rPr>
              <w:t>1</w:t>
            </w:r>
            <w:r>
              <w:rPr>
                <w:rFonts w:hint="default" w:ascii="Times New Roman" w:hAnsi="Times New Roman" w:eastAsia="宋体" w:cs="Times New Roman"/>
                <w:szCs w:val="21"/>
                <w:highlight w:val="none"/>
                <w:lang w:val="en-US" w:eastAsia="zh-CN"/>
              </w:rPr>
              <w:t>7-2023.1</w:t>
            </w:r>
            <w:r>
              <w:rPr>
                <w:rFonts w:hint="eastAsia" w:ascii="Times New Roman" w:hAnsi="Times New Roman" w:eastAsia="宋体" w:cs="Times New Roman"/>
                <w:szCs w:val="21"/>
                <w:highlight w:val="none"/>
                <w:lang w:val="en-US" w:eastAsia="zh-CN"/>
              </w:rPr>
              <w:t>2</w:t>
            </w:r>
            <w:r>
              <w:rPr>
                <w:rFonts w:hint="default" w:ascii="Times New Roman" w:hAnsi="Times New Roman" w:eastAsia="宋体" w:cs="Times New Roman"/>
                <w:szCs w:val="21"/>
                <w:highlight w:val="none"/>
                <w:lang w:val="en-US" w:eastAsia="zh-CN"/>
              </w:rPr>
              <w:t>.</w:t>
            </w:r>
            <w:r>
              <w:rPr>
                <w:rFonts w:hint="eastAsia" w:ascii="Times New Roman" w:hAnsi="Times New Roman" w:eastAsia="宋体" w:cs="Times New Roman"/>
                <w:szCs w:val="21"/>
                <w:highlight w:val="none"/>
                <w:lang w:val="en-US" w:eastAsia="zh-CN"/>
              </w:rPr>
              <w:t>1</w:t>
            </w:r>
            <w:r>
              <w:rPr>
                <w:rFonts w:hint="default" w:ascii="Times New Roman" w:hAnsi="Times New Roman" w:eastAsia="宋体" w:cs="Times New Roman"/>
                <w:szCs w:val="21"/>
                <w:highlight w:val="none"/>
                <w:lang w:val="en-US" w:eastAsia="zh-CN"/>
              </w:rPr>
              <w:t>8</w:t>
            </w:r>
          </w:p>
        </w:tc>
        <w:tc>
          <w:tcPr>
            <w:tcW w:w="956" w:type="pct"/>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45万m</w:t>
            </w:r>
            <w:r>
              <w:rPr>
                <w:rFonts w:hint="eastAsia" w:ascii="Times New Roman" w:hAnsi="Times New Roman" w:eastAsia="宋体" w:cs="Times New Roman"/>
                <w:color w:val="000000"/>
                <w:szCs w:val="21"/>
                <w:vertAlign w:val="superscript"/>
                <w:lang w:val="en-US" w:eastAsia="zh-CN"/>
              </w:rPr>
              <w:t>2</w:t>
            </w:r>
            <w:r>
              <w:rPr>
                <w:rFonts w:hint="default" w:ascii="Times New Roman" w:hAnsi="Times New Roman" w:eastAsia="宋体" w:cs="Times New Roman"/>
                <w:color w:val="000000"/>
                <w:szCs w:val="21"/>
              </w:rPr>
              <w:t>/a</w:t>
            </w:r>
          </w:p>
        </w:tc>
        <w:tc>
          <w:tcPr>
            <w:tcW w:w="957"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lang w:val="en-US" w:eastAsia="zh-CN"/>
              </w:rPr>
              <w:t>45万m</w:t>
            </w:r>
            <w:r>
              <w:rPr>
                <w:rFonts w:hint="eastAsia" w:ascii="Times New Roman" w:hAnsi="Times New Roman" w:eastAsia="宋体" w:cs="Times New Roman"/>
                <w:color w:val="000000"/>
                <w:szCs w:val="21"/>
                <w:vertAlign w:val="superscript"/>
                <w:lang w:val="en-US" w:eastAsia="zh-CN"/>
              </w:rPr>
              <w:t>2</w:t>
            </w:r>
            <w:r>
              <w:rPr>
                <w:rFonts w:hint="default" w:ascii="Times New Roman" w:hAnsi="Times New Roman" w:eastAsia="宋体" w:cs="Times New Roman"/>
                <w:color w:val="000000"/>
                <w:szCs w:val="21"/>
              </w:rPr>
              <w:t>/a</w:t>
            </w:r>
          </w:p>
        </w:tc>
        <w:tc>
          <w:tcPr>
            <w:tcW w:w="957" w:type="pct"/>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100</w:t>
            </w:r>
            <w:r>
              <w:rPr>
                <w:rFonts w:hint="default" w:ascii="Times New Roman" w:hAnsi="Times New Roman" w:eastAsia="宋体" w:cs="Times New Roman"/>
                <w:color w:val="000000"/>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956" w:type="pct"/>
            <w:tcBorders>
              <w:top w:val="single" w:color="auto" w:sz="4" w:space="0"/>
              <w:bottom w:val="single" w:color="auto" w:sz="4" w:space="0"/>
            </w:tcBorders>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夹层玻璃</w:t>
            </w:r>
          </w:p>
        </w:tc>
        <w:tc>
          <w:tcPr>
            <w:tcW w:w="1171" w:type="pct"/>
            <w:tcBorders>
              <w:top w:val="single" w:color="auto" w:sz="4" w:space="0"/>
              <w:bottom w:val="single" w:color="auto" w:sz="4" w:space="0"/>
            </w:tcBorders>
            <w:vAlign w:val="center"/>
          </w:tcPr>
          <w:p>
            <w:pPr>
              <w:spacing w:line="30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2023.12.17-2023.12.18</w:t>
            </w:r>
          </w:p>
        </w:tc>
        <w:tc>
          <w:tcPr>
            <w:tcW w:w="956"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lang w:val="en-US" w:eastAsia="zh-CN"/>
              </w:rPr>
              <w:t>5万m</w:t>
            </w:r>
            <w:r>
              <w:rPr>
                <w:rFonts w:hint="eastAsia" w:ascii="Times New Roman" w:hAnsi="Times New Roman" w:eastAsia="宋体" w:cs="Times New Roman"/>
                <w:color w:val="000000"/>
                <w:szCs w:val="21"/>
                <w:vertAlign w:val="superscript"/>
                <w:lang w:val="en-US" w:eastAsia="zh-CN"/>
              </w:rPr>
              <w:t>2</w:t>
            </w:r>
            <w:r>
              <w:rPr>
                <w:rFonts w:hint="default" w:ascii="Times New Roman" w:hAnsi="Times New Roman" w:eastAsia="宋体" w:cs="Times New Roman"/>
                <w:color w:val="000000"/>
                <w:szCs w:val="21"/>
              </w:rPr>
              <w:t>/a</w:t>
            </w:r>
          </w:p>
        </w:tc>
        <w:tc>
          <w:tcPr>
            <w:tcW w:w="957"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lang w:val="en-US" w:eastAsia="zh-CN"/>
              </w:rPr>
              <w:t>5万m</w:t>
            </w:r>
            <w:r>
              <w:rPr>
                <w:rFonts w:hint="eastAsia" w:ascii="Times New Roman" w:hAnsi="Times New Roman" w:eastAsia="宋体" w:cs="Times New Roman"/>
                <w:color w:val="000000"/>
                <w:szCs w:val="21"/>
                <w:vertAlign w:val="superscript"/>
                <w:lang w:val="en-US" w:eastAsia="zh-CN"/>
              </w:rPr>
              <w:t>2</w:t>
            </w:r>
            <w:r>
              <w:rPr>
                <w:rFonts w:hint="default" w:ascii="Times New Roman" w:hAnsi="Times New Roman" w:eastAsia="宋体" w:cs="Times New Roman"/>
                <w:color w:val="000000"/>
                <w:szCs w:val="21"/>
              </w:rPr>
              <w:t>/a</w:t>
            </w:r>
          </w:p>
        </w:tc>
        <w:tc>
          <w:tcPr>
            <w:tcW w:w="957" w:type="pct"/>
            <w:vAlign w:val="center"/>
          </w:tcPr>
          <w:p>
            <w:pPr>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100</w:t>
            </w:r>
            <w:r>
              <w:rPr>
                <w:rFonts w:hint="default" w:ascii="Times New Roman" w:hAnsi="Times New Roman" w:eastAsia="宋体" w:cs="Times New Roman"/>
                <w:color w:val="000000"/>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956" w:type="pct"/>
            <w:tcBorders>
              <w:top w:val="single" w:color="auto" w:sz="4" w:space="0"/>
            </w:tcBorders>
            <w:vAlign w:val="center"/>
          </w:tcPr>
          <w:p>
            <w:pPr>
              <w:adjustRightInd w:val="0"/>
              <w:snapToGrid w:val="0"/>
              <w:jc w:val="center"/>
              <w:rPr>
                <w:rFonts w:hint="default" w:ascii="Times New Roman" w:hAnsi="Times New Roman" w:eastAsia="宋体" w:cs="Times New Roman"/>
                <w:szCs w:val="21"/>
                <w:lang w:val="en-US" w:eastAsia="zh-CN"/>
              </w:rPr>
            </w:pPr>
            <w:bookmarkStart w:id="78" w:name="_Toc8087"/>
            <w:r>
              <w:rPr>
                <w:rFonts w:hint="default" w:ascii="Times New Roman" w:hAnsi="Times New Roman" w:eastAsia="宋体" w:cs="Times New Roman"/>
                <w:szCs w:val="21"/>
                <w:lang w:val="en-US" w:eastAsia="zh-CN"/>
              </w:rPr>
              <w:t>中空玻璃</w:t>
            </w:r>
          </w:p>
        </w:tc>
        <w:tc>
          <w:tcPr>
            <w:tcW w:w="1171" w:type="pct"/>
            <w:tcBorders>
              <w:top w:val="single" w:color="auto" w:sz="4" w:space="0"/>
            </w:tcBorders>
            <w:vAlign w:val="center"/>
          </w:tcPr>
          <w:p>
            <w:pPr>
              <w:spacing w:line="30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2023.12.17-2023.12.18</w:t>
            </w:r>
          </w:p>
        </w:tc>
        <w:tc>
          <w:tcPr>
            <w:tcW w:w="956"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lang w:val="en-US" w:eastAsia="zh-CN"/>
              </w:rPr>
              <w:t>10万m</w:t>
            </w:r>
            <w:r>
              <w:rPr>
                <w:rFonts w:hint="eastAsia" w:ascii="Times New Roman" w:hAnsi="Times New Roman" w:eastAsia="宋体" w:cs="Times New Roman"/>
                <w:color w:val="000000"/>
                <w:szCs w:val="21"/>
                <w:vertAlign w:val="superscript"/>
                <w:lang w:val="en-US" w:eastAsia="zh-CN"/>
              </w:rPr>
              <w:t>2</w:t>
            </w:r>
            <w:r>
              <w:rPr>
                <w:rFonts w:hint="default" w:ascii="Times New Roman" w:hAnsi="Times New Roman" w:eastAsia="宋体" w:cs="Times New Roman"/>
                <w:color w:val="000000"/>
                <w:szCs w:val="21"/>
              </w:rPr>
              <w:t>/a</w:t>
            </w:r>
          </w:p>
        </w:tc>
        <w:tc>
          <w:tcPr>
            <w:tcW w:w="957"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lang w:val="en-US" w:eastAsia="zh-CN"/>
              </w:rPr>
              <w:t>10万m</w:t>
            </w:r>
            <w:r>
              <w:rPr>
                <w:rFonts w:hint="eastAsia" w:ascii="Times New Roman" w:hAnsi="Times New Roman" w:eastAsia="宋体" w:cs="Times New Roman"/>
                <w:color w:val="000000"/>
                <w:szCs w:val="21"/>
                <w:vertAlign w:val="superscript"/>
                <w:lang w:val="en-US" w:eastAsia="zh-CN"/>
              </w:rPr>
              <w:t>2</w:t>
            </w:r>
            <w:r>
              <w:rPr>
                <w:rFonts w:hint="default" w:ascii="Times New Roman" w:hAnsi="Times New Roman" w:eastAsia="宋体" w:cs="Times New Roman"/>
                <w:color w:val="000000"/>
                <w:szCs w:val="21"/>
              </w:rPr>
              <w:t>/a</w:t>
            </w:r>
          </w:p>
        </w:tc>
        <w:tc>
          <w:tcPr>
            <w:tcW w:w="957" w:type="pct"/>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100</w:t>
            </w:r>
            <w:r>
              <w:rPr>
                <w:rFonts w:hint="default" w:ascii="Times New Roman" w:hAnsi="Times New Roman" w:eastAsia="宋体" w:cs="Times New Roman"/>
                <w:color w:val="000000"/>
                <w:szCs w:val="21"/>
              </w:rPr>
              <w:t>%</w:t>
            </w:r>
          </w:p>
        </w:tc>
      </w:tr>
    </w:tbl>
    <w:p>
      <w:pPr>
        <w:pStyle w:val="51"/>
        <w:spacing w:line="360" w:lineRule="auto"/>
        <w:ind w:firstLine="0" w:firstLineChars="0"/>
        <w:jc w:val="left"/>
        <w:outlineLvl w:val="1"/>
        <w:rPr>
          <w:rFonts w:hint="default" w:ascii="Times New Roman" w:hAnsi="Times New Roman" w:eastAsia="宋体" w:cs="Times New Roman"/>
          <w:b/>
          <w:sz w:val="28"/>
          <w:szCs w:val="32"/>
        </w:rPr>
        <w:sectPr>
          <w:pgSz w:w="11906" w:h="16838"/>
          <w:pgMar w:top="1440" w:right="1418" w:bottom="1440" w:left="1418" w:header="851" w:footer="992" w:gutter="0"/>
          <w:pgNumType w:fmt="decimal"/>
          <w:cols w:space="720" w:num="1"/>
          <w:docGrid w:linePitch="381" w:charSpace="0"/>
        </w:sectPr>
      </w:pPr>
    </w:p>
    <w:bookmarkEnd w:id="78"/>
    <w:p>
      <w:pPr>
        <w:pStyle w:val="51"/>
        <w:spacing w:line="360" w:lineRule="auto"/>
        <w:ind w:firstLine="0" w:firstLineChars="0"/>
        <w:jc w:val="left"/>
        <w:rPr>
          <w:rFonts w:hint="default" w:ascii="Times New Roman" w:hAnsi="Times New Roman" w:eastAsia="宋体" w:cs="Times New Roman"/>
          <w:b/>
          <w:sz w:val="28"/>
          <w:szCs w:val="32"/>
        </w:rPr>
      </w:pPr>
      <w:r>
        <w:rPr>
          <w:rFonts w:hint="default" w:ascii="Times New Roman" w:hAnsi="Times New Roman" w:eastAsia="宋体" w:cs="Times New Roman"/>
          <w:b/>
          <w:sz w:val="28"/>
          <w:szCs w:val="32"/>
        </w:rPr>
        <w:t>9.2环保设施调试运行效果</w:t>
      </w:r>
    </w:p>
    <w:p>
      <w:pPr>
        <w:pStyle w:val="51"/>
        <w:spacing w:line="360" w:lineRule="auto"/>
        <w:ind w:firstLine="0" w:firstLineChars="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9.2.1污染物达标排放监测结</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9.2.1废气</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1、有组织排放</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有组织废气监测结果见表。</w:t>
      </w:r>
    </w:p>
    <w:p>
      <w:pPr>
        <w:pStyle w:val="9"/>
        <w:spacing w:after="0" w:line="240" w:lineRule="auto"/>
        <w:ind w:left="0"/>
        <w:jc w:val="center"/>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表9-</w:t>
      </w:r>
      <w:r>
        <w:rPr>
          <w:rFonts w:hint="eastAsia" w:cs="Times New Roman"/>
          <w:b/>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 xml:space="preserve"> 有组织废气</w:t>
      </w:r>
      <w:r>
        <w:rPr>
          <w:rFonts w:hint="eastAsia" w:cs="Times New Roman"/>
          <w:b/>
          <w:bCs w:val="0"/>
          <w:color w:val="000000" w:themeColor="text1"/>
          <w:sz w:val="24"/>
          <w:szCs w:val="24"/>
          <w:highlight w:val="none"/>
          <w:lang w:val="en-US" w:eastAsia="zh-CN"/>
          <w14:textFill>
            <w14:solidFill>
              <w14:schemeClr w14:val="tx1"/>
            </w14:solidFill>
          </w14:textFill>
        </w:rPr>
        <w:t>排气筒DA001</w:t>
      </w: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监测结果汇总</w:t>
      </w:r>
    </w:p>
    <w:tbl>
      <w:tblPr>
        <w:tblStyle w:val="29"/>
        <w:tblW w:w="4999" w:type="pct"/>
        <w:jc w:val="center"/>
        <w:tblLayout w:type="fixed"/>
        <w:tblCellMar>
          <w:top w:w="15" w:type="dxa"/>
          <w:left w:w="15" w:type="dxa"/>
          <w:bottom w:w="15" w:type="dxa"/>
          <w:right w:w="15" w:type="dxa"/>
        </w:tblCellMar>
      </w:tblPr>
      <w:tblGrid>
        <w:gridCol w:w="1665"/>
        <w:gridCol w:w="1026"/>
        <w:gridCol w:w="1154"/>
        <w:gridCol w:w="1234"/>
        <w:gridCol w:w="1298"/>
        <w:gridCol w:w="1234"/>
        <w:gridCol w:w="1296"/>
      </w:tblGrid>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highlight w:val="none"/>
              </w:rPr>
            </w:pPr>
            <w:r>
              <w:rPr>
                <w:rFonts w:ascii="Times New Roman" w:hAnsi="Times New Roman" w:eastAsia="宋体" w:cs="Times New Roman"/>
                <w:szCs w:val="21"/>
                <w:highlight w:val="none"/>
              </w:rPr>
              <w:t>采样日期</w:t>
            </w:r>
          </w:p>
        </w:tc>
        <w:tc>
          <w:tcPr>
            <w:tcW w:w="4065" w:type="pct"/>
            <w:gridSpan w:val="6"/>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hint="default" w:ascii="Times New Roman" w:hAnsi="Times New Roman" w:eastAsia="宋体" w:cs="Times New Roman"/>
                <w:szCs w:val="21"/>
                <w:highlight w:val="none"/>
                <w:lang w:val="en-US" w:eastAsia="zh-CN"/>
              </w:rPr>
            </w:pPr>
            <w:r>
              <w:rPr>
                <w:rFonts w:ascii="Times New Roman" w:hAnsi="Times New Roman" w:eastAsia="宋体" w:cs="Times New Roman"/>
                <w:szCs w:val="21"/>
                <w:highlight w:val="none"/>
              </w:rPr>
              <w:t>2023.</w:t>
            </w:r>
            <w:r>
              <w:rPr>
                <w:rFonts w:hint="eastAsia" w:ascii="Times New Roman" w:hAnsi="Times New Roman" w:eastAsia="宋体" w:cs="Times New Roman"/>
                <w:szCs w:val="21"/>
                <w:highlight w:val="none"/>
                <w:lang w:val="en-US" w:eastAsia="zh-CN"/>
              </w:rPr>
              <w:t>12</w:t>
            </w:r>
            <w:r>
              <w:rPr>
                <w:rFonts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17</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检测项目</w:t>
            </w:r>
          </w:p>
        </w:tc>
        <w:tc>
          <w:tcPr>
            <w:tcW w:w="4065" w:type="pct"/>
            <w:gridSpan w:val="6"/>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szCs w:val="21"/>
              </w:rPr>
            </w:pPr>
            <w:r>
              <w:rPr>
                <w:rFonts w:ascii="Times New Roman" w:hAnsi="Times New Roman" w:eastAsia="宋体" w:cs="Times New Roman"/>
                <w:szCs w:val="21"/>
              </w:rPr>
              <w:t>VOCs(以非甲烷总烃计）</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szCs w:val="21"/>
              </w:rPr>
            </w:pPr>
            <w:r>
              <w:rPr>
                <w:rFonts w:hint="eastAsia" w:ascii="Times New Roman" w:hAnsi="Times New Roman" w:eastAsia="宋体" w:cs="Times New Roman"/>
                <w:szCs w:val="21"/>
                <w:lang w:eastAsia="zh-CN"/>
              </w:rPr>
              <w:t>监测点位</w:t>
            </w:r>
          </w:p>
        </w:tc>
        <w:tc>
          <w:tcPr>
            <w:tcW w:w="1916"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DA00</w:t>
            </w:r>
            <w:r>
              <w:rPr>
                <w:rFonts w:ascii="Times New Roman" w:hAnsi="Times New Roman" w:eastAsia="宋体" w:cs="Times New Roman"/>
                <w:szCs w:val="21"/>
              </w:rPr>
              <w:t>1排气筒进口</w:t>
            </w:r>
          </w:p>
        </w:tc>
        <w:tc>
          <w:tcPr>
            <w:tcW w:w="2148"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DA00</w:t>
            </w:r>
            <w:r>
              <w:rPr>
                <w:rFonts w:ascii="Times New Roman" w:hAnsi="Times New Roman" w:eastAsia="宋体" w:cs="Times New Roman"/>
                <w:szCs w:val="21"/>
              </w:rPr>
              <w:t>1排气筒出口</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szCs w:val="21"/>
              </w:rPr>
            </w:pPr>
            <w:r>
              <w:rPr>
                <w:rFonts w:ascii="Times New Roman" w:hAnsi="Times New Roman" w:eastAsia="宋体" w:cs="Times New Roman"/>
                <w:szCs w:val="21"/>
              </w:rPr>
              <w:t>排气筒高度/内径（m）</w:t>
            </w:r>
          </w:p>
        </w:tc>
        <w:tc>
          <w:tcPr>
            <w:tcW w:w="1916"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color w:val="000000"/>
                <w:kern w:val="0"/>
                <w:szCs w:val="21"/>
                <w:lang w:bidi="ar"/>
              </w:rPr>
            </w:pPr>
            <w:r>
              <w:rPr>
                <w:rFonts w:ascii="Times New Roman" w:hAnsi="Times New Roman" w:eastAsia="宋体" w:cs="Times New Roman"/>
                <w:szCs w:val="21"/>
              </w:rPr>
              <w:t>/</w:t>
            </w:r>
          </w:p>
        </w:tc>
        <w:tc>
          <w:tcPr>
            <w:tcW w:w="2148"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hint="default" w:ascii="Times New Roman" w:hAnsi="Times New Roman" w:eastAsia="宋体" w:cs="Times New Roman"/>
                <w:color w:val="000000"/>
                <w:kern w:val="0"/>
                <w:szCs w:val="21"/>
                <w:lang w:val="en-US" w:eastAsia="zh-CN" w:bidi="ar"/>
              </w:rPr>
            </w:pPr>
            <w:r>
              <w:rPr>
                <w:rFonts w:ascii="Times New Roman" w:hAnsi="Times New Roman" w:eastAsia="宋体" w:cs="Times New Roman"/>
                <w:color w:val="000000"/>
                <w:kern w:val="0"/>
                <w:szCs w:val="21"/>
                <w:lang w:bidi="ar"/>
              </w:rPr>
              <w:t>15/</w:t>
            </w:r>
            <w:r>
              <w:rPr>
                <w:rFonts w:hint="eastAsia" w:ascii="Times New Roman" w:hAnsi="Times New Roman" w:eastAsia="宋体" w:cs="Times New Roman"/>
                <w:color w:val="000000"/>
                <w:kern w:val="0"/>
                <w:szCs w:val="21"/>
                <w:lang w:val="en-US" w:eastAsia="zh-CN" w:bidi="ar"/>
              </w:rPr>
              <w:t>0.4</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采样频次</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64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69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728"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692"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72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szCs w:val="21"/>
              </w:rPr>
            </w:pPr>
            <w:r>
              <w:rPr>
                <w:rFonts w:ascii="Times New Roman" w:hAnsi="Times New Roman" w:eastAsia="宋体" w:cs="Times New Roman"/>
                <w:szCs w:val="21"/>
              </w:rPr>
              <w:t>样品编号</w:t>
            </w:r>
          </w:p>
        </w:tc>
        <w:tc>
          <w:tcPr>
            <w:tcW w:w="57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-100</w:t>
            </w:r>
            <w:r>
              <w:rPr>
                <w:rFonts w:hint="eastAsia" w:ascii="Times New Roman" w:hAnsi="Times New Roman" w:eastAsia="宋体" w:cs="Times New Roman"/>
                <w:szCs w:val="21"/>
                <w:lang w:val="en-US" w:eastAsia="zh-CN"/>
              </w:rPr>
              <w:t>1</w:t>
            </w:r>
          </w:p>
        </w:tc>
        <w:tc>
          <w:tcPr>
            <w:tcW w:w="64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-100</w:t>
            </w:r>
            <w:r>
              <w:rPr>
                <w:rFonts w:hint="eastAsia" w:ascii="Times New Roman" w:hAnsi="Times New Roman" w:eastAsia="宋体" w:cs="Times New Roman"/>
                <w:szCs w:val="21"/>
                <w:lang w:val="en-US" w:eastAsia="zh-CN"/>
              </w:rPr>
              <w:t>2</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-100</w:t>
            </w:r>
            <w:r>
              <w:rPr>
                <w:rFonts w:hint="eastAsia" w:ascii="Times New Roman" w:hAnsi="Times New Roman" w:eastAsia="宋体" w:cs="Times New Roman"/>
                <w:szCs w:val="21"/>
                <w:lang w:val="en-US" w:eastAsia="zh-CN"/>
              </w:rPr>
              <w:t>3</w:t>
            </w:r>
          </w:p>
        </w:tc>
        <w:tc>
          <w:tcPr>
            <w:tcW w:w="72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-100</w:t>
            </w:r>
            <w:r>
              <w:rPr>
                <w:rFonts w:hint="eastAsia" w:ascii="Times New Roman" w:hAnsi="Times New Roman" w:eastAsia="宋体" w:cs="Times New Roman"/>
                <w:szCs w:val="21"/>
                <w:lang w:val="en-US" w:eastAsia="zh-CN"/>
              </w:rPr>
              <w:t>4</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-100</w:t>
            </w:r>
            <w:r>
              <w:rPr>
                <w:rFonts w:hint="eastAsia" w:ascii="Times New Roman" w:hAnsi="Times New Roman" w:eastAsia="宋体" w:cs="Times New Roman"/>
                <w:szCs w:val="21"/>
                <w:lang w:val="en-US" w:eastAsia="zh-CN"/>
              </w:rPr>
              <w:t>5</w:t>
            </w:r>
          </w:p>
        </w:tc>
        <w:tc>
          <w:tcPr>
            <w:tcW w:w="72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-100</w:t>
            </w:r>
            <w:r>
              <w:rPr>
                <w:rFonts w:hint="eastAsia" w:ascii="Times New Roman" w:hAnsi="Times New Roman" w:eastAsia="宋体" w:cs="Times New Roman"/>
                <w:szCs w:val="21"/>
                <w:lang w:val="en-US" w:eastAsia="zh-CN"/>
              </w:rPr>
              <w:t>6</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szCs w:val="21"/>
              </w:rPr>
            </w:pPr>
            <w:r>
              <w:rPr>
                <w:rFonts w:ascii="Times New Roman" w:hAnsi="Times New Roman" w:eastAsia="宋体" w:cs="Times New Roman"/>
                <w:szCs w:val="21"/>
              </w:rPr>
              <w:t>检测结果（</w:t>
            </w:r>
            <w:r>
              <w:rPr>
                <w:rFonts w:ascii="Times New Roman" w:hAnsi="Times New Roman" w:eastAsia="宋体" w:cs="Times New Roman"/>
                <w:color w:val="000000"/>
                <w:szCs w:val="21"/>
              </w:rPr>
              <w:t>mg/m</w:t>
            </w:r>
            <w:r>
              <w:rPr>
                <w:rFonts w:ascii="Times New Roman" w:hAnsi="Times New Roman" w:eastAsia="宋体" w:cs="Times New Roman"/>
                <w:color w:val="000000"/>
                <w:szCs w:val="21"/>
                <w:vertAlign w:val="superscript"/>
              </w:rPr>
              <w:t>3</w:t>
            </w:r>
            <w:r>
              <w:rPr>
                <w:rFonts w:ascii="Times New Roman" w:hAnsi="Times New Roman" w:eastAsia="宋体" w:cs="Times New Roman"/>
                <w:szCs w:val="21"/>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32.2</w:t>
            </w:r>
          </w:p>
        </w:tc>
        <w:tc>
          <w:tcPr>
            <w:tcW w:w="64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30.3</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24.4</w:t>
            </w:r>
          </w:p>
        </w:tc>
        <w:tc>
          <w:tcPr>
            <w:tcW w:w="72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3.48</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3.44</w:t>
            </w:r>
          </w:p>
        </w:tc>
        <w:tc>
          <w:tcPr>
            <w:tcW w:w="72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3.32</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ascii="Times New Roman" w:hAnsi="Times New Roman" w:eastAsia="宋体" w:cs="Times New Roman"/>
                <w:szCs w:val="21"/>
              </w:rPr>
            </w:pPr>
            <w:r>
              <w:rPr>
                <w:rFonts w:ascii="Times New Roman" w:hAnsi="Times New Roman" w:eastAsia="宋体" w:cs="Times New Roman"/>
                <w:szCs w:val="21"/>
              </w:rPr>
              <w:t>标干流量（Nm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575"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6137</w:t>
            </w:r>
          </w:p>
        </w:tc>
        <w:tc>
          <w:tcPr>
            <w:tcW w:w="647"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6120</w:t>
            </w:r>
          </w:p>
        </w:tc>
        <w:tc>
          <w:tcPr>
            <w:tcW w:w="692"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6068</w:t>
            </w:r>
          </w:p>
        </w:tc>
        <w:tc>
          <w:tcPr>
            <w:tcW w:w="728"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7234</w:t>
            </w:r>
          </w:p>
        </w:tc>
        <w:tc>
          <w:tcPr>
            <w:tcW w:w="692"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7130</w:t>
            </w:r>
          </w:p>
        </w:tc>
        <w:tc>
          <w:tcPr>
            <w:tcW w:w="727"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7087</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ascii="Times New Roman" w:hAnsi="Times New Roman" w:eastAsia="宋体" w:cs="Times New Roman"/>
                <w:color w:val="000000"/>
                <w:szCs w:val="21"/>
              </w:rPr>
            </w:pPr>
            <w:r>
              <w:rPr>
                <w:rFonts w:ascii="Times New Roman" w:hAnsi="Times New Roman" w:eastAsia="宋体" w:cs="Times New Roman"/>
                <w:szCs w:val="21"/>
              </w:rPr>
              <w:t>排放速率（kg/h）</w:t>
            </w:r>
          </w:p>
        </w:tc>
        <w:tc>
          <w:tcPr>
            <w:tcW w:w="57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0.20</w:t>
            </w:r>
          </w:p>
        </w:tc>
        <w:tc>
          <w:tcPr>
            <w:tcW w:w="64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0.19</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0.15</w:t>
            </w:r>
          </w:p>
        </w:tc>
        <w:tc>
          <w:tcPr>
            <w:tcW w:w="72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0.025</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0.025</w:t>
            </w:r>
          </w:p>
        </w:tc>
        <w:tc>
          <w:tcPr>
            <w:tcW w:w="72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0.024</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采样日期</w:t>
            </w:r>
          </w:p>
        </w:tc>
        <w:tc>
          <w:tcPr>
            <w:tcW w:w="4065" w:type="pct"/>
            <w:gridSpan w:val="6"/>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szCs w:val="21"/>
                <w:highlight w:val="none"/>
              </w:rPr>
              <w:t>2023.</w:t>
            </w:r>
            <w:r>
              <w:rPr>
                <w:rFonts w:hint="eastAsia" w:ascii="Times New Roman" w:hAnsi="Times New Roman" w:eastAsia="宋体" w:cs="Times New Roman"/>
                <w:szCs w:val="21"/>
                <w:highlight w:val="none"/>
                <w:lang w:val="en-US" w:eastAsia="zh-CN"/>
              </w:rPr>
              <w:t>12</w:t>
            </w:r>
            <w:r>
              <w:rPr>
                <w:rFonts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18</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检测项目</w:t>
            </w:r>
          </w:p>
        </w:tc>
        <w:tc>
          <w:tcPr>
            <w:tcW w:w="4065" w:type="pct"/>
            <w:gridSpan w:val="6"/>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VOCs(以非甲烷总烃计）</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检测点位</w:t>
            </w:r>
          </w:p>
        </w:tc>
        <w:tc>
          <w:tcPr>
            <w:tcW w:w="1916"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DA00</w:t>
            </w:r>
            <w:r>
              <w:rPr>
                <w:rFonts w:ascii="Times New Roman" w:hAnsi="Times New Roman" w:eastAsia="宋体" w:cs="Times New Roman"/>
                <w:szCs w:val="21"/>
              </w:rPr>
              <w:t>1排气筒进口</w:t>
            </w:r>
          </w:p>
        </w:tc>
        <w:tc>
          <w:tcPr>
            <w:tcW w:w="2148"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DA00</w:t>
            </w:r>
            <w:r>
              <w:rPr>
                <w:rFonts w:ascii="Times New Roman" w:hAnsi="Times New Roman" w:eastAsia="宋体" w:cs="Times New Roman"/>
                <w:szCs w:val="21"/>
              </w:rPr>
              <w:t>1排气筒出口</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排气筒高度/内径（m）</w:t>
            </w:r>
          </w:p>
        </w:tc>
        <w:tc>
          <w:tcPr>
            <w:tcW w:w="1916"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hint="eastAsia" w:ascii="Times New Roman" w:hAnsi="Times New Roman" w:eastAsia="宋体" w:cs="Times New Roman"/>
                <w:color w:val="000000"/>
                <w:kern w:val="0"/>
                <w:sz w:val="21"/>
                <w:szCs w:val="21"/>
                <w:lang w:val="en-US" w:eastAsia="zh-CN" w:bidi="ar"/>
              </w:rPr>
            </w:pPr>
            <w:r>
              <w:rPr>
                <w:rFonts w:ascii="Times New Roman" w:hAnsi="Times New Roman" w:eastAsia="宋体" w:cs="Times New Roman"/>
                <w:color w:val="000000"/>
                <w:kern w:val="0"/>
                <w:szCs w:val="21"/>
                <w:lang w:bidi="ar"/>
              </w:rPr>
              <w:t>/</w:t>
            </w:r>
          </w:p>
        </w:tc>
        <w:tc>
          <w:tcPr>
            <w:tcW w:w="2148" w:type="pct"/>
            <w:gridSpan w:val="3"/>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hint="default" w:ascii="Times New Roman" w:hAnsi="Times New Roman" w:eastAsia="宋体" w:cs="Times New Roman"/>
                <w:color w:val="000000"/>
                <w:kern w:val="0"/>
                <w:sz w:val="21"/>
                <w:szCs w:val="21"/>
                <w:lang w:val="en-US" w:eastAsia="zh-CN" w:bidi="ar"/>
              </w:rPr>
            </w:pPr>
            <w:r>
              <w:rPr>
                <w:rFonts w:ascii="Times New Roman" w:hAnsi="Times New Roman" w:eastAsia="宋体" w:cs="Times New Roman"/>
                <w:color w:val="000000"/>
                <w:kern w:val="0"/>
                <w:szCs w:val="21"/>
                <w:lang w:bidi="ar"/>
              </w:rPr>
              <w:t>15/</w:t>
            </w:r>
            <w:r>
              <w:rPr>
                <w:rFonts w:hint="eastAsia" w:ascii="Times New Roman" w:hAnsi="Times New Roman" w:eastAsia="宋体" w:cs="Times New Roman"/>
                <w:color w:val="000000"/>
                <w:kern w:val="0"/>
                <w:szCs w:val="21"/>
                <w:lang w:val="en-US" w:eastAsia="zh-CN" w:bidi="ar"/>
              </w:rPr>
              <w:t>0.4</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采样频次</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第一次</w:t>
            </w:r>
          </w:p>
        </w:tc>
        <w:tc>
          <w:tcPr>
            <w:tcW w:w="64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第二次</w:t>
            </w:r>
          </w:p>
        </w:tc>
        <w:tc>
          <w:tcPr>
            <w:tcW w:w="6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第三次</w:t>
            </w:r>
          </w:p>
        </w:tc>
        <w:tc>
          <w:tcPr>
            <w:tcW w:w="72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第一次</w:t>
            </w:r>
          </w:p>
        </w:tc>
        <w:tc>
          <w:tcPr>
            <w:tcW w:w="6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第二次</w:t>
            </w:r>
          </w:p>
        </w:tc>
        <w:tc>
          <w:tcPr>
            <w:tcW w:w="727"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第三次</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样品编号</w:t>
            </w:r>
          </w:p>
        </w:tc>
        <w:tc>
          <w:tcPr>
            <w:tcW w:w="575"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00</w:t>
            </w:r>
            <w:r>
              <w:rPr>
                <w:rFonts w:hint="eastAsia" w:ascii="Times New Roman" w:hAnsi="Times New Roman" w:eastAsia="宋体" w:cs="Times New Roman"/>
                <w:szCs w:val="21"/>
                <w:lang w:val="en-US" w:eastAsia="zh-CN"/>
              </w:rPr>
              <w:t>1</w:t>
            </w:r>
          </w:p>
        </w:tc>
        <w:tc>
          <w:tcPr>
            <w:tcW w:w="64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00</w:t>
            </w:r>
            <w:r>
              <w:rPr>
                <w:rFonts w:hint="eastAsia" w:ascii="Times New Roman" w:hAnsi="Times New Roman" w:eastAsia="宋体" w:cs="Times New Roman"/>
                <w:szCs w:val="21"/>
                <w:lang w:val="en-US" w:eastAsia="zh-CN"/>
              </w:rPr>
              <w:t>2</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00</w:t>
            </w:r>
            <w:r>
              <w:rPr>
                <w:rFonts w:hint="eastAsia" w:ascii="Times New Roman" w:hAnsi="Times New Roman" w:eastAsia="宋体" w:cs="Times New Roman"/>
                <w:szCs w:val="21"/>
                <w:lang w:val="en-US" w:eastAsia="zh-CN"/>
              </w:rPr>
              <w:t>3</w:t>
            </w:r>
          </w:p>
        </w:tc>
        <w:tc>
          <w:tcPr>
            <w:tcW w:w="72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00</w:t>
            </w:r>
            <w:r>
              <w:rPr>
                <w:rFonts w:hint="eastAsia" w:ascii="Times New Roman" w:hAnsi="Times New Roman" w:eastAsia="宋体" w:cs="Times New Roman"/>
                <w:szCs w:val="21"/>
                <w:lang w:val="en-US" w:eastAsia="zh-CN"/>
              </w:rPr>
              <w:t>4</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00</w:t>
            </w:r>
            <w:r>
              <w:rPr>
                <w:rFonts w:hint="eastAsia" w:ascii="Times New Roman" w:hAnsi="Times New Roman" w:eastAsia="宋体" w:cs="Times New Roman"/>
                <w:szCs w:val="21"/>
                <w:lang w:val="en-US" w:eastAsia="zh-CN"/>
              </w:rPr>
              <w:t>5</w:t>
            </w:r>
          </w:p>
        </w:tc>
        <w:tc>
          <w:tcPr>
            <w:tcW w:w="72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HC23</w:t>
            </w:r>
            <w:r>
              <w:rPr>
                <w:rFonts w:hint="eastAsia" w:ascii="Times New Roman" w:hAnsi="Times New Roman" w:eastAsia="宋体" w:cs="Times New Roman"/>
                <w:szCs w:val="21"/>
                <w:lang w:val="en-US" w:eastAsia="zh-CN"/>
              </w:rPr>
              <w:t>121602</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00</w:t>
            </w:r>
            <w:r>
              <w:rPr>
                <w:rFonts w:hint="eastAsia" w:ascii="Times New Roman" w:hAnsi="Times New Roman" w:eastAsia="宋体" w:cs="Times New Roman"/>
                <w:szCs w:val="21"/>
                <w:lang w:val="en-US" w:eastAsia="zh-CN"/>
              </w:rPr>
              <w:t>6</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检测结果（</w:t>
            </w:r>
            <w:r>
              <w:rPr>
                <w:rFonts w:ascii="Times New Roman" w:hAnsi="Times New Roman" w:eastAsia="宋体" w:cs="Times New Roman"/>
                <w:color w:val="000000"/>
                <w:szCs w:val="21"/>
              </w:rPr>
              <w:t>mg/m</w:t>
            </w:r>
            <w:r>
              <w:rPr>
                <w:rFonts w:ascii="Times New Roman" w:hAnsi="Times New Roman" w:eastAsia="宋体" w:cs="Times New Roman"/>
                <w:color w:val="000000"/>
                <w:szCs w:val="21"/>
                <w:vertAlign w:val="superscript"/>
              </w:rPr>
              <w:t>3</w:t>
            </w:r>
            <w:r>
              <w:rPr>
                <w:rFonts w:ascii="Times New Roman" w:hAnsi="Times New Roman" w:eastAsia="宋体" w:cs="Times New Roman"/>
                <w:szCs w:val="21"/>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36.5</w:t>
            </w:r>
          </w:p>
        </w:tc>
        <w:tc>
          <w:tcPr>
            <w:tcW w:w="64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30.0</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24.7</w:t>
            </w:r>
          </w:p>
        </w:tc>
        <w:tc>
          <w:tcPr>
            <w:tcW w:w="72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4.12</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3.70</w:t>
            </w:r>
          </w:p>
        </w:tc>
        <w:tc>
          <w:tcPr>
            <w:tcW w:w="72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3.38</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标干流量（Nm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575"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6071</w:t>
            </w:r>
          </w:p>
        </w:tc>
        <w:tc>
          <w:tcPr>
            <w:tcW w:w="647"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6071</w:t>
            </w:r>
          </w:p>
        </w:tc>
        <w:tc>
          <w:tcPr>
            <w:tcW w:w="692"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6137</w:t>
            </w:r>
          </w:p>
        </w:tc>
        <w:tc>
          <w:tcPr>
            <w:tcW w:w="728" w:type="pct"/>
            <w:tcBorders>
              <w:top w:val="single" w:color="auto" w:sz="4" w:space="0"/>
              <w:left w:val="single" w:color="auto" w:sz="4" w:space="0"/>
              <w:bottom w:val="single" w:color="auto" w:sz="4" w:space="0"/>
              <w:right w:val="single" w:color="auto" w:sz="4" w:space="0"/>
            </w:tcBorders>
            <w:noWrap w:val="0"/>
            <w:vAlign w:val="center"/>
          </w:tcPr>
          <w:p>
            <w:pPr>
              <w:tabs>
                <w:tab w:val="left" w:pos="7020"/>
              </w:tabs>
              <w:spacing w:after="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7304</w:t>
            </w:r>
          </w:p>
        </w:tc>
        <w:tc>
          <w:tcPr>
            <w:tcW w:w="692"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7244</w:t>
            </w:r>
          </w:p>
        </w:tc>
        <w:tc>
          <w:tcPr>
            <w:tcW w:w="727" w:type="pct"/>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7234</w:t>
            </w:r>
          </w:p>
        </w:tc>
      </w:tr>
      <w:tr>
        <w:tblPrEx>
          <w:tblCellMar>
            <w:top w:w="15" w:type="dxa"/>
            <w:left w:w="15" w:type="dxa"/>
            <w:bottom w:w="15" w:type="dxa"/>
            <w:right w:w="15"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noWrap w:val="0"/>
            <w:vAlign w:val="center"/>
          </w:tcPr>
          <w:p>
            <w:pPr>
              <w:jc w:val="center"/>
              <w:textAlignment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szCs w:val="21"/>
              </w:rPr>
              <w:t>排放速率（kg/h）</w:t>
            </w:r>
          </w:p>
        </w:tc>
        <w:tc>
          <w:tcPr>
            <w:tcW w:w="575"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0.22</w:t>
            </w:r>
          </w:p>
        </w:tc>
        <w:tc>
          <w:tcPr>
            <w:tcW w:w="64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0.18</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0.15</w:t>
            </w:r>
          </w:p>
        </w:tc>
        <w:tc>
          <w:tcPr>
            <w:tcW w:w="72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0.030</w:t>
            </w:r>
          </w:p>
        </w:tc>
        <w:tc>
          <w:tcPr>
            <w:tcW w:w="6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0.027</w:t>
            </w:r>
          </w:p>
        </w:tc>
        <w:tc>
          <w:tcPr>
            <w:tcW w:w="72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0.024</w:t>
            </w:r>
          </w:p>
        </w:tc>
      </w:tr>
    </w:tbl>
    <w:p>
      <w:pPr>
        <w:pStyle w:val="9"/>
        <w:spacing w:after="0" w:line="360" w:lineRule="auto"/>
        <w:ind w:left="0"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color w:val="000000"/>
          <w:sz w:val="24"/>
          <w:szCs w:val="28"/>
        </w:rPr>
        <w:t>由表9-</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可知，验收监测期间，</w:t>
      </w:r>
      <w:bookmarkStart w:id="79" w:name="_Hlk47977346"/>
      <w:r>
        <w:rPr>
          <w:rFonts w:hint="default" w:ascii="Times New Roman" w:hAnsi="Times New Roman" w:eastAsia="宋体" w:cs="Times New Roman"/>
          <w:color w:val="000000"/>
          <w:sz w:val="24"/>
          <w:szCs w:val="28"/>
          <w:lang w:val="en-US" w:eastAsia="zh-CN"/>
        </w:rPr>
        <w:t>排气筒</w:t>
      </w:r>
      <w:r>
        <w:rPr>
          <w:rFonts w:hint="eastAsia" w:cs="Times New Roman"/>
          <w:color w:val="000000"/>
          <w:sz w:val="24"/>
          <w:szCs w:val="28"/>
          <w:lang w:val="en-US" w:eastAsia="zh-CN"/>
        </w:rPr>
        <w:t>DA00</w:t>
      </w:r>
      <w:r>
        <w:rPr>
          <w:rFonts w:hint="default" w:ascii="Times New Roman" w:hAnsi="Times New Roman" w:eastAsia="宋体" w:cs="Times New Roman"/>
          <w:color w:val="000000"/>
          <w:sz w:val="24"/>
          <w:szCs w:val="28"/>
          <w:lang w:val="en-US" w:eastAsia="zh-CN"/>
        </w:rPr>
        <w:t>1</w:t>
      </w:r>
      <w:r>
        <w:rPr>
          <w:rFonts w:hint="default" w:ascii="Times New Roman" w:hAnsi="Times New Roman" w:eastAsia="宋体" w:cs="Times New Roman"/>
          <w:color w:val="000000"/>
          <w:sz w:val="24"/>
          <w:szCs w:val="28"/>
        </w:rPr>
        <w:t>废气有组织污染物</w:t>
      </w:r>
      <w:r>
        <w:rPr>
          <w:rFonts w:hint="eastAsia" w:cs="Times New Roman"/>
          <w:color w:val="000000"/>
          <w:sz w:val="24"/>
          <w:szCs w:val="28"/>
          <w:lang w:val="en-US" w:eastAsia="zh-CN"/>
        </w:rPr>
        <w:t>VOCs</w:t>
      </w:r>
      <w:r>
        <w:rPr>
          <w:rFonts w:hint="default" w:ascii="Times New Roman" w:hAnsi="Times New Roman" w:eastAsia="宋体" w:cs="Times New Roman"/>
          <w:color w:val="000000"/>
          <w:sz w:val="24"/>
          <w:szCs w:val="28"/>
        </w:rPr>
        <w:t>最大排放浓度为</w:t>
      </w:r>
      <w:r>
        <w:rPr>
          <w:rFonts w:hint="eastAsia" w:cs="Times New Roman"/>
          <w:color w:val="000000"/>
          <w:sz w:val="24"/>
          <w:szCs w:val="28"/>
          <w:highlight w:val="none"/>
          <w:lang w:val="en-US" w:eastAsia="zh-CN"/>
        </w:rPr>
        <w:t>4.12</w:t>
      </w:r>
      <w:r>
        <w:rPr>
          <w:rFonts w:hint="default" w:ascii="Times New Roman" w:hAnsi="Times New Roman" w:eastAsia="宋体" w:cs="Times New Roman"/>
          <w:color w:val="000000"/>
          <w:sz w:val="24"/>
          <w:szCs w:val="28"/>
          <w:highlight w:val="none"/>
          <w:lang w:val="en-US" w:eastAsia="zh-CN"/>
        </w:rPr>
        <w:t>mg/m</w:t>
      </w:r>
      <w:r>
        <w:rPr>
          <w:rFonts w:hint="default" w:ascii="Times New Roman" w:hAnsi="Times New Roman" w:eastAsia="宋体" w:cs="Times New Roman"/>
          <w:color w:val="000000"/>
          <w:sz w:val="24"/>
          <w:szCs w:val="28"/>
          <w:highlight w:val="none"/>
          <w:vertAlign w:val="superscript"/>
          <w:lang w:val="en-US" w:eastAsia="zh-CN"/>
        </w:rPr>
        <w:t>3</w:t>
      </w:r>
      <w:r>
        <w:rPr>
          <w:rFonts w:hint="eastAsia" w:cs="Times New Roman"/>
          <w:color w:val="000000"/>
          <w:sz w:val="24"/>
          <w:szCs w:val="28"/>
          <w:highlight w:val="none"/>
          <w:lang w:val="en-US" w:eastAsia="zh-CN"/>
        </w:rPr>
        <w:t>，最大排放速率为0.03kg/h</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lang w:val="en-US" w:eastAsia="zh-CN"/>
        </w:rPr>
        <w:t>二级活性碳废气处理系统废气处理效率为</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lang w:val="en-US" w:eastAsia="zh-CN"/>
        </w:rPr>
        <w:t>以上。</w:t>
      </w:r>
      <w:r>
        <w:rPr>
          <w:rFonts w:hint="default" w:ascii="Times New Roman" w:hAnsi="Times New Roman" w:eastAsia="宋体" w:cs="Times New Roman"/>
          <w:color w:val="000000"/>
          <w:sz w:val="24"/>
          <w:szCs w:val="24"/>
          <w:lang w:val="en-US" w:eastAsia="zh-CN"/>
        </w:rPr>
        <w:t>满足《挥发性有机物排放标准 第7部分：其他行业》(DB37/ 2801.7—2019)表1非重点行业对应限值</w:t>
      </w:r>
      <w:r>
        <w:rPr>
          <w:rFonts w:hint="eastAsia" w:cs="Times New Roman"/>
          <w:color w:val="000000"/>
          <w:sz w:val="24"/>
          <w:szCs w:val="24"/>
          <w:lang w:val="en-US" w:eastAsia="zh-CN"/>
        </w:rPr>
        <w:t>（最高允许排放浓度≤60mg/m</w:t>
      </w:r>
      <w:r>
        <w:rPr>
          <w:rFonts w:hint="eastAsia" w:cs="Times New Roman"/>
          <w:color w:val="000000"/>
          <w:sz w:val="24"/>
          <w:szCs w:val="24"/>
          <w:vertAlign w:val="superscript"/>
          <w:lang w:val="en-US" w:eastAsia="zh-CN"/>
        </w:rPr>
        <w:t>3</w:t>
      </w:r>
      <w:r>
        <w:rPr>
          <w:rFonts w:hint="eastAsia" w:cs="Times New Roman"/>
          <w:color w:val="000000"/>
          <w:sz w:val="24"/>
          <w:szCs w:val="24"/>
          <w:lang w:val="en-US" w:eastAsia="zh-CN"/>
        </w:rPr>
        <w:t>，最高排放速率≤3.0kg/h）</w:t>
      </w:r>
      <w:r>
        <w:rPr>
          <w:rFonts w:hint="default" w:ascii="Times New Roman" w:hAnsi="Times New Roman" w:eastAsia="宋体" w:cs="Times New Roman"/>
          <w:sz w:val="24"/>
          <w:szCs w:val="20"/>
        </w:rPr>
        <w:t>；</w:t>
      </w:r>
      <w:bookmarkEnd w:id="79"/>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2、无组织排放</w:t>
      </w:r>
    </w:p>
    <w:p>
      <w:pPr>
        <w:pStyle w:val="9"/>
        <w:spacing w:after="0" w:line="360" w:lineRule="auto"/>
        <w:ind w:left="0" w:leftChars="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该项目产生的无组织废气污染物主要为</w:t>
      </w:r>
      <w:r>
        <w:rPr>
          <w:rFonts w:hint="eastAsia" w:cs="Times New Roman"/>
          <w:color w:val="000000"/>
          <w:sz w:val="24"/>
          <w:szCs w:val="28"/>
          <w:lang w:val="en-US" w:eastAsia="zh-CN"/>
        </w:rPr>
        <w:t>VOCs</w:t>
      </w:r>
      <w:r>
        <w:rPr>
          <w:rFonts w:hint="default" w:ascii="Times New Roman" w:hAnsi="Times New Roman" w:eastAsia="宋体" w:cs="Times New Roman"/>
          <w:color w:val="000000"/>
          <w:sz w:val="24"/>
          <w:szCs w:val="28"/>
        </w:rPr>
        <w:t>。</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监测结果见表9-</w:t>
      </w:r>
      <w:r>
        <w:rPr>
          <w:rFonts w:hint="default" w:ascii="Times New Roman" w:hAnsi="Times New Roman" w:eastAsia="宋体" w:cs="Times New Roman"/>
          <w:color w:val="000000"/>
          <w:sz w:val="24"/>
          <w:szCs w:val="28"/>
          <w:lang w:val="en-US" w:eastAsia="zh-CN"/>
        </w:rPr>
        <w:t>3</w:t>
      </w:r>
      <w:r>
        <w:rPr>
          <w:rFonts w:hint="default" w:ascii="Times New Roman" w:hAnsi="Times New Roman" w:eastAsia="宋体" w:cs="Times New Roman"/>
          <w:color w:val="000000"/>
          <w:sz w:val="24"/>
          <w:szCs w:val="28"/>
        </w:rPr>
        <w:t>。</w:t>
      </w:r>
    </w:p>
    <w:p>
      <w:pPr>
        <w:pStyle w:val="10"/>
        <w:rPr>
          <w:rFonts w:hint="default" w:ascii="Times New Roman" w:hAnsi="Times New Roman" w:eastAsia="宋体" w:cs="Times New Roman"/>
          <w:color w:val="000000"/>
          <w:sz w:val="24"/>
          <w:szCs w:val="28"/>
        </w:rPr>
      </w:pPr>
    </w:p>
    <w:p>
      <w:pPr>
        <w:rPr>
          <w:rFonts w:hint="default"/>
        </w:rPr>
      </w:pP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表9-</w:t>
      </w:r>
      <w:r>
        <w:rPr>
          <w:rFonts w:hint="default"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无组织废气监测结果汇总</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416"/>
        <w:gridCol w:w="961"/>
        <w:gridCol w:w="1296"/>
        <w:gridCol w:w="752"/>
        <w:gridCol w:w="688"/>
        <w:gridCol w:w="512"/>
        <w:gridCol w:w="1024"/>
        <w:gridCol w:w="1316"/>
        <w:gridCol w:w="67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采样日期</w:t>
            </w:r>
          </w:p>
        </w:tc>
        <w:tc>
          <w:tcPr>
            <w:tcW w:w="2261" w:type="pct"/>
            <w:gridSpan w:val="5"/>
            <w:noWrap w:val="0"/>
            <w:vAlign w:val="center"/>
          </w:tcPr>
          <w:p>
            <w:pPr>
              <w:spacing w:line="220" w:lineRule="atLeast"/>
              <w:jc w:val="center"/>
              <w:rPr>
                <w:rFonts w:hint="default" w:ascii="Times New Roman" w:hAnsi="Times New Roman" w:eastAsia="宋体" w:cs="Times New Roman"/>
                <w:color w:val="000000"/>
                <w:szCs w:val="21"/>
                <w:highlight w:val="none"/>
                <w:lang w:val="en-US" w:eastAsia="zh-CN"/>
              </w:rPr>
            </w:pPr>
            <w:r>
              <w:rPr>
                <w:rFonts w:ascii="Times New Roman" w:hAnsi="Times New Roman" w:eastAsia="宋体" w:cs="Times New Roman"/>
                <w:color w:val="000000"/>
                <w:szCs w:val="21"/>
                <w:highlight w:val="none"/>
              </w:rPr>
              <w:t>2023.</w:t>
            </w:r>
            <w:r>
              <w:rPr>
                <w:rFonts w:hint="eastAsia" w:ascii="Times New Roman" w:hAnsi="Times New Roman" w:eastAsia="宋体" w:cs="Times New Roman"/>
                <w:color w:val="000000"/>
                <w:szCs w:val="21"/>
                <w:highlight w:val="none"/>
                <w:lang w:val="en-US" w:eastAsia="zh-CN"/>
              </w:rPr>
              <w:t>12</w:t>
            </w:r>
            <w:r>
              <w:rPr>
                <w:rFonts w:ascii="Times New Roman" w:hAnsi="Times New Roman" w:eastAsia="宋体" w:cs="Times New Roman"/>
                <w:color w:val="000000"/>
                <w:szCs w:val="21"/>
                <w:highlight w:val="none"/>
              </w:rPr>
              <w:t>.</w:t>
            </w:r>
            <w:r>
              <w:rPr>
                <w:rFonts w:hint="eastAsia" w:ascii="Times New Roman" w:hAnsi="Times New Roman" w:eastAsia="宋体" w:cs="Times New Roman"/>
                <w:color w:val="000000"/>
                <w:szCs w:val="21"/>
                <w:highlight w:val="none"/>
                <w:lang w:val="en-US" w:eastAsia="zh-CN"/>
              </w:rPr>
              <w:t>17</w:t>
            </w:r>
          </w:p>
        </w:tc>
        <w:tc>
          <w:tcPr>
            <w:tcW w:w="2314" w:type="pct"/>
            <w:gridSpan w:val="5"/>
            <w:noWrap w:val="0"/>
            <w:vAlign w:val="center"/>
          </w:tcPr>
          <w:p>
            <w:pPr>
              <w:spacing w:line="220" w:lineRule="atLeast"/>
              <w:jc w:val="center"/>
              <w:rPr>
                <w:rFonts w:hint="default" w:ascii="Times New Roman" w:hAnsi="Times New Roman" w:eastAsia="宋体" w:cs="Times New Roman"/>
                <w:color w:val="000000"/>
                <w:szCs w:val="21"/>
                <w:highlight w:val="none"/>
                <w:lang w:val="en-US" w:eastAsia="zh-CN"/>
              </w:rPr>
            </w:pPr>
            <w:r>
              <w:rPr>
                <w:rFonts w:ascii="Times New Roman" w:hAnsi="Times New Roman" w:eastAsia="宋体" w:cs="Times New Roman"/>
                <w:color w:val="000000"/>
                <w:szCs w:val="21"/>
                <w:highlight w:val="none"/>
              </w:rPr>
              <w:t>2023.</w:t>
            </w:r>
            <w:r>
              <w:rPr>
                <w:rFonts w:hint="eastAsia" w:ascii="Times New Roman" w:hAnsi="Times New Roman" w:eastAsia="宋体" w:cs="Times New Roman"/>
                <w:color w:val="000000"/>
                <w:szCs w:val="21"/>
                <w:highlight w:val="none"/>
                <w:lang w:val="en-US" w:eastAsia="zh-CN"/>
              </w:rPr>
              <w:t>12</w:t>
            </w:r>
            <w:r>
              <w:rPr>
                <w:rFonts w:ascii="Times New Roman" w:hAnsi="Times New Roman" w:eastAsia="宋体" w:cs="Times New Roman"/>
                <w:color w:val="000000"/>
                <w:szCs w:val="21"/>
                <w:highlight w:val="none"/>
              </w:rPr>
              <w:t>.</w:t>
            </w:r>
            <w:r>
              <w:rPr>
                <w:rFonts w:hint="eastAsia" w:ascii="Times New Roman" w:hAnsi="Times New Roman" w:eastAsia="宋体" w:cs="Times New Roman"/>
                <w:color w:val="000000"/>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2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检测项目</w:t>
            </w:r>
          </w:p>
        </w:tc>
        <w:tc>
          <w:tcPr>
            <w:tcW w:w="2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检测点位</w:t>
            </w: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检测频次</w:t>
            </w:r>
          </w:p>
        </w:tc>
        <w:tc>
          <w:tcPr>
            <w:tcW w:w="712"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样品编号</w:t>
            </w:r>
          </w:p>
        </w:tc>
        <w:tc>
          <w:tcPr>
            <w:tcW w:w="41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检测浓度</w:t>
            </w:r>
          </w:p>
        </w:tc>
        <w:tc>
          <w:tcPr>
            <w:tcW w:w="37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平均值</w:t>
            </w:r>
          </w:p>
        </w:tc>
        <w:tc>
          <w:tcPr>
            <w:tcW w:w="281"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检测点位</w:t>
            </w: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检测频次</w:t>
            </w:r>
          </w:p>
        </w:tc>
        <w:tc>
          <w:tcPr>
            <w:tcW w:w="72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样品编号</w:t>
            </w:r>
          </w:p>
        </w:tc>
        <w:tc>
          <w:tcPr>
            <w:tcW w:w="371"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检测浓度</w:t>
            </w:r>
          </w:p>
        </w:tc>
        <w:tc>
          <w:tcPr>
            <w:tcW w:w="375"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23" w:type="pct"/>
            <w:vMerge w:val="restar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szCs w:val="21"/>
              </w:rPr>
              <w:t>VOCs（以非甲烷总烃计）（mg/m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228" w:type="pct"/>
            <w:vMerge w:val="restar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1#上风向</w:t>
            </w: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第一次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08</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0.68</w:t>
            </w:r>
          </w:p>
        </w:tc>
        <w:tc>
          <w:tcPr>
            <w:tcW w:w="378"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0.47</w:t>
            </w:r>
          </w:p>
          <w:p>
            <w:pPr>
              <w:spacing w:line="220" w:lineRule="atLeast"/>
              <w:jc w:val="center"/>
              <w:rPr>
                <w:rFonts w:hint="eastAsia" w:ascii="Times New Roman" w:hAnsi="Times New Roman" w:eastAsia="宋体" w:cs="Times New Roman"/>
                <w:color w:val="000000"/>
                <w:szCs w:val="21"/>
                <w:lang w:val="en-US" w:eastAsia="zh-CN"/>
              </w:rPr>
            </w:pPr>
          </w:p>
        </w:tc>
        <w:tc>
          <w:tcPr>
            <w:tcW w:w="281" w:type="pct"/>
            <w:vMerge w:val="restar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1#上风向</w:t>
            </w: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第一次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08</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0.59</w:t>
            </w:r>
          </w:p>
        </w:tc>
        <w:tc>
          <w:tcPr>
            <w:tcW w:w="375"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0.56</w:t>
            </w:r>
          </w:p>
          <w:p>
            <w:pPr>
              <w:spacing w:line="220" w:lineRule="atLeast"/>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第二次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09</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0.43</w:t>
            </w:r>
          </w:p>
        </w:tc>
        <w:tc>
          <w:tcPr>
            <w:tcW w:w="378"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c>
          <w:tcPr>
            <w:tcW w:w="281"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第二次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09</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0.52</w:t>
            </w:r>
          </w:p>
        </w:tc>
        <w:tc>
          <w:tcPr>
            <w:tcW w:w="375"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第三次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10</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0.30</w:t>
            </w:r>
          </w:p>
        </w:tc>
        <w:tc>
          <w:tcPr>
            <w:tcW w:w="378"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c>
          <w:tcPr>
            <w:tcW w:w="281"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第三次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10</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0.56</w:t>
            </w:r>
          </w:p>
        </w:tc>
        <w:tc>
          <w:tcPr>
            <w:tcW w:w="375"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restar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2#下风向</w:t>
            </w: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第一次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11</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0.94</w:t>
            </w:r>
          </w:p>
        </w:tc>
        <w:tc>
          <w:tcPr>
            <w:tcW w:w="378"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0.91</w:t>
            </w:r>
          </w:p>
          <w:p>
            <w:pPr>
              <w:spacing w:line="220" w:lineRule="atLeast"/>
              <w:jc w:val="center"/>
              <w:rPr>
                <w:rFonts w:hint="eastAsia" w:ascii="Times New Roman" w:hAnsi="Times New Roman" w:eastAsia="宋体" w:cs="Times New Roman"/>
                <w:color w:val="000000"/>
                <w:szCs w:val="21"/>
                <w:lang w:val="en-US" w:eastAsia="zh-CN"/>
              </w:rPr>
            </w:pPr>
          </w:p>
        </w:tc>
        <w:tc>
          <w:tcPr>
            <w:tcW w:w="281" w:type="pct"/>
            <w:vMerge w:val="restar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2#下风向</w:t>
            </w: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第一次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11</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1.15</w:t>
            </w:r>
          </w:p>
        </w:tc>
        <w:tc>
          <w:tcPr>
            <w:tcW w:w="375"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1.01</w:t>
            </w:r>
          </w:p>
          <w:p>
            <w:pPr>
              <w:spacing w:line="220" w:lineRule="atLeast"/>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第二次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12</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0.88</w:t>
            </w:r>
          </w:p>
        </w:tc>
        <w:tc>
          <w:tcPr>
            <w:tcW w:w="378"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c>
          <w:tcPr>
            <w:tcW w:w="281"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第二次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12</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1.01</w:t>
            </w:r>
          </w:p>
        </w:tc>
        <w:tc>
          <w:tcPr>
            <w:tcW w:w="375"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第三次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13</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0.92</w:t>
            </w:r>
          </w:p>
        </w:tc>
        <w:tc>
          <w:tcPr>
            <w:tcW w:w="378"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c>
          <w:tcPr>
            <w:tcW w:w="281"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第三次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13</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0.86</w:t>
            </w:r>
          </w:p>
        </w:tc>
        <w:tc>
          <w:tcPr>
            <w:tcW w:w="375"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restar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3#下风向</w:t>
            </w: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第一次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14</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1.00</w:t>
            </w:r>
          </w:p>
        </w:tc>
        <w:tc>
          <w:tcPr>
            <w:tcW w:w="378"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0.93</w:t>
            </w:r>
          </w:p>
          <w:p>
            <w:pPr>
              <w:spacing w:line="220" w:lineRule="atLeast"/>
              <w:jc w:val="center"/>
              <w:rPr>
                <w:rFonts w:hint="eastAsia" w:ascii="Times New Roman" w:hAnsi="Times New Roman" w:eastAsia="宋体" w:cs="Times New Roman"/>
                <w:color w:val="000000"/>
                <w:szCs w:val="21"/>
                <w:lang w:val="en-US" w:eastAsia="zh-CN"/>
              </w:rPr>
            </w:pPr>
          </w:p>
        </w:tc>
        <w:tc>
          <w:tcPr>
            <w:tcW w:w="281" w:type="pct"/>
            <w:vMerge w:val="restar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3#下风向</w:t>
            </w: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第一次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14</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0.91</w:t>
            </w:r>
          </w:p>
        </w:tc>
        <w:tc>
          <w:tcPr>
            <w:tcW w:w="375"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0.96</w:t>
            </w:r>
          </w:p>
          <w:p>
            <w:pPr>
              <w:spacing w:line="220" w:lineRule="atLeast"/>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第二次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15</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0.99</w:t>
            </w:r>
          </w:p>
        </w:tc>
        <w:tc>
          <w:tcPr>
            <w:tcW w:w="378"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c>
          <w:tcPr>
            <w:tcW w:w="281"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第二次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15</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1.03</w:t>
            </w:r>
          </w:p>
        </w:tc>
        <w:tc>
          <w:tcPr>
            <w:tcW w:w="375"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第三次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016</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0.79</w:t>
            </w:r>
          </w:p>
        </w:tc>
        <w:tc>
          <w:tcPr>
            <w:tcW w:w="378"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c>
          <w:tcPr>
            <w:tcW w:w="281"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第三次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2016</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0.93</w:t>
            </w:r>
          </w:p>
        </w:tc>
        <w:tc>
          <w:tcPr>
            <w:tcW w:w="375" w:type="pct"/>
            <w:vMerge w:val="continue"/>
            <w:noWrap w:val="0"/>
            <w:vAlign w:val="center"/>
          </w:tcPr>
          <w:p>
            <w:pPr>
              <w:spacing w:line="220" w:lineRule="atLeast"/>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restar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4#下风向</w:t>
            </w: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第一次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17</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0.85</w:t>
            </w:r>
          </w:p>
        </w:tc>
        <w:tc>
          <w:tcPr>
            <w:tcW w:w="378" w:type="pct"/>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0.86</w:t>
            </w:r>
          </w:p>
        </w:tc>
        <w:tc>
          <w:tcPr>
            <w:tcW w:w="281" w:type="pct"/>
            <w:vMerge w:val="restar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4#下风向</w:t>
            </w: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第一次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17</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0.97</w:t>
            </w:r>
          </w:p>
        </w:tc>
        <w:tc>
          <w:tcPr>
            <w:tcW w:w="375" w:type="pct"/>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第二次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18</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0.79</w:t>
            </w:r>
          </w:p>
        </w:tc>
        <w:tc>
          <w:tcPr>
            <w:tcW w:w="37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81"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第二次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18</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0.76</w:t>
            </w:r>
          </w:p>
        </w:tc>
        <w:tc>
          <w:tcPr>
            <w:tcW w:w="375" w:type="pct"/>
            <w:vMerge w:val="continue"/>
            <w:noWrap w:val="0"/>
            <w:vAlign w:val="center"/>
          </w:tcPr>
          <w:p>
            <w:pPr>
              <w:spacing w:line="220" w:lineRule="atLeast"/>
              <w:jc w:val="cente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23"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2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28"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第三次</w:t>
            </w:r>
          </w:p>
        </w:tc>
        <w:tc>
          <w:tcPr>
            <w:tcW w:w="71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lang w:val="en-US" w:eastAsia="zh-CN" w:bidi="ar"/>
              </w:rPr>
              <w:t>19</w:t>
            </w:r>
          </w:p>
        </w:tc>
        <w:tc>
          <w:tcPr>
            <w:tcW w:w="4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0.93</w:t>
            </w:r>
          </w:p>
        </w:tc>
        <w:tc>
          <w:tcPr>
            <w:tcW w:w="378"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281" w:type="pct"/>
            <w:vMerge w:val="continue"/>
            <w:noWrap w:val="0"/>
            <w:vAlign w:val="center"/>
          </w:tcPr>
          <w:p>
            <w:pPr>
              <w:spacing w:line="220" w:lineRule="atLeast"/>
              <w:jc w:val="center"/>
              <w:rPr>
                <w:rFonts w:ascii="Times New Roman" w:hAnsi="Times New Roman" w:eastAsia="宋体" w:cs="Times New Roman"/>
                <w:color w:val="000000"/>
                <w:szCs w:val="21"/>
              </w:rPr>
            </w:pPr>
          </w:p>
        </w:tc>
        <w:tc>
          <w:tcPr>
            <w:tcW w:w="563" w:type="pct"/>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第三次</w:t>
            </w:r>
          </w:p>
        </w:tc>
        <w:tc>
          <w:tcPr>
            <w:tcW w:w="72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HC23</w:t>
            </w:r>
            <w:r>
              <w:rPr>
                <w:rFonts w:hint="eastAsia" w:ascii="Times New Roman" w:hAnsi="Times New Roman" w:eastAsia="宋体" w:cs="Times New Roman"/>
                <w:i w:val="0"/>
                <w:iCs w:val="0"/>
                <w:color w:val="000000"/>
                <w:kern w:val="0"/>
                <w:sz w:val="21"/>
                <w:szCs w:val="21"/>
                <w:u w:val="none"/>
                <w:lang w:val="en-US" w:eastAsia="zh-CN" w:bidi="ar"/>
              </w:rPr>
              <w:t>121602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19</w:t>
            </w:r>
          </w:p>
        </w:tc>
        <w:tc>
          <w:tcPr>
            <w:tcW w:w="37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1.10</w:t>
            </w:r>
          </w:p>
        </w:tc>
        <w:tc>
          <w:tcPr>
            <w:tcW w:w="375" w:type="pct"/>
            <w:vMerge w:val="continue"/>
            <w:noWrap w:val="0"/>
            <w:vAlign w:val="center"/>
          </w:tcPr>
          <w:p>
            <w:pPr>
              <w:spacing w:line="220" w:lineRule="atLeast"/>
              <w:jc w:val="cente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000" w:type="pct"/>
            <w:gridSpan w:val="11"/>
            <w:noWrap w:val="0"/>
            <w:vAlign w:val="center"/>
          </w:tcPr>
          <w:p>
            <w:pPr>
              <w:spacing w:line="220" w:lineRule="atLeas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备注</w:t>
            </w:r>
            <w:r>
              <w:rPr>
                <w:rFonts w:hint="eastAsia" w:ascii="Times New Roman" w:hAnsi="Times New Roman" w:eastAsia="宋体" w:cs="Times New Roman"/>
                <w:color w:val="000000"/>
                <w:szCs w:val="21"/>
              </w:rPr>
              <w:t>：“ND”表示未检出。</w:t>
            </w:r>
          </w:p>
        </w:tc>
      </w:tr>
    </w:tbl>
    <w:p>
      <w:pPr>
        <w:adjustRightInd w:val="0"/>
        <w:snapToGrid w:val="0"/>
        <w:spacing w:line="360" w:lineRule="auto"/>
        <w:jc w:val="center"/>
        <w:rPr>
          <w:rFonts w:hint="default" w:ascii="Times New Roman" w:hAnsi="Times New Roman" w:eastAsia="宋体" w:cs="Times New Roman"/>
          <w:bCs/>
          <w:sz w:val="24"/>
          <w:lang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sz w:val="24"/>
          <w:szCs w:val="28"/>
        </w:rPr>
        <w:t>项目厂界</w:t>
      </w:r>
      <w:r>
        <w:rPr>
          <w:rFonts w:hint="default" w:ascii="Times New Roman" w:hAnsi="Times New Roman" w:eastAsia="宋体" w:cs="Times New Roman"/>
          <w:sz w:val="24"/>
        </w:rPr>
        <w:t>无组织</w:t>
      </w:r>
      <w:r>
        <w:rPr>
          <w:rFonts w:hint="default" w:ascii="Times New Roman" w:hAnsi="Times New Roman" w:eastAsia="宋体" w:cs="Times New Roman"/>
          <w:color w:val="000000"/>
          <w:sz w:val="24"/>
          <w:szCs w:val="32"/>
        </w:rPr>
        <w:t>VOCs排放浓度</w:t>
      </w:r>
      <w:r>
        <w:rPr>
          <w:rFonts w:hint="default" w:ascii="Times New Roman" w:hAnsi="Times New Roman" w:eastAsia="宋体" w:cs="Times New Roman"/>
          <w:sz w:val="24"/>
        </w:rPr>
        <w:t>为</w:t>
      </w:r>
      <w:r>
        <w:rPr>
          <w:rFonts w:hint="default" w:ascii="Times New Roman" w:hAnsi="Times New Roman" w:eastAsia="宋体" w:cs="Times New Roman"/>
          <w:sz w:val="24"/>
          <w:lang w:val="en-US" w:eastAsia="zh-CN"/>
        </w:rPr>
        <w:t>1.01</w:t>
      </w:r>
      <w:r>
        <w:rPr>
          <w:rFonts w:hint="default" w:ascii="Times New Roman" w:hAnsi="Times New Roman" w:eastAsia="宋体" w:cs="Times New Roman"/>
          <w:color w:val="000000"/>
          <w:sz w:val="24"/>
          <w:szCs w:val="28"/>
          <w:highlight w:val="none"/>
          <w:lang w:val="en-US" w:eastAsia="zh-CN"/>
        </w:rPr>
        <w:t>mg/m</w:t>
      </w:r>
      <w:r>
        <w:rPr>
          <w:rFonts w:hint="default" w:ascii="Times New Roman" w:hAnsi="Times New Roman" w:eastAsia="宋体" w:cs="Times New Roman"/>
          <w:color w:val="000000"/>
          <w:sz w:val="24"/>
          <w:szCs w:val="28"/>
          <w:highlight w:val="none"/>
          <w:vertAlign w:val="superscript"/>
          <w:lang w:val="en-US" w:eastAsia="zh-CN"/>
        </w:rPr>
        <w:t>3</w:t>
      </w:r>
      <w:r>
        <w:rPr>
          <w:rFonts w:hint="default" w:ascii="Times New Roman" w:hAnsi="Times New Roman" w:eastAsia="宋体" w:cs="Times New Roman"/>
          <w:sz w:val="24"/>
        </w:rPr>
        <w:t>，</w:t>
      </w:r>
      <w:r>
        <w:rPr>
          <w:rFonts w:hint="default" w:ascii="Times New Roman" w:hAnsi="Times New Roman" w:eastAsia="宋体" w:cs="Times New Roman"/>
          <w:color w:val="000000"/>
          <w:sz w:val="24"/>
          <w:szCs w:val="24"/>
          <w:lang w:val="en-US" w:eastAsia="zh-CN"/>
        </w:rPr>
        <w:t>满足</w:t>
      </w:r>
      <w:r>
        <w:rPr>
          <w:rFonts w:hint="default" w:ascii="Times New Roman" w:hAnsi="Times New Roman" w:eastAsia="宋体" w:cs="Times New Roman"/>
          <w:color w:val="auto"/>
          <w:sz w:val="24"/>
          <w:szCs w:val="24"/>
        </w:rPr>
        <w:t>《挥发性有机物排放标准 第7部分：其他行业》(DB37/ 2801.7—2019)表</w:t>
      </w:r>
      <w:r>
        <w:rPr>
          <w:rFonts w:hint="default" w:ascii="Times New Roman" w:hAnsi="Times New Roman" w:eastAsia="宋体" w:cs="Times New Roman"/>
          <w:color w:val="auto"/>
          <w:sz w:val="24"/>
          <w:szCs w:val="24"/>
          <w:lang w:val="en-US" w:eastAsia="zh-CN"/>
        </w:rPr>
        <w:t>2标准限值（≤2.0mg/m3）</w:t>
      </w:r>
      <w:r>
        <w:rPr>
          <w:rFonts w:hint="default" w:ascii="Times New Roman" w:hAnsi="Times New Roman" w:eastAsia="宋体" w:cs="Times New Roman"/>
          <w:bCs/>
          <w:sz w:val="24"/>
          <w:lang w:eastAsia="zh-CN"/>
        </w:rPr>
        <w:t>。</w:t>
      </w:r>
    </w:p>
    <w:p>
      <w:pPr>
        <w:adjustRightInd w:val="0"/>
        <w:snapToGrid w:val="0"/>
        <w:spacing w:line="276"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ascii="Times New Roman" w:hAnsi="Times New Roman" w:cs="Times New Roman"/>
          <w:b/>
          <w:bCs/>
          <w:color w:val="auto"/>
          <w:sz w:val="24"/>
          <w:lang w:val="en-US" w:eastAsia="zh-CN"/>
        </w:rPr>
        <w:t>9</w:t>
      </w:r>
      <w:r>
        <w:rPr>
          <w:rFonts w:hint="default" w:ascii="Times New Roman" w:hAnsi="Times New Roman" w:cs="Times New Roman"/>
          <w:b/>
          <w:bCs/>
          <w:color w:val="auto"/>
          <w:sz w:val="24"/>
          <w:lang w:val="en-US" w:eastAsia="zh-CN"/>
        </w:rPr>
        <w:t>-3</w:t>
      </w: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监测期间气象参数一览表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22"/>
        <w:gridCol w:w="852"/>
        <w:gridCol w:w="1103"/>
        <w:gridCol w:w="951"/>
        <w:gridCol w:w="678"/>
        <w:gridCol w:w="813"/>
        <w:gridCol w:w="813"/>
        <w:gridCol w:w="813"/>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blHeader/>
          <w:jc w:val="center"/>
        </w:trPr>
        <w:tc>
          <w:tcPr>
            <w:tcW w:w="60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cs="Times New Roman"/>
                <w:b/>
                <w:bCs/>
                <w:szCs w:val="21"/>
              </w:rPr>
            </w:pPr>
            <w:r>
              <w:rPr>
                <w:rFonts w:hint="default" w:ascii="Times New Roman" w:hAnsi="Times New Roman" w:cs="Times New Roman"/>
                <w:szCs w:val="21"/>
              </w:rPr>
              <w:t>采样日期</w:t>
            </w:r>
          </w:p>
        </w:tc>
        <w:tc>
          <w:tcPr>
            <w:tcW w:w="53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cs="Times New Roman"/>
                <w:b/>
                <w:bCs/>
                <w:szCs w:val="21"/>
              </w:rPr>
            </w:pPr>
            <w:r>
              <w:rPr>
                <w:rFonts w:hint="default" w:ascii="Times New Roman" w:hAnsi="Times New Roman" w:cs="Times New Roman"/>
                <w:szCs w:val="21"/>
              </w:rPr>
              <w:t>采样时间</w:t>
            </w:r>
          </w:p>
        </w:tc>
        <w:tc>
          <w:tcPr>
            <w:tcW w:w="47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cs="Times New Roman"/>
                <w:b/>
                <w:bCs/>
                <w:szCs w:val="21"/>
              </w:rPr>
            </w:pPr>
            <w:r>
              <w:rPr>
                <w:rFonts w:hint="default" w:ascii="Times New Roman" w:hAnsi="Times New Roman" w:cs="Times New Roman"/>
                <w:szCs w:val="21"/>
                <w:lang w:val="en-US" w:eastAsia="zh-CN"/>
              </w:rPr>
              <w:t>温度</w:t>
            </w:r>
            <w:r>
              <w:rPr>
                <w:rFonts w:hint="default" w:ascii="Times New Roman" w:hAnsi="Times New Roman" w:cs="Times New Roman"/>
                <w:szCs w:val="21"/>
              </w:rPr>
              <w:t>（℃）</w:t>
            </w:r>
          </w:p>
        </w:tc>
        <w:tc>
          <w:tcPr>
            <w:tcW w:w="53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rPr>
              <w:t>湿度（%</w:t>
            </w:r>
            <w:r>
              <w:rPr>
                <w:rFonts w:hint="default" w:ascii="Times New Roman" w:hAnsi="Times New Roman" w:cs="Times New Roman"/>
                <w:szCs w:val="21"/>
                <w:lang w:val="en-US" w:eastAsia="zh-CN"/>
              </w:rPr>
              <w:t>RH</w:t>
            </w:r>
            <w:r>
              <w:rPr>
                <w:rFonts w:hint="default" w:ascii="Times New Roman" w:hAnsi="Times New Roman" w:cs="Times New Roman"/>
                <w:szCs w:val="21"/>
              </w:rPr>
              <w:t>）</w:t>
            </w:r>
          </w:p>
        </w:tc>
        <w:tc>
          <w:tcPr>
            <w:tcW w:w="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气压（kPa）</w:t>
            </w:r>
          </w:p>
        </w:tc>
        <w:tc>
          <w:tcPr>
            <w:tcW w:w="41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风速(m/s)</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风向</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总云</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低云</w:t>
            </w:r>
          </w:p>
        </w:tc>
        <w:tc>
          <w:tcPr>
            <w:tcW w:w="56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天气情况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blHeader/>
          <w:jc w:val="center"/>
        </w:trPr>
        <w:tc>
          <w:tcPr>
            <w:tcW w:w="600" w:type="pct"/>
            <w:vMerge w:val="restart"/>
            <w:tcBorders>
              <w:top w:val="single" w:color="auto" w:sz="4" w:space="0"/>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2023.12.17</w:t>
            </w:r>
          </w:p>
        </w:tc>
        <w:tc>
          <w:tcPr>
            <w:tcW w:w="53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09:49</w:t>
            </w:r>
          </w:p>
        </w:tc>
        <w:tc>
          <w:tcPr>
            <w:tcW w:w="47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-2.1</w:t>
            </w:r>
          </w:p>
        </w:tc>
        <w:tc>
          <w:tcPr>
            <w:tcW w:w="53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49</w:t>
            </w:r>
          </w:p>
        </w:tc>
        <w:tc>
          <w:tcPr>
            <w:tcW w:w="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103.5</w:t>
            </w:r>
          </w:p>
        </w:tc>
        <w:tc>
          <w:tcPr>
            <w:tcW w:w="41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1.4</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blHeader/>
          <w:jc w:val="center"/>
        </w:trPr>
        <w:tc>
          <w:tcPr>
            <w:tcW w:w="600" w:type="pct"/>
            <w:vMerge w:val="continue"/>
            <w:tcBorders>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cs="Times New Roman"/>
                <w:color w:val="000000"/>
                <w:szCs w:val="21"/>
              </w:rPr>
            </w:pPr>
          </w:p>
        </w:tc>
        <w:tc>
          <w:tcPr>
            <w:tcW w:w="53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10:22</w:t>
            </w:r>
          </w:p>
        </w:tc>
        <w:tc>
          <w:tcPr>
            <w:tcW w:w="47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w:t>
            </w:r>
          </w:p>
        </w:tc>
        <w:tc>
          <w:tcPr>
            <w:tcW w:w="53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47</w:t>
            </w:r>
          </w:p>
        </w:tc>
        <w:tc>
          <w:tcPr>
            <w:tcW w:w="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103.5</w:t>
            </w:r>
          </w:p>
        </w:tc>
        <w:tc>
          <w:tcPr>
            <w:tcW w:w="41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1.4</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E</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3</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jc w:val="center"/>
        </w:trPr>
        <w:tc>
          <w:tcPr>
            <w:tcW w:w="600" w:type="pct"/>
            <w:vMerge w:val="continue"/>
            <w:tcBorders>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cs="Times New Roman"/>
                <w:color w:val="000000"/>
                <w:szCs w:val="21"/>
              </w:rPr>
            </w:pPr>
          </w:p>
        </w:tc>
        <w:tc>
          <w:tcPr>
            <w:tcW w:w="53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10:56</w:t>
            </w:r>
          </w:p>
        </w:tc>
        <w:tc>
          <w:tcPr>
            <w:tcW w:w="47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w:t>
            </w:r>
          </w:p>
        </w:tc>
        <w:tc>
          <w:tcPr>
            <w:tcW w:w="53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w:t>
            </w:r>
          </w:p>
        </w:tc>
        <w:tc>
          <w:tcPr>
            <w:tcW w:w="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103.5</w:t>
            </w:r>
          </w:p>
        </w:tc>
        <w:tc>
          <w:tcPr>
            <w:tcW w:w="41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1.4</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E</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3</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jc w:val="center"/>
        </w:trPr>
        <w:tc>
          <w:tcPr>
            <w:tcW w:w="600" w:type="pct"/>
            <w:vMerge w:val="restart"/>
            <w:tcBorders>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auto"/>
                <w:szCs w:val="21"/>
                <w:lang w:val="en-US" w:eastAsia="zh-CN"/>
              </w:rPr>
              <w:t>2023.12.18</w:t>
            </w:r>
          </w:p>
        </w:tc>
        <w:tc>
          <w:tcPr>
            <w:tcW w:w="53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09:26</w:t>
            </w:r>
          </w:p>
        </w:tc>
        <w:tc>
          <w:tcPr>
            <w:tcW w:w="47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w:t>
            </w:r>
          </w:p>
        </w:tc>
        <w:tc>
          <w:tcPr>
            <w:tcW w:w="53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w:t>
            </w:r>
          </w:p>
        </w:tc>
        <w:tc>
          <w:tcPr>
            <w:tcW w:w="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102.9</w:t>
            </w:r>
          </w:p>
        </w:tc>
        <w:tc>
          <w:tcPr>
            <w:tcW w:w="41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w:t>
            </w:r>
          </w:p>
        </w:tc>
        <w:tc>
          <w:tcPr>
            <w:tcW w:w="56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jc w:val="center"/>
        </w:trPr>
        <w:tc>
          <w:tcPr>
            <w:tcW w:w="600" w:type="pct"/>
            <w:vMerge w:val="continue"/>
            <w:tcBorders>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cs="Times New Roman"/>
                <w:color w:val="000000"/>
                <w:szCs w:val="21"/>
              </w:rPr>
            </w:pPr>
          </w:p>
        </w:tc>
        <w:tc>
          <w:tcPr>
            <w:tcW w:w="53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09:53</w:t>
            </w:r>
          </w:p>
        </w:tc>
        <w:tc>
          <w:tcPr>
            <w:tcW w:w="47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-2.3</w:t>
            </w:r>
          </w:p>
        </w:tc>
        <w:tc>
          <w:tcPr>
            <w:tcW w:w="53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w:t>
            </w:r>
          </w:p>
        </w:tc>
        <w:tc>
          <w:tcPr>
            <w:tcW w:w="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102.9</w:t>
            </w:r>
          </w:p>
        </w:tc>
        <w:tc>
          <w:tcPr>
            <w:tcW w:w="41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kern w:val="2"/>
                <w:sz w:val="21"/>
                <w:szCs w:val="21"/>
                <w:lang w:val="en-US" w:eastAsia="zh-CN" w:bidi="ar-SA"/>
              </w:rPr>
              <w:t>E</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w:t>
            </w:r>
          </w:p>
        </w:tc>
        <w:tc>
          <w:tcPr>
            <w:tcW w:w="56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blHeader/>
          <w:jc w:val="center"/>
        </w:trPr>
        <w:tc>
          <w:tcPr>
            <w:tcW w:w="600" w:type="pct"/>
            <w:vMerge w:val="continue"/>
            <w:tcBorders>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cs="Times New Roman"/>
                <w:color w:val="000000"/>
                <w:szCs w:val="21"/>
              </w:rPr>
            </w:pPr>
          </w:p>
        </w:tc>
        <w:tc>
          <w:tcPr>
            <w:tcW w:w="53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10:18</w:t>
            </w:r>
          </w:p>
        </w:tc>
        <w:tc>
          <w:tcPr>
            <w:tcW w:w="471"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-2.2</w:t>
            </w:r>
          </w:p>
        </w:tc>
        <w:tc>
          <w:tcPr>
            <w:tcW w:w="53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51</w:t>
            </w:r>
          </w:p>
        </w:tc>
        <w:tc>
          <w:tcPr>
            <w:tcW w:w="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102.9</w:t>
            </w:r>
          </w:p>
        </w:tc>
        <w:tc>
          <w:tcPr>
            <w:tcW w:w="41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kern w:val="2"/>
                <w:sz w:val="21"/>
                <w:szCs w:val="21"/>
                <w:lang w:val="en-US" w:eastAsia="zh-CN" w:bidi="ar-SA"/>
              </w:rPr>
              <w:t>E</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6</w:t>
            </w:r>
          </w:p>
        </w:tc>
        <w:tc>
          <w:tcPr>
            <w:tcW w:w="4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w:t>
            </w:r>
          </w:p>
        </w:tc>
        <w:tc>
          <w:tcPr>
            <w:tcW w:w="56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多云</w:t>
            </w:r>
          </w:p>
        </w:tc>
      </w:tr>
    </w:tbl>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9.2.1.3厂界噪声</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该项目的厂界噪声监测数据见表9-</w:t>
      </w:r>
      <w:r>
        <w:rPr>
          <w:rFonts w:hint="default" w:ascii="Times New Roman" w:hAnsi="Times New Roman" w:eastAsia="宋体" w:cs="Times New Roman"/>
          <w:color w:val="000000"/>
          <w:sz w:val="24"/>
          <w:szCs w:val="28"/>
          <w:lang w:val="en-US" w:eastAsia="zh-CN"/>
        </w:rPr>
        <w:t>4</w:t>
      </w:r>
      <w:r>
        <w:rPr>
          <w:rFonts w:hint="default" w:ascii="Times New Roman" w:hAnsi="Times New Roman" w:eastAsia="宋体" w:cs="Times New Roman"/>
          <w:color w:val="000000"/>
          <w:sz w:val="24"/>
          <w:szCs w:val="28"/>
        </w:rPr>
        <w:t>：</w:t>
      </w:r>
    </w:p>
    <w:p>
      <w:pPr>
        <w:pStyle w:val="9"/>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表9-</w:t>
      </w:r>
      <w:r>
        <w:rPr>
          <w:rFonts w:hint="default"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rPr>
        <w:t xml:space="preserve">  噪声监测结果</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1817"/>
        <w:gridCol w:w="1817"/>
        <w:gridCol w:w="181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999" w:type="pct"/>
            <w:noWrap w:val="0"/>
            <w:vAlign w:val="center"/>
          </w:tcPr>
          <w:p>
            <w:pPr>
              <w:tabs>
                <w:tab w:val="center" w:pos="1002"/>
                <w:tab w:val="right" w:pos="1885"/>
              </w:tabs>
              <w:adjustRightInd w:val="0"/>
              <w:snapToGrid w:val="0"/>
              <w:spacing w:line="360" w:lineRule="exact"/>
              <w:jc w:val="center"/>
              <w:rPr>
                <w:rFonts w:hint="default" w:ascii="Times New Roman" w:hAnsi="Times New Roman" w:eastAsia="宋体" w:cs="Times New Roman"/>
                <w:kern w:val="0"/>
              </w:rPr>
            </w:pPr>
            <w:r>
              <w:rPr>
                <w:rFonts w:hint="default" w:ascii="Times New Roman" w:hAnsi="Times New Roman" w:eastAsia="宋体" w:cs="Times New Roman"/>
                <w:kern w:val="0"/>
                <w:highlight w:val="none"/>
              </w:rPr>
              <w:t>监测日期</w:t>
            </w:r>
          </w:p>
        </w:tc>
        <w:tc>
          <w:tcPr>
            <w:tcW w:w="999" w:type="pct"/>
            <w:noWrap w:val="0"/>
            <w:vAlign w:val="center"/>
          </w:tcPr>
          <w:p>
            <w:pPr>
              <w:adjustRightInd w:val="0"/>
              <w:snapToGrid w:val="0"/>
              <w:spacing w:line="360" w:lineRule="exact"/>
              <w:jc w:val="center"/>
              <w:rPr>
                <w:rFonts w:hint="default" w:ascii="Times New Roman" w:hAnsi="Times New Roman" w:eastAsia="宋体" w:cs="Times New Roman"/>
                <w:kern w:val="0"/>
              </w:rPr>
            </w:pPr>
            <w:r>
              <w:rPr>
                <w:rFonts w:hint="default" w:ascii="Times New Roman" w:hAnsi="Times New Roman" w:eastAsia="宋体" w:cs="Times New Roman"/>
                <w:kern w:val="0"/>
              </w:rPr>
              <w:t>昼间气象参数</w:t>
            </w:r>
          </w:p>
        </w:tc>
        <w:tc>
          <w:tcPr>
            <w:tcW w:w="999" w:type="pct"/>
            <w:noWrap w:val="0"/>
            <w:vAlign w:val="center"/>
          </w:tcPr>
          <w:p>
            <w:pPr>
              <w:adjustRightInd w:val="0"/>
              <w:snapToGrid w:val="0"/>
              <w:spacing w:line="360" w:lineRule="exact"/>
              <w:jc w:val="center"/>
              <w:rPr>
                <w:rFonts w:hint="default" w:ascii="Times New Roman" w:hAnsi="Times New Roman" w:eastAsia="宋体" w:cs="Times New Roman"/>
                <w:kern w:val="0"/>
              </w:rPr>
            </w:pPr>
            <w:r>
              <w:rPr>
                <w:rFonts w:hint="default" w:ascii="Times New Roman" w:hAnsi="Times New Roman" w:eastAsia="宋体" w:cs="Times New Roman"/>
                <w:kern w:val="0"/>
              </w:rPr>
              <w:t>监测点位</w:t>
            </w:r>
          </w:p>
        </w:tc>
        <w:tc>
          <w:tcPr>
            <w:tcW w:w="1000" w:type="pct"/>
            <w:noWrap w:val="0"/>
            <w:vAlign w:val="center"/>
          </w:tcPr>
          <w:p>
            <w:pPr>
              <w:widowControl/>
              <w:adjustRightInd w:val="0"/>
              <w:snapToGrid w:val="0"/>
              <w:spacing w:line="360" w:lineRule="exact"/>
              <w:jc w:val="center"/>
              <w:rPr>
                <w:rFonts w:hint="default" w:ascii="Times New Roman" w:hAnsi="Times New Roman" w:eastAsia="宋体" w:cs="Times New Roman"/>
                <w:kern w:val="0"/>
              </w:rPr>
            </w:pPr>
            <w:r>
              <w:rPr>
                <w:rFonts w:hint="default" w:ascii="Times New Roman" w:hAnsi="Times New Roman" w:eastAsia="宋体" w:cs="Times New Roman"/>
              </w:rPr>
              <w:t>昼间</w:t>
            </w:r>
            <w:r>
              <w:rPr>
                <w:rFonts w:hint="default" w:ascii="Times New Roman" w:hAnsi="Times New Roman" w:eastAsia="宋体" w:cs="Times New Roman"/>
                <w:kern w:val="0"/>
              </w:rPr>
              <w:t>监测时间</w:t>
            </w:r>
          </w:p>
        </w:tc>
        <w:tc>
          <w:tcPr>
            <w:tcW w:w="1001" w:type="pct"/>
            <w:noWrap w:val="0"/>
            <w:vAlign w:val="center"/>
          </w:tcPr>
          <w:p>
            <w:pPr>
              <w:widowControl/>
              <w:adjustRightInd w:val="0"/>
              <w:snapToGrid w:val="0"/>
              <w:spacing w:line="360" w:lineRule="exact"/>
              <w:jc w:val="center"/>
              <w:rPr>
                <w:rFonts w:hint="default" w:ascii="Times New Roman" w:hAnsi="Times New Roman" w:eastAsia="宋体" w:cs="Times New Roman"/>
                <w:kern w:val="0"/>
              </w:rPr>
            </w:pPr>
            <w:r>
              <w:rPr>
                <w:rFonts w:hint="default" w:ascii="Times New Roman" w:hAnsi="Times New Roman" w:eastAsia="宋体" w:cs="Times New Roman"/>
                <w:kern w:val="0"/>
              </w:rPr>
              <w:t>昼间监测结果dB(A)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99" w:type="pct"/>
            <w:vMerge w:val="restart"/>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lang w:val="en-US" w:eastAsia="zh-CN" w:bidi="ar-SA"/>
              </w:rPr>
              <w:t>2023.12.17</w:t>
            </w:r>
          </w:p>
        </w:tc>
        <w:tc>
          <w:tcPr>
            <w:tcW w:w="999" w:type="pct"/>
            <w:vMerge w:val="restart"/>
            <w:noWrap w:val="0"/>
            <w:vAlign w:val="center"/>
          </w:tcPr>
          <w:p>
            <w:pPr>
              <w:adjustRightInd w:val="0"/>
              <w:snapToGrid w:val="0"/>
              <w:spacing w:line="36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lang w:val="en-US" w:eastAsia="zh-CN"/>
              </w:rPr>
              <w:t>晴</w:t>
            </w:r>
            <w:r>
              <w:rPr>
                <w:rFonts w:hint="default" w:ascii="Times New Roman" w:hAnsi="Times New Roman" w:cs="Times New Roman"/>
                <w:color w:val="auto"/>
              </w:rPr>
              <w:t>，平均风速</w:t>
            </w:r>
            <w:r>
              <w:rPr>
                <w:rFonts w:hint="default" w:ascii="Times New Roman" w:hAnsi="Times New Roman" w:cs="Times New Roman"/>
                <w:color w:val="auto"/>
                <w:lang w:val="en-US" w:eastAsia="zh-CN"/>
              </w:rPr>
              <w:t>1.5</w:t>
            </w:r>
            <w:r>
              <w:rPr>
                <w:rFonts w:hint="default" w:ascii="Times New Roman" w:hAnsi="Times New Roman" w:cs="Times New Roman"/>
                <w:color w:val="auto"/>
              </w:rPr>
              <w:t>m/s</w:t>
            </w:r>
          </w:p>
          <w:p>
            <w:pPr>
              <w:adjustRightInd w:val="0"/>
              <w:snapToGrid w:val="0"/>
              <w:spacing w:line="360" w:lineRule="exact"/>
              <w:jc w:val="center"/>
              <w:rPr>
                <w:rFonts w:hint="default" w:ascii="Times New Roman" w:hAnsi="Times New Roman" w:eastAsia="宋体" w:cs="Times New Roman"/>
                <w:szCs w:val="21"/>
                <w:highlight w:val="none"/>
              </w:rPr>
            </w:pPr>
          </w:p>
        </w:tc>
        <w:tc>
          <w:tcPr>
            <w:tcW w:w="999" w:type="pct"/>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东厂界</w:t>
            </w:r>
          </w:p>
        </w:tc>
        <w:tc>
          <w:tcPr>
            <w:tcW w:w="100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11:36</w:t>
            </w:r>
          </w:p>
        </w:tc>
        <w:tc>
          <w:tcPr>
            <w:tcW w:w="1001"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rPr>
            </w:pPr>
          </w:p>
        </w:tc>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highlight w:val="none"/>
              </w:rPr>
            </w:pPr>
          </w:p>
        </w:tc>
        <w:tc>
          <w:tcPr>
            <w:tcW w:w="999" w:type="pct"/>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南厂界</w:t>
            </w:r>
          </w:p>
        </w:tc>
        <w:tc>
          <w:tcPr>
            <w:tcW w:w="100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11:30</w:t>
            </w:r>
          </w:p>
        </w:tc>
        <w:tc>
          <w:tcPr>
            <w:tcW w:w="1001"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rPr>
            </w:pPr>
          </w:p>
        </w:tc>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highlight w:val="none"/>
              </w:rPr>
            </w:pPr>
          </w:p>
        </w:tc>
        <w:tc>
          <w:tcPr>
            <w:tcW w:w="999" w:type="pct"/>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西厂界</w:t>
            </w:r>
          </w:p>
        </w:tc>
        <w:tc>
          <w:tcPr>
            <w:tcW w:w="100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11:23</w:t>
            </w:r>
          </w:p>
        </w:tc>
        <w:tc>
          <w:tcPr>
            <w:tcW w:w="1001"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rPr>
            </w:pPr>
          </w:p>
        </w:tc>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highlight w:val="none"/>
              </w:rPr>
            </w:pPr>
          </w:p>
        </w:tc>
        <w:tc>
          <w:tcPr>
            <w:tcW w:w="999" w:type="pct"/>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北厂界</w:t>
            </w:r>
          </w:p>
        </w:tc>
        <w:tc>
          <w:tcPr>
            <w:tcW w:w="100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11:18</w:t>
            </w:r>
          </w:p>
        </w:tc>
        <w:tc>
          <w:tcPr>
            <w:tcW w:w="1001"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9" w:type="pct"/>
            <w:vMerge w:val="restart"/>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2"/>
                <w:sz w:val="21"/>
                <w:szCs w:val="21"/>
                <w:lang w:val="en-US" w:eastAsia="zh-CN" w:bidi="ar-SA"/>
              </w:rPr>
              <w:t>2023.12.18</w:t>
            </w:r>
          </w:p>
        </w:tc>
        <w:tc>
          <w:tcPr>
            <w:tcW w:w="999" w:type="pct"/>
            <w:vMerge w:val="restart"/>
            <w:noWrap w:val="0"/>
            <w:vAlign w:val="center"/>
          </w:tcPr>
          <w:p>
            <w:pPr>
              <w:adjustRightInd w:val="0"/>
              <w:snapToGrid w:val="0"/>
              <w:spacing w:line="360" w:lineRule="exact"/>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lang w:val="en-US" w:eastAsia="zh-CN"/>
              </w:rPr>
              <w:t>多云</w:t>
            </w:r>
            <w:r>
              <w:rPr>
                <w:rFonts w:hint="default" w:ascii="Times New Roman" w:hAnsi="Times New Roman" w:cs="Times New Roman"/>
                <w:color w:val="auto"/>
              </w:rPr>
              <w:t>，平均风速</w:t>
            </w:r>
            <w:r>
              <w:rPr>
                <w:rFonts w:hint="default" w:ascii="Times New Roman" w:hAnsi="Times New Roman" w:cs="Times New Roman"/>
                <w:color w:val="auto"/>
                <w:lang w:val="en-US" w:eastAsia="zh-CN"/>
              </w:rPr>
              <w:t>1.0</w:t>
            </w:r>
            <w:r>
              <w:rPr>
                <w:rFonts w:hint="default" w:ascii="Times New Roman" w:hAnsi="Times New Roman" w:cs="Times New Roman"/>
                <w:color w:val="auto"/>
              </w:rPr>
              <w:t>m/s</w:t>
            </w:r>
          </w:p>
          <w:p>
            <w:pPr>
              <w:adjustRightInd w:val="0"/>
              <w:snapToGrid w:val="0"/>
              <w:spacing w:line="360" w:lineRule="exact"/>
              <w:jc w:val="center"/>
              <w:rPr>
                <w:rFonts w:hint="default" w:ascii="Times New Roman" w:hAnsi="Times New Roman" w:cs="Times New Roman" w:eastAsiaTheme="minorEastAsia"/>
                <w:color w:val="auto"/>
                <w:kern w:val="2"/>
                <w:sz w:val="21"/>
                <w:szCs w:val="21"/>
                <w:lang w:val="en-US" w:eastAsia="zh-CN" w:bidi="ar-SA"/>
              </w:rPr>
            </w:pPr>
          </w:p>
          <w:p>
            <w:pPr>
              <w:adjustRightInd w:val="0"/>
              <w:snapToGrid w:val="0"/>
              <w:spacing w:line="360" w:lineRule="exact"/>
              <w:jc w:val="center"/>
              <w:rPr>
                <w:rFonts w:hint="default" w:ascii="Times New Roman" w:hAnsi="Times New Roman" w:eastAsia="宋体" w:cs="Times New Roman"/>
                <w:szCs w:val="21"/>
                <w:highlight w:val="none"/>
              </w:rPr>
            </w:pPr>
          </w:p>
        </w:tc>
        <w:tc>
          <w:tcPr>
            <w:tcW w:w="999" w:type="pct"/>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东厂界</w:t>
            </w:r>
          </w:p>
        </w:tc>
        <w:tc>
          <w:tcPr>
            <w:tcW w:w="100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10:50</w:t>
            </w:r>
          </w:p>
        </w:tc>
        <w:tc>
          <w:tcPr>
            <w:tcW w:w="1001"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rPr>
            </w:pPr>
          </w:p>
        </w:tc>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rPr>
            </w:pPr>
          </w:p>
        </w:tc>
        <w:tc>
          <w:tcPr>
            <w:tcW w:w="999" w:type="pct"/>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南厂界</w:t>
            </w:r>
          </w:p>
        </w:tc>
        <w:tc>
          <w:tcPr>
            <w:tcW w:w="100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10:45</w:t>
            </w:r>
          </w:p>
        </w:tc>
        <w:tc>
          <w:tcPr>
            <w:tcW w:w="1001"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rPr>
            </w:pPr>
          </w:p>
        </w:tc>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rPr>
            </w:pPr>
          </w:p>
        </w:tc>
        <w:tc>
          <w:tcPr>
            <w:tcW w:w="999" w:type="pct"/>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西厂界</w:t>
            </w:r>
          </w:p>
        </w:tc>
        <w:tc>
          <w:tcPr>
            <w:tcW w:w="100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10:39</w:t>
            </w:r>
          </w:p>
        </w:tc>
        <w:tc>
          <w:tcPr>
            <w:tcW w:w="1001"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rPr>
            </w:pPr>
          </w:p>
        </w:tc>
        <w:tc>
          <w:tcPr>
            <w:tcW w:w="999" w:type="pct"/>
            <w:vMerge w:val="continue"/>
            <w:noWrap w:val="0"/>
            <w:vAlign w:val="center"/>
          </w:tcPr>
          <w:p>
            <w:pPr>
              <w:adjustRightInd w:val="0"/>
              <w:snapToGrid w:val="0"/>
              <w:spacing w:line="360" w:lineRule="exact"/>
              <w:jc w:val="center"/>
              <w:rPr>
                <w:rFonts w:hint="default" w:ascii="Times New Roman" w:hAnsi="Times New Roman" w:eastAsia="宋体" w:cs="Times New Roman"/>
                <w:szCs w:val="21"/>
              </w:rPr>
            </w:pPr>
          </w:p>
        </w:tc>
        <w:tc>
          <w:tcPr>
            <w:tcW w:w="999" w:type="pct"/>
            <w:noWrap w:val="0"/>
            <w:vAlign w:val="center"/>
          </w:tcPr>
          <w:p>
            <w:pPr>
              <w:adjustRightInd w:val="0"/>
              <w:snapToGrid w:val="0"/>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北厂界</w:t>
            </w:r>
          </w:p>
        </w:tc>
        <w:tc>
          <w:tcPr>
            <w:tcW w:w="100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10:34</w:t>
            </w:r>
          </w:p>
        </w:tc>
        <w:tc>
          <w:tcPr>
            <w:tcW w:w="1001"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58.2</w:t>
            </w:r>
          </w:p>
        </w:tc>
      </w:tr>
    </w:tbl>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根据现场监测期间监测结果：厂界4个噪声监测点，</w:t>
      </w:r>
      <w:bookmarkStart w:id="80" w:name="_Hlk47977373"/>
      <w:r>
        <w:rPr>
          <w:rFonts w:hint="default" w:ascii="Times New Roman" w:hAnsi="Times New Roman" w:eastAsia="宋体" w:cs="Times New Roman"/>
          <w:kern w:val="0"/>
          <w:sz w:val="24"/>
          <w:szCs w:val="21"/>
          <w:highlight w:val="none"/>
        </w:rPr>
        <w:t>昼间噪声值范围为</w:t>
      </w:r>
      <w:r>
        <w:rPr>
          <w:rFonts w:hint="default" w:ascii="Times New Roman" w:hAnsi="Times New Roman" w:eastAsia="宋体" w:cs="Times New Roman"/>
          <w:kern w:val="0"/>
          <w:sz w:val="24"/>
          <w:szCs w:val="21"/>
          <w:lang w:val="en-US" w:eastAsia="zh-CN"/>
        </w:rPr>
        <w:t>5</w:t>
      </w:r>
      <w:r>
        <w:rPr>
          <w:rFonts w:hint="eastAsia" w:cs="Times New Roman"/>
          <w:kern w:val="0"/>
          <w:sz w:val="24"/>
          <w:szCs w:val="21"/>
          <w:lang w:val="en-US" w:eastAsia="zh-CN"/>
        </w:rPr>
        <w:t>3.3</w:t>
      </w:r>
      <w:r>
        <w:rPr>
          <w:rFonts w:hint="default" w:ascii="Times New Roman" w:hAnsi="Times New Roman" w:eastAsia="宋体" w:cs="Times New Roman"/>
          <w:kern w:val="0"/>
          <w:sz w:val="24"/>
          <w:szCs w:val="21"/>
        </w:rPr>
        <w:t>～</w:t>
      </w:r>
      <w:r>
        <w:rPr>
          <w:rFonts w:hint="default" w:ascii="Times New Roman" w:hAnsi="Times New Roman" w:eastAsia="宋体" w:cs="Times New Roman"/>
          <w:kern w:val="0"/>
          <w:sz w:val="24"/>
          <w:szCs w:val="21"/>
          <w:lang w:val="en-US" w:eastAsia="zh-CN"/>
        </w:rPr>
        <w:t>5</w:t>
      </w:r>
      <w:r>
        <w:rPr>
          <w:rFonts w:hint="eastAsia" w:cs="Times New Roman"/>
          <w:kern w:val="0"/>
          <w:sz w:val="24"/>
          <w:szCs w:val="21"/>
          <w:lang w:val="en-US" w:eastAsia="zh-CN"/>
        </w:rPr>
        <w:t>8</w:t>
      </w:r>
      <w:r>
        <w:rPr>
          <w:rFonts w:hint="default" w:ascii="Times New Roman" w:hAnsi="Times New Roman" w:eastAsia="宋体" w:cs="Times New Roman"/>
          <w:kern w:val="0"/>
          <w:sz w:val="24"/>
          <w:szCs w:val="21"/>
          <w:lang w:val="en-US" w:eastAsia="zh-CN"/>
        </w:rPr>
        <w:t>.2</w:t>
      </w:r>
      <w:r>
        <w:rPr>
          <w:rFonts w:hint="default" w:ascii="Times New Roman" w:hAnsi="Times New Roman" w:eastAsia="宋体" w:cs="Times New Roman"/>
          <w:kern w:val="0"/>
          <w:sz w:val="24"/>
          <w:szCs w:val="21"/>
        </w:rPr>
        <w:t>dB(A)，检测结果</w:t>
      </w:r>
      <w:r>
        <w:rPr>
          <w:rFonts w:hint="default" w:ascii="Times New Roman" w:hAnsi="Times New Roman" w:eastAsia="宋体" w:cs="Times New Roman"/>
          <w:kern w:val="0"/>
          <w:sz w:val="24"/>
          <w:szCs w:val="21"/>
          <w:lang w:val="en-US" w:eastAsia="zh-CN"/>
        </w:rPr>
        <w:t>满足</w:t>
      </w:r>
      <w:r>
        <w:rPr>
          <w:rFonts w:hint="default" w:ascii="Times New Roman" w:hAnsi="Times New Roman" w:eastAsia="宋体" w:cs="Times New Roman"/>
          <w:kern w:val="0"/>
          <w:sz w:val="24"/>
          <w:szCs w:val="21"/>
        </w:rPr>
        <w:t>《工业企业厂界环境噪声排放标准》(GB12348-2008)中</w:t>
      </w:r>
      <w:r>
        <w:rPr>
          <w:rFonts w:hint="default" w:ascii="Times New Roman" w:hAnsi="Times New Roman" w:eastAsia="宋体" w:cs="Times New Roman"/>
          <w:kern w:val="0"/>
          <w:sz w:val="24"/>
          <w:szCs w:val="21"/>
          <w:lang w:val="en-US" w:eastAsia="zh-CN"/>
        </w:rPr>
        <w:t>2</w:t>
      </w:r>
      <w:r>
        <w:rPr>
          <w:rFonts w:hint="default" w:ascii="Times New Roman" w:hAnsi="Times New Roman" w:eastAsia="宋体" w:cs="Times New Roman"/>
          <w:kern w:val="0"/>
          <w:sz w:val="24"/>
          <w:szCs w:val="21"/>
        </w:rPr>
        <w:t>类标准限值要求</w:t>
      </w:r>
      <w:r>
        <w:rPr>
          <w:rFonts w:hint="eastAsia" w:cs="Times New Roman"/>
          <w:kern w:val="0"/>
          <w:sz w:val="24"/>
          <w:szCs w:val="21"/>
          <w:lang w:eastAsia="zh-CN"/>
        </w:rPr>
        <w:t>（</w:t>
      </w:r>
      <w:r>
        <w:rPr>
          <w:rFonts w:hint="eastAsia" w:cs="Times New Roman"/>
          <w:kern w:val="0"/>
          <w:sz w:val="24"/>
          <w:szCs w:val="21"/>
          <w:lang w:val="en-US" w:eastAsia="zh-CN"/>
        </w:rPr>
        <w:t>昼间60dB</w:t>
      </w:r>
      <w:r>
        <w:rPr>
          <w:rFonts w:hint="eastAsia" w:cs="Times New Roman"/>
          <w:kern w:val="0"/>
          <w:sz w:val="24"/>
          <w:szCs w:val="21"/>
          <w:lang w:eastAsia="zh-CN"/>
        </w:rPr>
        <w:t>）</w:t>
      </w:r>
      <w:r>
        <w:rPr>
          <w:rFonts w:hint="default" w:ascii="Times New Roman" w:hAnsi="Times New Roman" w:eastAsia="宋体" w:cs="Times New Roman"/>
          <w:kern w:val="0"/>
          <w:sz w:val="24"/>
          <w:szCs w:val="21"/>
        </w:rPr>
        <w:t>。</w:t>
      </w:r>
    </w:p>
    <w:bookmarkEnd w:id="80"/>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9.2.1.4固（液）体废物</w:t>
      </w:r>
    </w:p>
    <w:p>
      <w:pPr>
        <w:pStyle w:val="86"/>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本项目产生的固废主要有</w:t>
      </w:r>
      <w:r>
        <w:rPr>
          <w:rFonts w:hint="default" w:ascii="Times New Roman" w:hAnsi="Times New Roman" w:eastAsia="宋体" w:cs="Times New Roman"/>
          <w:color w:val="auto"/>
          <w:szCs w:val="21"/>
          <w:highlight w:val="none"/>
          <w:lang w:val="en-US" w:eastAsia="zh-CN"/>
        </w:rPr>
        <w:t>废胶桶、废润滑油、废润滑油桶、废活性炭、废玻璃下脚料，PVB胶片边角料、</w:t>
      </w:r>
      <w:r>
        <w:rPr>
          <w:rFonts w:hint="default" w:ascii="Times New Roman" w:hAnsi="Times New Roman" w:eastAsia="宋体" w:cs="Times New Roman"/>
          <w:color w:val="000000"/>
          <w:kern w:val="2"/>
          <w:sz w:val="24"/>
          <w:szCs w:val="22"/>
          <w:lang w:val="en-US" w:eastAsia="zh-CN" w:bidi="ar-SA"/>
        </w:rPr>
        <w:t>玻璃沉渣、</w:t>
      </w:r>
      <w:r>
        <w:rPr>
          <w:rFonts w:hint="default" w:ascii="Times New Roman" w:hAnsi="Times New Roman" w:eastAsia="宋体" w:cs="Times New Roman"/>
          <w:color w:val="auto"/>
          <w:szCs w:val="21"/>
          <w:highlight w:val="none"/>
          <w:lang w:val="en-US" w:eastAsia="zh-CN"/>
        </w:rPr>
        <w:t>废包装箱、废包装袋、废铝条小角料员工生活产生的生活垃圾</w:t>
      </w:r>
      <w:r>
        <w:rPr>
          <w:rFonts w:hint="default" w:ascii="Times New Roman" w:hAnsi="Times New Roman" w:eastAsia="宋体" w:cs="Times New Roman"/>
          <w:bCs/>
          <w:color w:val="000000"/>
          <w:kern w:val="0"/>
        </w:rPr>
        <w:t>。</w:t>
      </w:r>
      <w:r>
        <w:rPr>
          <w:rFonts w:hint="default" w:ascii="Times New Roman" w:hAnsi="Times New Roman" w:eastAsia="宋体" w:cs="Times New Roman"/>
          <w:bCs/>
          <w:color w:val="000000"/>
          <w:kern w:val="0"/>
          <w:lang w:val="en-US" w:eastAsia="zh-CN"/>
        </w:rPr>
        <w:t>废活性炭、废胶、废润滑油、废润滑油桶等危废</w:t>
      </w:r>
      <w:r>
        <w:rPr>
          <w:rFonts w:hint="default" w:ascii="Times New Roman" w:hAnsi="Times New Roman" w:eastAsia="宋体" w:cs="Times New Roman"/>
          <w:bCs/>
          <w:color w:val="000000"/>
          <w:kern w:val="0"/>
        </w:rPr>
        <w:t>定期委托有资质单位处置</w:t>
      </w:r>
      <w:r>
        <w:rPr>
          <w:rFonts w:hint="default" w:ascii="Times New Roman" w:hAnsi="Times New Roman" w:eastAsia="宋体" w:cs="Times New Roman"/>
          <w:bCs/>
          <w:color w:val="000000"/>
          <w:kern w:val="0"/>
          <w:lang w:eastAsia="zh-CN"/>
        </w:rPr>
        <w:t>；</w:t>
      </w:r>
      <w:r>
        <w:rPr>
          <w:rFonts w:hint="default" w:ascii="Times New Roman" w:hAnsi="Times New Roman" w:eastAsia="宋体" w:cs="Times New Roman"/>
          <w:bCs/>
          <w:color w:val="000000"/>
          <w:kern w:val="0"/>
          <w:lang w:val="en-US" w:eastAsia="zh-CN"/>
        </w:rPr>
        <w:t>废胶桶由厂家回收利用；玻璃边角料、玻璃沉渣、碎玻璃渣、不合格品、铝片边角料、PVB胶片边角料满足《一般工业固体废物贮存和填埋污染控制标准》(GB18599-2020）要求外售综合利用；</w:t>
      </w:r>
      <w:r>
        <w:rPr>
          <w:rFonts w:hint="default" w:ascii="Times New Roman" w:hAnsi="Times New Roman" w:eastAsia="宋体" w:cs="Times New Roman"/>
          <w:bCs/>
          <w:color w:val="000000"/>
          <w:kern w:val="0"/>
        </w:rPr>
        <w:t>生活垃圾经垃圾桶收集，由环卫部门</w:t>
      </w:r>
      <w:r>
        <w:rPr>
          <w:rFonts w:hint="default" w:ascii="Times New Roman" w:hAnsi="Times New Roman" w:eastAsia="宋体" w:cs="Times New Roman"/>
          <w:bCs/>
          <w:color w:val="000000"/>
          <w:kern w:val="0"/>
          <w:lang w:val="en-US" w:eastAsia="zh-CN"/>
        </w:rPr>
        <w:t>定期</w:t>
      </w:r>
      <w:r>
        <w:rPr>
          <w:rFonts w:hint="default" w:ascii="Times New Roman" w:hAnsi="Times New Roman" w:eastAsia="宋体" w:cs="Times New Roman"/>
          <w:bCs/>
          <w:color w:val="000000"/>
          <w:kern w:val="0"/>
        </w:rPr>
        <w:t>清运处置</w:t>
      </w:r>
      <w:r>
        <w:rPr>
          <w:rFonts w:hint="default" w:ascii="Times New Roman" w:hAnsi="Times New Roman" w:eastAsia="宋体" w:cs="Times New Roman"/>
          <w:sz w:val="24"/>
          <w:lang w:val="en-US" w:eastAsia="zh-CN"/>
        </w:rPr>
        <w:t>。本项目产生的各项固废均有明确的去向，处置合理，不会对环境造成二次污染。</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9.2.2环保设施去除效率监测结果</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9.2.2.1废水治理设施</w:t>
      </w:r>
    </w:p>
    <w:p>
      <w:pPr>
        <w:pStyle w:val="9"/>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0"/>
        </w:rPr>
        <w:t>本项目产生的生活污水经化粪池预处理后</w:t>
      </w:r>
      <w:r>
        <w:rPr>
          <w:rFonts w:hint="eastAsia" w:ascii="Times New Roman" w:hAnsi="Times New Roman" w:eastAsia="宋体" w:cs="Times New Roman"/>
          <w:color w:val="000000"/>
          <w:sz w:val="24"/>
          <w:szCs w:val="20"/>
          <w:lang w:val="en-US" w:eastAsia="zh-CN"/>
        </w:rPr>
        <w:t>环卫部门定期清运不外排</w:t>
      </w:r>
      <w:r>
        <w:rPr>
          <w:rFonts w:hint="default" w:ascii="Times New Roman" w:hAnsi="Times New Roman" w:eastAsia="宋体" w:cs="Times New Roman"/>
          <w:color w:val="000000"/>
          <w:sz w:val="24"/>
          <w:szCs w:val="20"/>
        </w:rPr>
        <w:t>；生产废水经</w:t>
      </w:r>
      <w:r>
        <w:rPr>
          <w:rFonts w:hint="eastAsia" w:ascii="Times New Roman" w:hAnsi="Times New Roman" w:eastAsia="宋体" w:cs="Times New Roman"/>
          <w:color w:val="000000"/>
          <w:sz w:val="24"/>
          <w:szCs w:val="20"/>
          <w:lang w:val="en-US" w:eastAsia="zh-CN"/>
        </w:rPr>
        <w:t>沉淀池处理后循环使用</w:t>
      </w:r>
      <w:r>
        <w:rPr>
          <w:rFonts w:hint="default" w:ascii="Times New Roman" w:hAnsi="Times New Roman" w:eastAsia="宋体" w:cs="Times New Roman"/>
          <w:color w:val="000000"/>
          <w:sz w:val="24"/>
          <w:szCs w:val="20"/>
        </w:rPr>
        <w:t>，不外排</w:t>
      </w:r>
      <w:r>
        <w:rPr>
          <w:rFonts w:hint="default" w:ascii="Times New Roman" w:hAnsi="Times New Roman" w:eastAsia="宋体" w:cs="Times New Roman"/>
          <w:color w:val="000000"/>
          <w:sz w:val="24"/>
          <w:szCs w:val="20"/>
          <w:lang w:val="en-US" w:eastAsia="zh-CN"/>
        </w:rPr>
        <w:t>。</w:t>
      </w:r>
      <w:r>
        <w:rPr>
          <w:rFonts w:hint="default" w:ascii="Times New Roman" w:hAnsi="Times New Roman" w:eastAsia="宋体" w:cs="Times New Roman"/>
          <w:color w:val="000000"/>
          <w:sz w:val="24"/>
          <w:szCs w:val="20"/>
        </w:rPr>
        <w:t>另外，项目厂区化粪池进行了防渗漏处理，防止生活污水渗入地下而影响到本区域地下水环境</w:t>
      </w:r>
      <w:r>
        <w:rPr>
          <w:rFonts w:hint="default" w:ascii="Times New Roman" w:hAnsi="Times New Roman" w:eastAsia="宋体" w:cs="Times New Roman"/>
          <w:sz w:val="24"/>
          <w:szCs w:val="28"/>
        </w:rPr>
        <w:t>。污水处理措施有效可行、经济实用。</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9.2.2.2废气治理设施</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根据监测结果可知：</w:t>
      </w:r>
      <w:r>
        <w:rPr>
          <w:rFonts w:hint="default" w:ascii="Times New Roman" w:hAnsi="Times New Roman" w:eastAsia="宋体" w:cs="Times New Roman"/>
          <w:color w:val="auto"/>
          <w:sz w:val="24"/>
          <w:szCs w:val="24"/>
          <w:lang w:val="en-US" w:eastAsia="zh-CN"/>
        </w:rPr>
        <w:t>本项目产生废气包括涂胶、封胶、夹胶合片工序产生的VOCs由集气罩+二级活性炭吸附装置处理后通过15米高排气筒DA001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lang w:val="en-US" w:eastAsia="zh-CN"/>
        </w:rPr>
        <w:t>二级活性碳废气处理系统废气处理效率为</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lang w:val="en-US" w:eastAsia="zh-CN"/>
        </w:rPr>
        <w:t>以上。从监测结果可以看出，污染物排放浓度满足相关标准要求</w:t>
      </w:r>
      <w:r>
        <w:rPr>
          <w:rFonts w:hint="default" w:ascii="Times New Roman" w:hAnsi="Times New Roman" w:eastAsia="宋体" w:cs="Times New Roman"/>
          <w:sz w:val="24"/>
          <w:szCs w:val="24"/>
        </w:rPr>
        <w:t>。</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9.2.2.3厂界噪声治理设施</w:t>
      </w:r>
    </w:p>
    <w:p>
      <w:pPr>
        <w:pStyle w:val="9"/>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该项目的噪声源治理采取集中布置、基础减振、建筑物隔音和加强管理等措施，这些降噪措施在技术上是成熟的，在经济上是合理的。</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9.2.2.4固体废物治理设施</w:t>
      </w:r>
    </w:p>
    <w:p>
      <w:pPr>
        <w:autoSpaceDE w:val="0"/>
        <w:autoSpaceDN w:val="0"/>
        <w:adjustRightInd w:val="0"/>
        <w:spacing w:line="348" w:lineRule="auto"/>
        <w:ind w:firstLine="477" w:firstLineChars="199"/>
        <w:rPr>
          <w:rFonts w:hint="default" w:ascii="Times New Roman" w:hAnsi="Times New Roman" w:eastAsia="宋体" w:cs="Times New Roman"/>
          <w:sz w:val="24"/>
          <w:lang w:val="en-US" w:eastAsia="zh-CN"/>
        </w:rPr>
      </w:pPr>
      <w:r>
        <w:rPr>
          <w:rFonts w:hint="default" w:ascii="Times New Roman" w:hAnsi="Times New Roman" w:eastAsia="宋体" w:cs="Times New Roman"/>
          <w:sz w:val="24"/>
          <w:szCs w:val="24"/>
        </w:rPr>
        <w:t>该项目不涉及固（液）体废物监测项目</w:t>
      </w:r>
      <w:bookmarkStart w:id="81" w:name="_Hlk59628348"/>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废活性炭、废胶、废润滑油、废润滑油桶等危废</w:t>
      </w:r>
      <w:r>
        <w:rPr>
          <w:rFonts w:hint="default" w:ascii="Times New Roman" w:hAnsi="Times New Roman" w:eastAsia="宋体" w:cs="Times New Roman"/>
          <w:sz w:val="24"/>
          <w:szCs w:val="24"/>
        </w:rPr>
        <w:t>定期委托有资质单位处置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废胶桶由厂家回收利用；玻璃边角料、玻璃沉渣、碎玻璃渣、不合格品、铝片边角料、PVB胶片边角料外售综合利用；</w:t>
      </w:r>
      <w:r>
        <w:rPr>
          <w:rFonts w:hint="default" w:ascii="Times New Roman" w:hAnsi="Times New Roman" w:eastAsia="宋体" w:cs="Times New Roman"/>
          <w:sz w:val="24"/>
          <w:szCs w:val="24"/>
        </w:rPr>
        <w:t>生活垃圾经垃圾桶收集，由环卫部门</w:t>
      </w:r>
      <w:r>
        <w:rPr>
          <w:rFonts w:hint="default" w:ascii="Times New Roman" w:hAnsi="Times New Roman" w:eastAsia="宋体" w:cs="Times New Roman"/>
          <w:sz w:val="24"/>
          <w:szCs w:val="24"/>
          <w:lang w:val="en-US" w:eastAsia="zh-CN"/>
        </w:rPr>
        <w:t>定期</w:t>
      </w:r>
      <w:r>
        <w:rPr>
          <w:rFonts w:hint="default" w:ascii="Times New Roman" w:hAnsi="Times New Roman" w:eastAsia="宋体" w:cs="Times New Roman"/>
          <w:sz w:val="24"/>
          <w:szCs w:val="24"/>
        </w:rPr>
        <w:t>清运处置</w:t>
      </w:r>
    </w:p>
    <w:bookmarkEnd w:id="81"/>
    <w:p>
      <w:pPr>
        <w:adjustRightInd w:val="0"/>
        <w:snapToGrid w:val="0"/>
        <w:spacing w:line="360" w:lineRule="auto"/>
        <w:ind w:firstLine="562" w:firstLineChars="200"/>
        <w:rPr>
          <w:rFonts w:hint="default" w:ascii="Times New Roman" w:hAnsi="Times New Roman" w:eastAsia="宋体" w:cs="Times New Roman"/>
          <w:b/>
          <w:sz w:val="28"/>
          <w:szCs w:val="32"/>
        </w:rPr>
      </w:pPr>
      <w:r>
        <w:rPr>
          <w:rFonts w:hint="default" w:ascii="Times New Roman" w:hAnsi="Times New Roman" w:eastAsia="宋体" w:cs="Times New Roman"/>
          <w:b/>
          <w:sz w:val="28"/>
          <w:szCs w:val="32"/>
        </w:rPr>
        <w:t>9.</w:t>
      </w:r>
      <w:r>
        <w:rPr>
          <w:rFonts w:hint="default" w:ascii="Times New Roman" w:hAnsi="Times New Roman" w:eastAsia="宋体" w:cs="Times New Roman"/>
          <w:b/>
          <w:sz w:val="28"/>
          <w:szCs w:val="32"/>
          <w:lang w:val="en-US" w:eastAsia="zh-CN"/>
        </w:rPr>
        <w:t>4</w:t>
      </w:r>
      <w:r>
        <w:rPr>
          <w:rFonts w:hint="default" w:ascii="Times New Roman" w:hAnsi="Times New Roman" w:eastAsia="宋体" w:cs="Times New Roman"/>
          <w:b/>
          <w:sz w:val="28"/>
          <w:szCs w:val="32"/>
        </w:rPr>
        <w:t>工程建设对环境的影响</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在各项环保措施落实的情况下，该项目外排污染物能够达到相应标准的要求，对周围环境影响很小。</w:t>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82" w:name="_Toc27920"/>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10、验收监测结论</w:t>
      </w:r>
      <w:bookmarkEnd w:id="82"/>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83" w:name="_Toc21870"/>
      <w:r>
        <w:rPr>
          <w:rFonts w:hint="default" w:ascii="Times New Roman" w:hAnsi="Times New Roman" w:eastAsia="宋体" w:cs="Times New Roman"/>
          <w:b/>
          <w:sz w:val="28"/>
          <w:szCs w:val="32"/>
        </w:rPr>
        <w:t>10.1环境保护设施调试效果</w:t>
      </w:r>
      <w:bookmarkEnd w:id="83"/>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该项目按照国家建设项目环境保护法律法规办理了环评手续，环评及批复中提出的污染防治措施和各项要求基本落实到位，验收监测期间各项环保设施运行稳定正常。本次对</w:t>
      </w:r>
      <w:r>
        <w:rPr>
          <w:rFonts w:hint="eastAsia" w:cs="Times New Roman"/>
          <w:color w:val="000000"/>
          <w:sz w:val="24"/>
          <w:szCs w:val="28"/>
          <w:lang w:eastAsia="zh-CN"/>
        </w:rPr>
        <w:t>山东省朗荣玻璃科技股份有限公司</w:t>
      </w:r>
      <w:r>
        <w:rPr>
          <w:rFonts w:hint="default" w:ascii="Times New Roman" w:hAnsi="Times New Roman" w:eastAsia="宋体" w:cs="Times New Roman"/>
          <w:color w:val="000000"/>
          <w:sz w:val="24"/>
          <w:szCs w:val="28"/>
          <w:lang w:eastAsia="zh-CN"/>
        </w:rPr>
        <w:t>钢化玻璃、夹层玻璃、中空玻璃生产项目</w:t>
      </w:r>
      <w:r>
        <w:rPr>
          <w:rFonts w:hint="default" w:ascii="Times New Roman" w:hAnsi="Times New Roman" w:eastAsia="宋体" w:cs="Times New Roman"/>
          <w:color w:val="000000"/>
          <w:sz w:val="24"/>
          <w:szCs w:val="28"/>
        </w:rPr>
        <w:t>建设</w:t>
      </w:r>
      <w:r>
        <w:rPr>
          <w:rFonts w:hint="default" w:ascii="Times New Roman" w:hAnsi="Times New Roman" w:eastAsia="宋体" w:cs="Times New Roman"/>
          <w:color w:val="000000"/>
          <w:sz w:val="24"/>
          <w:szCs w:val="28"/>
          <w:lang w:eastAsia="zh-CN"/>
        </w:rPr>
        <w:t>的</w:t>
      </w:r>
      <w:r>
        <w:rPr>
          <w:rFonts w:hint="default" w:ascii="Times New Roman" w:hAnsi="Times New Roman" w:eastAsia="宋体" w:cs="Times New Roman"/>
          <w:color w:val="000000"/>
          <w:sz w:val="24"/>
          <w:szCs w:val="28"/>
          <w:lang w:val="en-US" w:eastAsia="zh-CN"/>
        </w:rPr>
        <w:t>用于生产钢化玻璃、夹层玻璃、中空玻璃的生产设备包括</w:t>
      </w:r>
      <w:r>
        <w:rPr>
          <w:rFonts w:hint="default" w:ascii="Times New Roman" w:hAnsi="Times New Roman" w:eastAsia="宋体" w:cs="Times New Roman"/>
          <w:color w:val="auto"/>
          <w:kern w:val="2"/>
          <w:sz w:val="24"/>
          <w:szCs w:val="22"/>
          <w:highlight w:val="none"/>
          <w:lang w:val="en-US" w:eastAsia="zh-CN" w:bidi="ar-SA"/>
        </w:rPr>
        <w:t>高速玻璃清洗机、空压机、环保水处理设备、上片机、下片机、磨边机、朝阳全自动玻璃水切机、奥拓福水切割机、钢化炉、抛光机</w:t>
      </w:r>
      <w:r>
        <w:rPr>
          <w:rFonts w:hint="eastAsia" w:ascii="Times New Roman" w:hAnsi="Times New Roman" w:eastAsia="宋体" w:cs="Times New Roman"/>
          <w:color w:val="auto"/>
          <w:kern w:val="2"/>
          <w:sz w:val="24"/>
          <w:szCs w:val="22"/>
          <w:highlight w:val="none"/>
          <w:lang w:val="en-US" w:eastAsia="zh-CN" w:bidi="ar-SA"/>
        </w:rPr>
        <w:t>、夹胶玻璃生产线、中空玻璃生产线</w:t>
      </w:r>
      <w:r>
        <w:rPr>
          <w:rFonts w:hint="default" w:ascii="Times New Roman" w:hAnsi="Times New Roman" w:eastAsia="宋体" w:cs="Times New Roman"/>
          <w:color w:val="000000"/>
          <w:sz w:val="24"/>
          <w:szCs w:val="28"/>
          <w:lang w:val="en-US" w:eastAsia="zh-CN"/>
        </w:rPr>
        <w:t>以及与生产配套的供辅工程和环保设备</w:t>
      </w:r>
      <w:r>
        <w:rPr>
          <w:rFonts w:hint="default" w:ascii="Times New Roman" w:hAnsi="Times New Roman" w:eastAsia="宋体" w:cs="Times New Roman"/>
          <w:sz w:val="24"/>
          <w:szCs w:val="24"/>
        </w:rPr>
        <w:t>等</w:t>
      </w:r>
      <w:r>
        <w:rPr>
          <w:rFonts w:hint="default" w:ascii="Times New Roman" w:hAnsi="Times New Roman" w:eastAsia="宋体" w:cs="Times New Roman"/>
          <w:color w:val="000000"/>
          <w:sz w:val="24"/>
          <w:szCs w:val="28"/>
        </w:rPr>
        <w:t>验收结论如下：</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10.1.1有组织废气</w:t>
      </w:r>
    </w:p>
    <w:p>
      <w:pPr>
        <w:pStyle w:val="9"/>
        <w:spacing w:after="0" w:line="360" w:lineRule="auto"/>
        <w:ind w:left="0"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color w:val="000000"/>
          <w:sz w:val="24"/>
          <w:szCs w:val="28"/>
        </w:rPr>
        <w:t>由监测结果表明，</w:t>
      </w:r>
      <w:r>
        <w:rPr>
          <w:rFonts w:hint="default" w:ascii="Times New Roman" w:hAnsi="Times New Roman" w:eastAsia="宋体" w:cs="Times New Roman"/>
          <w:color w:val="000000"/>
          <w:sz w:val="24"/>
          <w:szCs w:val="28"/>
          <w:lang w:val="en-US" w:eastAsia="zh-CN"/>
        </w:rPr>
        <w:t>验收监测期间，废气有组织污染物VOCs的最大排放速率0.012kg/h、最高排放浓度为1.09mg/m</w:t>
      </w:r>
      <w:r>
        <w:rPr>
          <w:rFonts w:hint="default" w:ascii="Times New Roman" w:hAnsi="Times New Roman" w:eastAsia="宋体" w:cs="Times New Roman"/>
          <w:color w:val="000000"/>
          <w:sz w:val="24"/>
          <w:szCs w:val="28"/>
          <w:vertAlign w:val="superscript"/>
          <w:lang w:val="en-US" w:eastAsia="zh-CN"/>
        </w:rPr>
        <w:t>3</w:t>
      </w:r>
      <w:r>
        <w:rPr>
          <w:rFonts w:hint="default" w:ascii="Times New Roman" w:hAnsi="Times New Roman" w:eastAsia="宋体" w:cs="Times New Roman"/>
          <w:color w:val="000000"/>
          <w:sz w:val="24"/>
          <w:szCs w:val="28"/>
          <w:lang w:val="en-US" w:eastAsia="zh-CN"/>
        </w:rPr>
        <w:t>，排放浓度满足</w:t>
      </w:r>
      <w:r>
        <w:rPr>
          <w:rFonts w:hint="default" w:ascii="Times New Roman" w:hAnsi="Times New Roman" w:eastAsia="宋体" w:cs="Times New Roman"/>
          <w:color w:val="000000"/>
          <w:sz w:val="24"/>
          <w:szCs w:val="28"/>
        </w:rPr>
        <w:t>山东省《挥发性有机物排放标准 第7部分：其他行业》(DB37/ 2801.7—2019)表1</w:t>
      </w:r>
      <w:r>
        <w:rPr>
          <w:rFonts w:hint="eastAsia" w:cs="Times New Roman"/>
          <w:color w:val="000000"/>
          <w:sz w:val="24"/>
          <w:szCs w:val="28"/>
          <w:lang w:val="en-US" w:eastAsia="zh-CN"/>
        </w:rPr>
        <w:t>非重点</w:t>
      </w:r>
      <w:r>
        <w:rPr>
          <w:rFonts w:hint="default" w:ascii="Times New Roman" w:hAnsi="Times New Roman" w:eastAsia="宋体" w:cs="Times New Roman"/>
          <w:color w:val="000000"/>
          <w:sz w:val="24"/>
          <w:szCs w:val="28"/>
        </w:rPr>
        <w:t>行业对应限值(VOCs最高允许排放浓度≤</w:t>
      </w:r>
      <w:r>
        <w:rPr>
          <w:rFonts w:hint="eastAsia" w:cs="Times New Roman"/>
          <w:color w:val="000000"/>
          <w:sz w:val="24"/>
          <w:szCs w:val="28"/>
          <w:lang w:val="en-US" w:eastAsia="zh-CN"/>
        </w:rPr>
        <w:t>6</w:t>
      </w:r>
      <w:r>
        <w:rPr>
          <w:rFonts w:hint="default" w:ascii="Times New Roman" w:hAnsi="Times New Roman" w:eastAsia="宋体" w:cs="Times New Roman"/>
          <w:color w:val="000000"/>
          <w:sz w:val="24"/>
          <w:szCs w:val="28"/>
        </w:rPr>
        <w:t>0mg/m</w:t>
      </w:r>
      <w:r>
        <w:rPr>
          <w:rFonts w:hint="default" w:ascii="Times New Roman" w:hAnsi="Times New Roman" w:eastAsia="宋体" w:cs="Times New Roman"/>
          <w:color w:val="000000"/>
          <w:sz w:val="24"/>
          <w:szCs w:val="28"/>
          <w:vertAlign w:val="superscript"/>
        </w:rPr>
        <w:t>3</w:t>
      </w:r>
      <w:r>
        <w:rPr>
          <w:rFonts w:hint="default" w:ascii="Times New Roman" w:hAnsi="Times New Roman" w:eastAsia="宋体" w:cs="Times New Roman"/>
          <w:color w:val="000000"/>
          <w:sz w:val="24"/>
          <w:szCs w:val="28"/>
        </w:rPr>
        <w:t>，最高排放速率≤3.0kg/h(15m))</w:t>
      </w:r>
      <w:r>
        <w:rPr>
          <w:rFonts w:hint="default" w:ascii="Times New Roman" w:hAnsi="Times New Roman" w:eastAsia="宋体" w:cs="Times New Roman"/>
          <w:color w:val="000000"/>
          <w:sz w:val="24"/>
          <w:szCs w:val="28"/>
          <w:lang w:val="en-US" w:eastAsia="zh-CN"/>
        </w:rPr>
        <w:t>；</w:t>
      </w:r>
      <w:r>
        <w:rPr>
          <w:rFonts w:hint="default" w:ascii="Times New Roman" w:hAnsi="Times New Roman" w:eastAsia="宋体" w:cs="Times New Roman"/>
          <w:bCs/>
          <w:sz w:val="24"/>
          <w:lang w:eastAsia="zh-CN"/>
        </w:rPr>
        <w:t>。</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10.1.2无组织废气</w:t>
      </w:r>
    </w:p>
    <w:p>
      <w:pPr>
        <w:pStyle w:val="51"/>
        <w:spacing w:line="360" w:lineRule="auto"/>
        <w:ind w:firstLine="480" w:firstLineChars="200"/>
        <w:jc w:val="left"/>
        <w:rPr>
          <w:rFonts w:hint="default" w:ascii="Times New Roman" w:hAnsi="Times New Roman" w:eastAsia="宋体" w:cs="Times New Roman"/>
          <w:kern w:val="2"/>
          <w:sz w:val="24"/>
          <w:szCs w:val="20"/>
          <w:vertAlign w:val="superscript"/>
          <w:lang w:val="en-US" w:eastAsia="zh-CN" w:bidi="ar-SA"/>
        </w:rPr>
      </w:pPr>
      <w:r>
        <w:rPr>
          <w:rFonts w:hint="eastAsia" w:ascii="Times New Roman" w:hAnsi="Times New Roman" w:eastAsia="宋体" w:cs="Times New Roman"/>
          <w:color w:val="000000"/>
          <w:sz w:val="24"/>
          <w:szCs w:val="32"/>
          <w:lang w:val="en-US" w:eastAsia="zh-CN"/>
        </w:rPr>
        <w:t>验收期间，</w:t>
      </w:r>
      <w:r>
        <w:rPr>
          <w:rFonts w:hint="default" w:ascii="Times New Roman" w:hAnsi="Times New Roman" w:eastAsia="宋体" w:cs="Times New Roman"/>
          <w:color w:val="000000"/>
          <w:sz w:val="24"/>
          <w:szCs w:val="32"/>
          <w:lang w:val="en-US" w:eastAsia="zh-CN"/>
        </w:rPr>
        <w:t>项目厂界无组织</w:t>
      </w:r>
      <w:r>
        <w:rPr>
          <w:rFonts w:hint="default" w:ascii="Times New Roman" w:hAnsi="Times New Roman" w:eastAsia="宋体" w:cs="Times New Roman"/>
          <w:color w:val="000000"/>
          <w:sz w:val="24"/>
          <w:szCs w:val="32"/>
        </w:rPr>
        <w:t>VOCs排放浓度</w:t>
      </w:r>
      <w:r>
        <w:rPr>
          <w:rFonts w:hint="eastAsia" w:ascii="Times New Roman" w:hAnsi="Times New Roman" w:eastAsia="宋体" w:cs="Times New Roman"/>
          <w:color w:val="000000"/>
          <w:sz w:val="24"/>
          <w:szCs w:val="32"/>
          <w:lang w:val="en-US" w:eastAsia="zh-CN"/>
        </w:rPr>
        <w:t>满足</w:t>
      </w:r>
      <w:r>
        <w:rPr>
          <w:rFonts w:hint="default" w:ascii="Times New Roman" w:hAnsi="Times New Roman" w:eastAsia="宋体" w:cs="Times New Roman"/>
          <w:color w:val="000000"/>
          <w:sz w:val="24"/>
          <w:szCs w:val="32"/>
        </w:rPr>
        <w:t>山东省《挥发性有机物排放标准 第7部分：其他行业》(DB37/ 2801.7—2019)表2厂界监控点浓度限值(VOCs≤2.0mg/m</w:t>
      </w:r>
      <w:r>
        <w:rPr>
          <w:rFonts w:hint="default" w:ascii="Times New Roman" w:hAnsi="Times New Roman" w:eastAsia="宋体" w:cs="Times New Roman"/>
          <w:color w:val="000000"/>
          <w:sz w:val="24"/>
          <w:szCs w:val="32"/>
          <w:vertAlign w:val="superscript"/>
        </w:rPr>
        <w:t>3</w:t>
      </w:r>
      <w:r>
        <w:rPr>
          <w:rFonts w:hint="default" w:ascii="Times New Roman" w:hAnsi="Times New Roman" w:eastAsia="宋体" w:cs="Times New Roman"/>
          <w:color w:val="000000"/>
          <w:sz w:val="24"/>
          <w:szCs w:val="32"/>
        </w:rPr>
        <w:t>)</w:t>
      </w:r>
      <w:r>
        <w:rPr>
          <w:rFonts w:hint="eastAsia" w:ascii="Times New Roman" w:hAnsi="Times New Roman" w:eastAsia="宋体" w:cs="Times New Roman"/>
          <w:color w:val="000000"/>
          <w:sz w:val="24"/>
          <w:szCs w:val="32"/>
          <w:lang w:eastAsia="zh-CN"/>
        </w:rPr>
        <w:t>，</w:t>
      </w:r>
      <w:r>
        <w:rPr>
          <w:rFonts w:hint="default" w:ascii="Times New Roman" w:hAnsi="Times New Roman" w:eastAsia="宋体" w:cs="Times New Roman"/>
          <w:bCs/>
          <w:sz w:val="24"/>
          <w:lang w:eastAsia="zh-CN"/>
        </w:rPr>
        <w:t>。</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10.1.3噪声</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根据现场监测期间监测结果：厂界4个噪声监测点，</w:t>
      </w:r>
      <w:r>
        <w:rPr>
          <w:rFonts w:hint="default" w:ascii="Times New Roman" w:hAnsi="Times New Roman" w:eastAsia="宋体" w:cs="Times New Roman"/>
          <w:kern w:val="0"/>
          <w:sz w:val="24"/>
          <w:szCs w:val="21"/>
        </w:rPr>
        <w:t>昼间噪</w:t>
      </w:r>
      <w:r>
        <w:rPr>
          <w:rFonts w:hint="default" w:ascii="Times New Roman" w:hAnsi="Times New Roman" w:eastAsia="宋体" w:cs="Times New Roman"/>
          <w:kern w:val="0"/>
          <w:sz w:val="24"/>
          <w:szCs w:val="21"/>
          <w:highlight w:val="none"/>
        </w:rPr>
        <w:t>声值范围为为</w:t>
      </w:r>
      <w:r>
        <w:rPr>
          <w:rFonts w:hint="default" w:ascii="Times New Roman" w:hAnsi="Times New Roman" w:eastAsia="宋体" w:cs="Times New Roman"/>
          <w:kern w:val="0"/>
          <w:sz w:val="24"/>
          <w:szCs w:val="21"/>
          <w:lang w:val="en-US" w:eastAsia="zh-CN"/>
        </w:rPr>
        <w:t>5</w:t>
      </w:r>
      <w:r>
        <w:rPr>
          <w:rFonts w:hint="eastAsia" w:cs="Times New Roman"/>
          <w:kern w:val="0"/>
          <w:sz w:val="24"/>
          <w:szCs w:val="21"/>
          <w:lang w:val="en-US" w:eastAsia="zh-CN"/>
        </w:rPr>
        <w:t>3.3</w:t>
      </w:r>
      <w:r>
        <w:rPr>
          <w:rFonts w:hint="default" w:ascii="Times New Roman" w:hAnsi="Times New Roman" w:eastAsia="宋体" w:cs="Times New Roman"/>
          <w:kern w:val="0"/>
          <w:sz w:val="24"/>
          <w:szCs w:val="21"/>
        </w:rPr>
        <w:t>～</w:t>
      </w:r>
      <w:r>
        <w:rPr>
          <w:rFonts w:hint="default" w:ascii="Times New Roman" w:hAnsi="Times New Roman" w:eastAsia="宋体" w:cs="Times New Roman"/>
          <w:kern w:val="0"/>
          <w:sz w:val="24"/>
          <w:szCs w:val="21"/>
          <w:lang w:val="en-US" w:eastAsia="zh-CN"/>
        </w:rPr>
        <w:t>5</w:t>
      </w:r>
      <w:r>
        <w:rPr>
          <w:rFonts w:hint="eastAsia" w:cs="Times New Roman"/>
          <w:kern w:val="0"/>
          <w:sz w:val="24"/>
          <w:szCs w:val="21"/>
          <w:lang w:val="en-US" w:eastAsia="zh-CN"/>
        </w:rPr>
        <w:t>8</w:t>
      </w:r>
      <w:r>
        <w:rPr>
          <w:rFonts w:hint="default" w:ascii="Times New Roman" w:hAnsi="Times New Roman" w:eastAsia="宋体" w:cs="Times New Roman"/>
          <w:kern w:val="0"/>
          <w:sz w:val="24"/>
          <w:szCs w:val="21"/>
          <w:lang w:val="en-US" w:eastAsia="zh-CN"/>
        </w:rPr>
        <w:t>.2</w:t>
      </w:r>
      <w:r>
        <w:rPr>
          <w:rFonts w:hint="default" w:ascii="Times New Roman" w:hAnsi="Times New Roman" w:eastAsia="宋体" w:cs="Times New Roman"/>
          <w:kern w:val="0"/>
          <w:sz w:val="24"/>
          <w:szCs w:val="21"/>
        </w:rPr>
        <w:t>dB(A)达到《工业企业厂界环境噪声排放标准》(GB12348-2008)中</w:t>
      </w:r>
      <w:r>
        <w:rPr>
          <w:rFonts w:hint="default" w:ascii="Times New Roman" w:hAnsi="Times New Roman" w:eastAsia="宋体" w:cs="Times New Roman"/>
          <w:kern w:val="0"/>
          <w:sz w:val="24"/>
          <w:szCs w:val="21"/>
          <w:lang w:val="en-US" w:eastAsia="zh-CN"/>
        </w:rPr>
        <w:t>2</w:t>
      </w:r>
      <w:r>
        <w:rPr>
          <w:rFonts w:hint="default" w:ascii="Times New Roman" w:hAnsi="Times New Roman" w:eastAsia="宋体" w:cs="Times New Roman"/>
          <w:kern w:val="0"/>
          <w:sz w:val="24"/>
          <w:szCs w:val="21"/>
        </w:rPr>
        <w:t>类标准限值要求。</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10.1.4固废</w:t>
      </w:r>
    </w:p>
    <w:p>
      <w:pPr>
        <w:pStyle w:val="28"/>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color w:val="000000"/>
          <w:sz w:val="24"/>
          <w:szCs w:val="28"/>
        </w:rPr>
        <w:t>该项目不涉及固（液）体废物监测项目。</w:t>
      </w:r>
      <w:r>
        <w:rPr>
          <w:rFonts w:hint="default" w:ascii="Times New Roman" w:hAnsi="Times New Roman" w:eastAsia="宋体" w:cs="Times New Roman"/>
          <w:color w:val="000000"/>
          <w:kern w:val="2"/>
          <w:sz w:val="24"/>
          <w:szCs w:val="22"/>
          <w:lang w:val="en-US" w:eastAsia="zh-CN" w:bidi="ar-SA"/>
        </w:rPr>
        <w:t>本项目生产区固体废弃物主要为废胶桶、玻璃沉渣、废润滑油、废润滑油桶、废活性炭、废玻璃下脚料，PVB胶片边角料、废包装箱、废包装袋、废铝条小角料员工生活产生的生活垃圾。废活性炭、废胶、废润滑油、废润滑油桶等危废定期委托有资质单位处置；废胶桶由厂家回收利用；玻璃边角料、玻璃沉渣、碎玻璃渣、不合格品、铝片边角料、PVB胶片边角料外售综合利用生活垃圾收集后由环卫部门统一清运处理。本项目产生的固体废物全部得到综合利用或合理处置，实现了零排放，不会对环境构成二次污染，故固体废物处理处置措施可行</w:t>
      </w:r>
      <w:r>
        <w:rPr>
          <w:rFonts w:hint="default" w:ascii="Times New Roman" w:hAnsi="Times New Roman" w:eastAsia="宋体" w:cs="Times New Roman"/>
          <w:sz w:val="24"/>
          <w:lang w:val="en-US" w:eastAsia="zh-CN"/>
        </w:rPr>
        <w:t>。</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84" w:name="_Toc22517"/>
      <w:r>
        <w:rPr>
          <w:rFonts w:hint="default" w:ascii="Times New Roman" w:hAnsi="Times New Roman" w:eastAsia="宋体" w:cs="Times New Roman"/>
          <w:b/>
          <w:sz w:val="28"/>
          <w:szCs w:val="32"/>
        </w:rPr>
        <w:t>10.2建议</w:t>
      </w:r>
      <w:bookmarkEnd w:id="84"/>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1、保护环境，人人有责，加强环境管理，提高职工环保意识，加强职工环保教育，制定各项环保规章制度，将环境管理纳入到日常生产中，最大限度减少资源浪费和环境污染。</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2、加强厂区周边绿化建设，扩大厂区绿化面积。</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3、加强厂区内风险防范设施的日常保养及维护，确保风险防范设施无故障。</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4、做好对噪声污染的防治措施，在设备选型时应优先选用高效、低噪的设备。对于高噪声的设备设置专门的消声、隔音罩，并加强维护管理。</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5、加强环保设施的维护与环境保护治理，确保项目运行期间保设施的正常运行，降低对周围环境造成的影响。</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6、做好环境应急预案的培训与演练，定期检查、维护消防设备与应急物资，提高环境事故应急响应能力。</w:t>
      </w:r>
    </w:p>
    <w:p>
      <w:pPr>
        <w:pStyle w:val="9"/>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7、建立固废管理台帐，做好固废处理记录。</w:t>
      </w:r>
    </w:p>
    <w:p>
      <w:pPr>
        <w:pStyle w:val="10"/>
        <w:ind w:left="0" w:leftChars="0" w:firstLine="0" w:firstLineChars="0"/>
        <w:rPr>
          <w:rFonts w:hint="default" w:ascii="Times New Roman" w:hAnsi="Times New Roman" w:eastAsia="宋体" w:cs="Times New Roman"/>
          <w:lang w:eastAsia="zh-CN"/>
        </w:rPr>
      </w:pPr>
    </w:p>
    <w:p>
      <w:pPr>
        <w:pStyle w:val="38"/>
        <w:rPr>
          <w:rFonts w:hint="default" w:ascii="Times New Roman" w:hAnsi="Times New Roman" w:eastAsia="宋体" w:cs="Times New Roman"/>
          <w:color w:val="000000"/>
          <w:sz w:val="24"/>
          <w:szCs w:val="28"/>
        </w:rPr>
        <w:sectPr>
          <w:footerReference r:id="rId9"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1"/>
        <w:adjustRightInd w:val="0"/>
        <w:snapToGrid w:val="0"/>
        <w:ind w:left="-210" w:leftChars="-100" w:firstLine="0" w:firstLineChars="0"/>
        <w:jc w:val="center"/>
        <w:outlineLvl w:val="0"/>
        <w:rPr>
          <w:rFonts w:hint="default" w:ascii="Times New Roman" w:hAnsi="Times New Roman" w:eastAsia="宋体" w:cs="Times New Roman"/>
          <w:b/>
          <w:sz w:val="32"/>
          <w:szCs w:val="32"/>
        </w:rPr>
      </w:pPr>
      <w:bookmarkStart w:id="85" w:name="_Toc523388556"/>
      <w:bookmarkStart w:id="86" w:name="_Toc523409008"/>
      <w:bookmarkStart w:id="87" w:name="_Toc522270330"/>
      <w:bookmarkStart w:id="88" w:name="_Toc2921"/>
      <w:r>
        <w:rPr>
          <w:rFonts w:hint="default" w:ascii="Times New Roman" w:hAnsi="Times New Roman" w:eastAsia="宋体" w:cs="Times New Roman"/>
          <w:b/>
          <w:sz w:val="32"/>
          <w:szCs w:val="32"/>
        </w:rPr>
        <w:t>11、</w:t>
      </w:r>
      <w:bookmarkEnd w:id="85"/>
      <w:bookmarkEnd w:id="86"/>
      <w:bookmarkEnd w:id="87"/>
      <w:r>
        <w:rPr>
          <w:rFonts w:hint="default" w:ascii="Times New Roman" w:hAnsi="Times New Roman" w:eastAsia="宋体" w:cs="Times New Roman"/>
          <w:b/>
          <w:sz w:val="32"/>
          <w:szCs w:val="32"/>
        </w:rPr>
        <w:t>建设项目竣工环境保护 “ 三同时 ”验收登记表</w:t>
      </w:r>
      <w:bookmarkEnd w:id="88"/>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072"/>
        <w:gridCol w:w="1023"/>
        <w:gridCol w:w="671"/>
        <w:gridCol w:w="1108"/>
        <w:gridCol w:w="1156"/>
        <w:gridCol w:w="863"/>
        <w:gridCol w:w="969"/>
        <w:gridCol w:w="958"/>
        <w:gridCol w:w="1108"/>
        <w:gridCol w:w="1338"/>
        <w:gridCol w:w="1063"/>
        <w:gridCol w:w="833"/>
        <w:gridCol w:w="839"/>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000" w:type="pct"/>
            <w:gridSpan w:val="14"/>
            <w:tcBorders>
              <w:top w:val="nil"/>
              <w:left w:val="nil"/>
              <w:bottom w:val="single" w:color="auto" w:sz="4" w:space="0"/>
              <w:right w:val="nil"/>
            </w:tcBorders>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                                             填表人(签字)：                                         项目经办人(签字)：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restart"/>
            <w:tcBorders>
              <w:top w:val="single" w:color="auto" w:sz="4" w:space="0"/>
            </w:tcBorders>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w:t>
            </w:r>
          </w:p>
        </w:tc>
        <w:tc>
          <w:tcPr>
            <w:tcW w:w="360" w:type="pct"/>
            <w:tcBorders>
              <w:top w:val="single" w:color="auto" w:sz="4" w:space="0"/>
            </w:tcBorders>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681" w:type="pct"/>
            <w:gridSpan w:val="5"/>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钢化玻璃、夹层玻璃、中空玻璃生产项目</w:t>
            </w:r>
          </w:p>
        </w:tc>
        <w:tc>
          <w:tcPr>
            <w:tcW w:w="728" w:type="pct"/>
            <w:gridSpan w:val="2"/>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项目代码</w:t>
            </w:r>
          </w:p>
        </w:tc>
        <w:tc>
          <w:tcPr>
            <w:tcW w:w="471" w:type="pct"/>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2211-371721-89-01-947590</w:t>
            </w:r>
          </w:p>
        </w:tc>
        <w:tc>
          <w:tcPr>
            <w:tcW w:w="374" w:type="pct"/>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建设地点</w:t>
            </w:r>
          </w:p>
        </w:tc>
        <w:tc>
          <w:tcPr>
            <w:tcW w:w="1003" w:type="pct"/>
            <w:gridSpan w:val="3"/>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山东省曹县中小企业孵化园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行业类别(分类管理名录)</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C3042特种玻璃制造</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建设性质</w:t>
            </w:r>
          </w:p>
        </w:tc>
        <w:tc>
          <w:tcPr>
            <w:tcW w:w="846"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新建</w:t>
            </w:r>
            <w:r>
              <w:rPr>
                <w:rFonts w:hint="default" w:ascii="Times New Roman" w:hAnsi="Times New Roman" w:eastAsia="宋体" w:cs="Times New Roman"/>
                <w:sz w:val="18"/>
                <w:szCs w:val="18"/>
              </w:rPr>
              <w:sym w:font="Wingdings 2" w:char="00A3"/>
            </w:r>
            <w:r>
              <w:rPr>
                <w:rFonts w:hint="default" w:ascii="Times New Roman" w:hAnsi="Times New Roman" w:eastAsia="宋体" w:cs="Times New Roman"/>
                <w:sz w:val="18"/>
                <w:szCs w:val="18"/>
              </w:rPr>
              <w:t>改扩建</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技术改造</w:t>
            </w:r>
          </w:p>
        </w:tc>
        <w:tc>
          <w:tcPr>
            <w:tcW w:w="589"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项目厂区中心经度/纬度</w:t>
            </w:r>
          </w:p>
        </w:tc>
        <w:tc>
          <w:tcPr>
            <w:tcW w:w="413" w:type="pct"/>
            <w:shd w:val="clear" w:color="auto" w:fill="auto"/>
            <w:vAlign w:val="center"/>
          </w:tcPr>
          <w:p>
            <w:pPr>
              <w:jc w:val="both"/>
              <w:rPr>
                <w:rFonts w:hint="eastAsia" w:ascii="Times New Roman" w:hAnsi="Times New Roman" w:eastAsia="宋体" w:cs="Times New Roman"/>
                <w:spacing w:val="-20"/>
                <w:sz w:val="18"/>
                <w:szCs w:val="18"/>
                <w:lang w:val="en-US" w:eastAsia="zh-CN"/>
              </w:rPr>
            </w:pPr>
            <w:r>
              <w:rPr>
                <w:rFonts w:hint="eastAsia" w:ascii="Times New Roman" w:hAnsi="Times New Roman" w:eastAsia="宋体" w:cs="Times New Roman"/>
                <w:spacing w:val="-20"/>
                <w:sz w:val="18"/>
                <w:szCs w:val="18"/>
                <w:lang w:val="en-US" w:eastAsia="zh-CN"/>
              </w:rPr>
              <w:t>东经</w:t>
            </w:r>
          </w:p>
          <w:p>
            <w:pPr>
              <w:jc w:val="both"/>
              <w:rPr>
                <w:rFonts w:hint="default" w:ascii="Times New Roman" w:hAnsi="Times New Roman" w:eastAsia="宋体" w:cs="Times New Roman"/>
                <w:spacing w:val="-20"/>
                <w:sz w:val="18"/>
                <w:szCs w:val="18"/>
                <w:lang w:val="en-US" w:eastAsia="zh-CN"/>
              </w:rPr>
            </w:pPr>
            <w:r>
              <w:rPr>
                <w:rFonts w:hint="default" w:ascii="Times New Roman" w:hAnsi="Times New Roman" w:eastAsia="宋体" w:cs="Times New Roman"/>
                <w:spacing w:val="-20"/>
                <w:sz w:val="18"/>
                <w:szCs w:val="18"/>
                <w:lang w:val="en-US" w:eastAsia="zh-CN"/>
              </w:rPr>
              <w:t>1</w:t>
            </w:r>
            <w:r>
              <w:rPr>
                <w:rFonts w:hint="eastAsia" w:ascii="Times New Roman" w:hAnsi="Times New Roman" w:eastAsia="宋体" w:cs="Times New Roman"/>
                <w:spacing w:val="-20"/>
                <w:sz w:val="18"/>
                <w:szCs w:val="18"/>
                <w:lang w:val="en-US" w:eastAsia="zh-CN"/>
              </w:rPr>
              <w:t>1</w:t>
            </w:r>
            <w:r>
              <w:rPr>
                <w:rFonts w:hint="default" w:ascii="Times New Roman" w:hAnsi="Times New Roman" w:eastAsia="宋体" w:cs="Times New Roman"/>
                <w:spacing w:val="-20"/>
                <w:sz w:val="18"/>
                <w:szCs w:val="18"/>
                <w:lang w:val="en-US" w:eastAsia="zh-CN"/>
              </w:rPr>
              <w:t>5</w:t>
            </w:r>
            <w:r>
              <w:rPr>
                <w:rFonts w:hint="eastAsia" w:ascii="Times New Roman" w:hAnsi="Times New Roman" w:eastAsia="宋体" w:cs="Times New Roman"/>
                <w:spacing w:val="-20"/>
                <w:sz w:val="18"/>
                <w:szCs w:val="18"/>
                <w:lang w:val="en-US" w:eastAsia="zh-CN"/>
              </w:rPr>
              <w:t>°34′33.591″</w:t>
            </w:r>
          </w:p>
          <w:p>
            <w:pPr>
              <w:jc w:val="both"/>
              <w:rPr>
                <w:rFonts w:hint="eastAsia" w:ascii="Times New Roman" w:hAnsi="Times New Roman" w:eastAsia="宋体" w:cs="Times New Roman"/>
                <w:spacing w:val="-20"/>
                <w:sz w:val="18"/>
                <w:szCs w:val="18"/>
                <w:lang w:val="en-US" w:eastAsia="zh-CN"/>
              </w:rPr>
            </w:pPr>
            <w:r>
              <w:rPr>
                <w:rFonts w:hint="eastAsia" w:ascii="Times New Roman" w:hAnsi="Times New Roman" w:eastAsia="宋体" w:cs="Times New Roman"/>
                <w:spacing w:val="-20"/>
                <w:sz w:val="18"/>
                <w:szCs w:val="18"/>
                <w:lang w:val="en-US" w:eastAsia="zh-CN"/>
              </w:rPr>
              <w:t>北纬</w:t>
            </w:r>
          </w:p>
          <w:p>
            <w:pPr>
              <w:jc w:val="both"/>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pacing w:val="-20"/>
                <w:sz w:val="18"/>
                <w:szCs w:val="18"/>
                <w:lang w:val="en-US" w:eastAsia="zh-CN"/>
              </w:rPr>
              <w:t>34°56′24.125″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钢化玻璃、夹层玻璃、中空玻璃生产项目</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实际生产能力</w:t>
            </w:r>
          </w:p>
        </w:tc>
        <w:tc>
          <w:tcPr>
            <w:tcW w:w="471" w:type="pct"/>
            <w:shd w:val="clear" w:color="auto" w:fill="auto"/>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钢化玻璃、夹层玻璃、中空玻璃生产项目</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环评单位</w:t>
            </w:r>
          </w:p>
        </w:tc>
        <w:tc>
          <w:tcPr>
            <w:tcW w:w="1003" w:type="pct"/>
            <w:gridSpan w:val="3"/>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山东国润环境科技有限公司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菏泽生态环境局</w:t>
            </w:r>
            <w:r>
              <w:rPr>
                <w:rFonts w:hint="eastAsia" w:ascii="Times New Roman" w:hAnsi="Times New Roman" w:eastAsia="宋体" w:cs="Times New Roman"/>
                <w:sz w:val="18"/>
                <w:szCs w:val="18"/>
                <w:lang w:val="en-US" w:eastAsia="zh-CN"/>
              </w:rPr>
              <w:t>曹县</w:t>
            </w:r>
            <w:r>
              <w:rPr>
                <w:rFonts w:hint="default" w:ascii="Times New Roman" w:hAnsi="Times New Roman" w:eastAsia="宋体" w:cs="Times New Roman"/>
                <w:sz w:val="18"/>
                <w:szCs w:val="18"/>
                <w:lang w:val="en-US" w:eastAsia="zh-CN"/>
              </w:rPr>
              <w:t>分局</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审批文号</w:t>
            </w:r>
          </w:p>
        </w:tc>
        <w:tc>
          <w:tcPr>
            <w:tcW w:w="471" w:type="pct"/>
            <w:shd w:val="clear" w:color="auto" w:fill="auto"/>
            <w:vAlign w:val="center"/>
          </w:tcPr>
          <w:p>
            <w:pPr>
              <w:jc w:val="left"/>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曹环审报告表</w:t>
            </w:r>
            <w:r>
              <w:rPr>
                <w:rFonts w:hint="default" w:ascii="Times New Roman" w:hAnsi="Times New Roman" w:eastAsia="宋体" w:cs="Times New Roman"/>
                <w:sz w:val="18"/>
                <w:szCs w:val="18"/>
                <w:lang w:val="en-US" w:eastAsia="zh-CN"/>
              </w:rPr>
              <w:t>【2023】</w:t>
            </w:r>
            <w:r>
              <w:rPr>
                <w:rFonts w:hint="eastAsia" w:ascii="Times New Roman" w:hAnsi="Times New Roman" w:eastAsia="宋体" w:cs="Times New Roman"/>
                <w:sz w:val="18"/>
                <w:szCs w:val="18"/>
                <w:lang w:val="en-US" w:eastAsia="zh-CN"/>
              </w:rPr>
              <w:t>027</w:t>
            </w:r>
            <w:r>
              <w:rPr>
                <w:rFonts w:hint="default" w:ascii="Times New Roman" w:hAnsi="Times New Roman" w:eastAsia="宋体" w:cs="Times New Roman"/>
                <w:sz w:val="18"/>
                <w:szCs w:val="18"/>
                <w:lang w:val="en-US" w:eastAsia="zh-CN"/>
              </w:rPr>
              <w:t>号</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环评文件类型</w:t>
            </w:r>
          </w:p>
        </w:tc>
        <w:tc>
          <w:tcPr>
            <w:tcW w:w="1003" w:type="pct"/>
            <w:gridSpan w:val="3"/>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681" w:type="pct"/>
            <w:gridSpan w:val="5"/>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w:t>
            </w:r>
            <w:r>
              <w:rPr>
                <w:rFonts w:hint="default" w:ascii="Times New Roman" w:hAnsi="Times New Roman" w:eastAsia="宋体" w:cs="Times New Roman"/>
                <w:sz w:val="18"/>
                <w:szCs w:val="18"/>
                <w:lang w:val="en-US" w:eastAsia="zh-CN"/>
              </w:rPr>
              <w:t>3</w:t>
            </w:r>
            <w:r>
              <w:rPr>
                <w:rFonts w:hint="default" w:ascii="Times New Roman" w:hAnsi="Times New Roman" w:eastAsia="宋体" w:cs="Times New Roman"/>
                <w:sz w:val="18"/>
                <w:szCs w:val="18"/>
              </w:rPr>
              <w:t>年</w:t>
            </w: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rPr>
              <w:t>月</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竣工日期</w:t>
            </w:r>
          </w:p>
        </w:tc>
        <w:tc>
          <w:tcPr>
            <w:tcW w:w="471"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w:t>
            </w:r>
            <w:r>
              <w:rPr>
                <w:rFonts w:hint="default" w:ascii="Times New Roman" w:hAnsi="Times New Roman" w:eastAsia="宋体" w:cs="Times New Roman"/>
                <w:sz w:val="18"/>
                <w:szCs w:val="18"/>
                <w:lang w:val="en-US" w:eastAsia="zh-CN"/>
              </w:rPr>
              <w:t>3</w:t>
            </w:r>
            <w:r>
              <w:rPr>
                <w:rFonts w:hint="default" w:ascii="Times New Roman" w:hAnsi="Times New Roman" w:eastAsia="宋体" w:cs="Times New Roman"/>
                <w:sz w:val="18"/>
                <w:szCs w:val="18"/>
              </w:rPr>
              <w:t>年</w:t>
            </w:r>
            <w:r>
              <w:rPr>
                <w:rFonts w:hint="eastAsia" w:ascii="Times New Roman" w:hAnsi="Times New Roman" w:eastAsia="宋体" w:cs="Times New Roman"/>
                <w:sz w:val="18"/>
                <w:szCs w:val="18"/>
                <w:lang w:val="en-US" w:eastAsia="zh-CN"/>
              </w:rPr>
              <w:t>10</w:t>
            </w:r>
            <w:r>
              <w:rPr>
                <w:rFonts w:hint="default" w:ascii="Times New Roman" w:hAnsi="Times New Roman" w:eastAsia="宋体" w:cs="Times New Roman"/>
                <w:sz w:val="18"/>
                <w:szCs w:val="18"/>
              </w:rPr>
              <w:t>月</w:t>
            </w:r>
          </w:p>
        </w:tc>
        <w:tc>
          <w:tcPr>
            <w:tcW w:w="374" w:type="pct"/>
            <w:shd w:val="clear" w:color="auto" w:fill="auto"/>
            <w:vAlign w:val="center"/>
          </w:tcPr>
          <w:p>
            <w:pPr>
              <w:jc w:val="center"/>
              <w:rPr>
                <w:rFonts w:hint="default" w:ascii="Times New Roman" w:hAnsi="Times New Roman" w:eastAsia="宋体" w:cs="Times New Roman"/>
                <w:color w:val="000000" w:themeColor="text1"/>
                <w:spacing w:val="-20"/>
                <w:sz w:val="18"/>
                <w:szCs w:val="18"/>
                <w14:textFill>
                  <w14:solidFill>
                    <w14:schemeClr w14:val="tx1"/>
                  </w14:solidFill>
                </w14:textFill>
              </w:rPr>
            </w:pPr>
            <w:r>
              <w:rPr>
                <w:rFonts w:hint="default" w:ascii="Times New Roman" w:hAnsi="Times New Roman" w:eastAsia="宋体" w:cs="Times New Roman"/>
                <w:color w:val="000000" w:themeColor="text1"/>
                <w:spacing w:val="-20"/>
                <w:sz w:val="18"/>
                <w:szCs w:val="18"/>
                <w14:textFill>
                  <w14:solidFill>
                    <w14:schemeClr w14:val="tx1"/>
                  </w14:solidFill>
                </w14:textFill>
              </w:rPr>
              <w:t>排污许可证申领时间</w:t>
            </w:r>
          </w:p>
        </w:tc>
        <w:tc>
          <w:tcPr>
            <w:tcW w:w="1003" w:type="pct"/>
            <w:gridSpan w:val="3"/>
            <w:shd w:val="clear" w:color="auto" w:fill="auto"/>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2023.06.05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环保设施施工单位</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374" w:type="pct"/>
            <w:shd w:val="clear" w:color="auto" w:fill="auto"/>
            <w:vAlign w:val="center"/>
          </w:tcPr>
          <w:p>
            <w:pPr>
              <w:jc w:val="center"/>
              <w:rPr>
                <w:rFonts w:hint="default" w:ascii="Times New Roman" w:hAnsi="Times New Roman" w:eastAsia="宋体" w:cs="Times New Roman"/>
                <w:color w:val="000000" w:themeColor="text1"/>
                <w:spacing w:val="-2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18"/>
                <w:szCs w:val="18"/>
                <w:lang w:val="en-US" w:eastAsia="zh-CN"/>
                <w14:textFill>
                  <w14:solidFill>
                    <w14:schemeClr w14:val="tx1"/>
                  </w14:solidFill>
                </w14:textFill>
              </w:rPr>
              <w:t>91371721493530623N002Q</w:t>
            </w:r>
          </w:p>
        </w:tc>
        <w:tc>
          <w:tcPr>
            <w:tcW w:w="1003" w:type="pct"/>
            <w:gridSpan w:val="3"/>
            <w:shd w:val="clear" w:color="auto" w:fill="auto"/>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山东省朗荣玻璃科技股份有限公司</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环保设施监测单位</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山东汇成检测科技有限公司</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验收监测时工况</w:t>
            </w:r>
          </w:p>
        </w:tc>
        <w:tc>
          <w:tcPr>
            <w:tcW w:w="1003" w:type="pct"/>
            <w:gridSpan w:val="3"/>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100</w:t>
            </w: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w:t>
            </w:r>
            <w:r>
              <w:rPr>
                <w:rFonts w:hint="eastAsia" w:ascii="Times New Roman" w:hAnsi="Times New Roman" w:eastAsia="宋体" w:cs="Times New Roman"/>
                <w:sz w:val="18"/>
                <w:szCs w:val="18"/>
                <w:lang w:val="en-US" w:eastAsia="zh-CN"/>
              </w:rPr>
              <w:t>0</w:t>
            </w:r>
          </w:p>
        </w:tc>
        <w:tc>
          <w:tcPr>
            <w:tcW w:w="728" w:type="pct"/>
            <w:gridSpan w:val="2"/>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r>
              <w:rPr>
                <w:rFonts w:hint="eastAsia" w:ascii="Times New Roman" w:hAnsi="Times New Roman" w:eastAsia="宋体" w:cs="Times New Roman"/>
                <w:sz w:val="18"/>
                <w:szCs w:val="18"/>
                <w:lang w:val="en-US" w:eastAsia="zh-CN"/>
              </w:rPr>
              <w:t>0</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w:t>
            </w:r>
          </w:p>
        </w:tc>
        <w:tc>
          <w:tcPr>
            <w:tcW w:w="1003" w:type="pct"/>
            <w:gridSpan w:val="3"/>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w:t>
            </w:r>
            <w:r>
              <w:rPr>
                <w:rFonts w:hint="eastAsia" w:ascii="Times New Roman" w:hAnsi="Times New Roman" w:eastAsia="宋体" w:cs="Times New Roman"/>
                <w:sz w:val="18"/>
                <w:szCs w:val="18"/>
                <w:lang w:val="en-US" w:eastAsia="zh-CN"/>
              </w:rPr>
              <w:t>0</w:t>
            </w:r>
          </w:p>
        </w:tc>
        <w:tc>
          <w:tcPr>
            <w:tcW w:w="728" w:type="pct"/>
            <w:gridSpan w:val="2"/>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r>
              <w:rPr>
                <w:rFonts w:hint="eastAsia" w:ascii="Times New Roman" w:hAnsi="Times New Roman" w:eastAsia="宋体" w:cs="Times New Roman"/>
                <w:sz w:val="18"/>
                <w:szCs w:val="18"/>
                <w:lang w:val="en-US" w:eastAsia="zh-CN"/>
              </w:rPr>
              <w:t>0</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w:t>
            </w:r>
          </w:p>
        </w:tc>
        <w:tc>
          <w:tcPr>
            <w:tcW w:w="1003" w:type="pct"/>
            <w:gridSpan w:val="3"/>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val="en-US" w:eastAsia="zh-CN"/>
              </w:rPr>
              <w:t>.00</w:t>
            </w:r>
          </w:p>
        </w:tc>
        <w:tc>
          <w:tcPr>
            <w:tcW w:w="39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废气治理(万元)</w:t>
            </w: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w:t>
            </w:r>
            <w:r>
              <w:rPr>
                <w:rFonts w:hint="default" w:ascii="Times New Roman" w:hAnsi="Times New Roman" w:eastAsia="宋体" w:cs="Times New Roman"/>
                <w:sz w:val="18"/>
                <w:szCs w:val="18"/>
                <w:lang w:val="en-US" w:eastAsia="zh-CN"/>
              </w:rPr>
              <w:t>.0</w:t>
            </w:r>
          </w:p>
        </w:tc>
        <w:tc>
          <w:tcPr>
            <w:tcW w:w="30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噪声治理(万元)</w:t>
            </w:r>
          </w:p>
        </w:tc>
        <w:tc>
          <w:tcPr>
            <w:tcW w:w="34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w:t>
            </w:r>
          </w:p>
        </w:tc>
        <w:tc>
          <w:tcPr>
            <w:tcW w:w="728" w:type="pct"/>
            <w:gridSpan w:val="2"/>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固体废物治理(万元)</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2.5</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绿化及生态(万元)</w:t>
            </w:r>
          </w:p>
        </w:tc>
        <w:tc>
          <w:tcPr>
            <w:tcW w:w="293" w:type="pct"/>
            <w:shd w:val="clear" w:color="auto" w:fill="auto"/>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w:t>
            </w:r>
          </w:p>
        </w:tc>
        <w:tc>
          <w:tcPr>
            <w:tcW w:w="295"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其他(万元)</w:t>
            </w:r>
          </w:p>
        </w:tc>
        <w:tc>
          <w:tcPr>
            <w:tcW w:w="413"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新增废水处理设施能力</w:t>
            </w:r>
          </w:p>
        </w:tc>
        <w:tc>
          <w:tcPr>
            <w:tcW w:w="1681" w:type="pct"/>
            <w:gridSpan w:val="5"/>
            <w:shd w:val="clear" w:color="auto" w:fill="auto"/>
            <w:vAlign w:val="center"/>
          </w:tcPr>
          <w:p>
            <w:pPr>
              <w:jc w:val="center"/>
              <w:rPr>
                <w:rFonts w:hint="default" w:ascii="Times New Roman" w:hAnsi="Times New Roman" w:eastAsia="宋体" w:cs="Times New Roman"/>
                <w:sz w:val="18"/>
                <w:szCs w:val="18"/>
              </w:rPr>
            </w:pPr>
          </w:p>
        </w:tc>
        <w:tc>
          <w:tcPr>
            <w:tcW w:w="728" w:type="pct"/>
            <w:gridSpan w:val="2"/>
            <w:shd w:val="clear" w:color="auto" w:fill="auto"/>
            <w:vAlign w:val="center"/>
          </w:tcPr>
          <w:p>
            <w:pPr>
              <w:jc w:val="left"/>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新增废气处理设施能力</w:t>
            </w:r>
          </w:p>
        </w:tc>
        <w:tc>
          <w:tcPr>
            <w:tcW w:w="471" w:type="pct"/>
            <w:shd w:val="clear" w:color="auto" w:fill="auto"/>
            <w:vAlign w:val="center"/>
          </w:tcPr>
          <w:p>
            <w:pPr>
              <w:jc w:val="center"/>
              <w:rPr>
                <w:rFonts w:hint="default" w:ascii="Times New Roman" w:hAnsi="Times New Roman" w:eastAsia="宋体" w:cs="Times New Roman"/>
                <w:spacing w:val="-20"/>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w:t>
            </w:r>
          </w:p>
        </w:tc>
        <w:tc>
          <w:tcPr>
            <w:tcW w:w="1003" w:type="pct"/>
            <w:gridSpan w:val="3"/>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9"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035" w:type="pct"/>
            <w:gridSpan w:val="3"/>
            <w:shd w:val="clear" w:color="auto" w:fill="auto"/>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山东省朗荣玻璃科技股份有限公司</w:t>
            </w:r>
          </w:p>
        </w:tc>
        <w:tc>
          <w:tcPr>
            <w:tcW w:w="1375" w:type="pct"/>
            <w:gridSpan w:val="4"/>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运营单位统一社会信用代码(或组织机构代码)</w:t>
            </w:r>
          </w:p>
        </w:tc>
        <w:tc>
          <w:tcPr>
            <w:tcW w:w="471" w:type="pct"/>
            <w:shd w:val="clear" w:color="auto" w:fill="auto"/>
            <w:vAlign w:val="center"/>
          </w:tcPr>
          <w:p>
            <w:pPr>
              <w:jc w:val="center"/>
              <w:rPr>
                <w:rFonts w:hint="default" w:ascii="Times New Roman" w:hAnsi="Times New Roman" w:eastAsia="宋体" w:cs="Times New Roman"/>
                <w:spacing w:val="-20"/>
                <w:sz w:val="18"/>
                <w:szCs w:val="18"/>
                <w:lang w:val="en-US" w:eastAsia="zh-CN"/>
              </w:rPr>
            </w:pPr>
            <w:r>
              <w:rPr>
                <w:rFonts w:hint="default" w:ascii="Times New Roman" w:hAnsi="Times New Roman" w:eastAsia="宋体" w:cs="Times New Roman"/>
                <w:spacing w:val="-20"/>
                <w:sz w:val="18"/>
                <w:szCs w:val="18"/>
                <w:lang w:val="en-US" w:eastAsia="zh-CN"/>
              </w:rPr>
              <w:t>91371721493530623N</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1003" w:type="pct"/>
            <w:gridSpan w:val="3"/>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2023.1</w:t>
            </w:r>
            <w:r>
              <w:rPr>
                <w:rFonts w:hint="eastAsia" w:ascii="Times New Roman" w:hAnsi="Times New Roman" w:eastAsia="宋体" w:cs="Times New Roman"/>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378" w:type="pct"/>
            <w:vMerge w:val="restar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污染物排放达标与总量控制(工业建设项目详填)</w:t>
            </w: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236"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原有排放量(1)</w:t>
            </w:r>
          </w:p>
        </w:tc>
        <w:tc>
          <w:tcPr>
            <w:tcW w:w="39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本期工程实际排放浓度(2)</w:t>
            </w:r>
          </w:p>
        </w:tc>
        <w:tc>
          <w:tcPr>
            <w:tcW w:w="407"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本期工程允许排放浓度(3)</w:t>
            </w:r>
          </w:p>
        </w:tc>
        <w:tc>
          <w:tcPr>
            <w:tcW w:w="30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本期工程产生量(4)</w:t>
            </w:r>
          </w:p>
        </w:tc>
        <w:tc>
          <w:tcPr>
            <w:tcW w:w="341"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本期工程自身削减量(5)</w:t>
            </w:r>
          </w:p>
        </w:tc>
        <w:tc>
          <w:tcPr>
            <w:tcW w:w="337"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本期工程实际排放量(6)</w:t>
            </w:r>
          </w:p>
        </w:tc>
        <w:tc>
          <w:tcPr>
            <w:tcW w:w="39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本期工程核定排放(7)</w:t>
            </w:r>
          </w:p>
        </w:tc>
        <w:tc>
          <w:tcPr>
            <w:tcW w:w="471"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本期工程“以新带老”削减量(8)</w:t>
            </w:r>
          </w:p>
        </w:tc>
        <w:tc>
          <w:tcPr>
            <w:tcW w:w="374"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全厂实际排放量(9)</w:t>
            </w:r>
          </w:p>
        </w:tc>
        <w:tc>
          <w:tcPr>
            <w:tcW w:w="293"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全厂核定排放总量(10)</w:t>
            </w:r>
          </w:p>
        </w:tc>
        <w:tc>
          <w:tcPr>
            <w:tcW w:w="295"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区域平衡替代削减量(11)</w:t>
            </w:r>
          </w:p>
        </w:tc>
        <w:tc>
          <w:tcPr>
            <w:tcW w:w="413"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bCs/>
                <w:sz w:val="18"/>
                <w:szCs w:val="18"/>
              </w:rPr>
              <w:t>废水</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化学需氧量</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石油类</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bCs/>
                <w:sz w:val="18"/>
                <w:szCs w:val="18"/>
              </w:rPr>
              <w:t>废气</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烟尘</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工业粉尘</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90"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04" w:type="pct"/>
            <w:shd w:val="clear" w:color="auto" w:fill="auto"/>
            <w:vAlign w:val="center"/>
          </w:tcPr>
          <w:p>
            <w:pPr>
              <w:jc w:val="center"/>
              <w:rPr>
                <w:rFonts w:hint="default" w:ascii="Times New Roman" w:hAnsi="Times New Roman" w:eastAsia="宋体" w:cs="Times New Roman"/>
                <w:color w:val="0000FF"/>
                <w:sz w:val="18"/>
                <w:szCs w:val="18"/>
              </w:rPr>
            </w:pPr>
          </w:p>
        </w:tc>
        <w:tc>
          <w:tcPr>
            <w:tcW w:w="341" w:type="pct"/>
            <w:shd w:val="clear" w:color="auto" w:fill="auto"/>
            <w:vAlign w:val="center"/>
          </w:tcPr>
          <w:p>
            <w:pPr>
              <w:jc w:val="center"/>
              <w:rPr>
                <w:rFonts w:hint="default" w:ascii="Times New Roman" w:hAnsi="Times New Roman" w:eastAsia="宋体" w:cs="Times New Roman"/>
                <w:color w:val="0000FF"/>
                <w:sz w:val="18"/>
                <w:szCs w:val="18"/>
              </w:rPr>
            </w:pPr>
          </w:p>
        </w:tc>
        <w:tc>
          <w:tcPr>
            <w:tcW w:w="337" w:type="pct"/>
            <w:shd w:val="clear" w:color="auto" w:fill="auto"/>
            <w:vAlign w:val="center"/>
          </w:tcPr>
          <w:p>
            <w:pPr>
              <w:jc w:val="center"/>
              <w:rPr>
                <w:rFonts w:hint="default" w:ascii="Times New Roman" w:hAnsi="Times New Roman" w:eastAsia="宋体" w:cs="Times New Roman"/>
                <w:color w:val="0000FF"/>
                <w:sz w:val="18"/>
                <w:szCs w:val="18"/>
                <w:lang w:eastAsia="zh-CN"/>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氮氧化物</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90"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工业固体废物</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90"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highlight w:val="none"/>
                <w:lang w:val="en-US" w:eastAsia="zh-CN"/>
              </w:rPr>
              <w:t>VOCs</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90" w:type="pct"/>
            <w:shd w:val="clear" w:color="auto" w:fill="auto"/>
            <w:vAlign w:val="center"/>
          </w:tcPr>
          <w:p>
            <w:pPr>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3.58</w:t>
            </w: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60</w:t>
            </w:r>
          </w:p>
        </w:tc>
        <w:tc>
          <w:tcPr>
            <w:tcW w:w="304"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0.182</w:t>
            </w:r>
          </w:p>
        </w:tc>
        <w:tc>
          <w:tcPr>
            <w:tcW w:w="341"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37"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0.026</w:t>
            </w:r>
          </w:p>
        </w:tc>
        <w:tc>
          <w:tcPr>
            <w:tcW w:w="390"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0.0316</w:t>
            </w: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0.026</w:t>
            </w:r>
          </w:p>
        </w:tc>
        <w:tc>
          <w:tcPr>
            <w:tcW w:w="293" w:type="pct"/>
            <w:shd w:val="clear" w:color="auto" w:fill="auto"/>
            <w:vAlign w:val="center"/>
          </w:tcPr>
          <w:p>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0.0316</w:t>
            </w: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tcBorders>
              <w:left w:val="nil"/>
              <w:bottom w:val="nil"/>
              <w:right w:val="nil"/>
            </w:tcBorders>
            <w:shd w:val="clear" w:color="auto" w:fill="FFFFFF" w:themeFill="background1"/>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w:t>
            </w:r>
          </w:p>
        </w:tc>
        <w:tc>
          <w:tcPr>
            <w:tcW w:w="4621" w:type="pct"/>
            <w:gridSpan w:val="13"/>
            <w:tcBorders>
              <w:left w:val="nil"/>
              <w:bottom w:val="nil"/>
              <w:right w:val="nil"/>
            </w:tcBorders>
            <w:shd w:val="clear" w:color="auto" w:fill="FFFFFF" w:themeFill="background1"/>
            <w:vAlign w:val="center"/>
          </w:tcPr>
          <w:p>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排放增减量：(+)表示增加、(—)表示减少；2、(12)=(6)—(8)—(11)、(9)=(4)—(5)—(8)-(11)+(1)；3、计量单位：废水排放量——万吨/年；废气排放量——万标立方米/年；工业固体废物排放量——万吨/年；水污染排放浓度——毫克/升；</w:t>
            </w:r>
          </w:p>
        </w:tc>
      </w:tr>
    </w:tbl>
    <w:p>
      <w:pPr>
        <w:pStyle w:val="9"/>
        <w:spacing w:after="0" w:line="360" w:lineRule="auto"/>
        <w:ind w:left="0" w:firstLine="562" w:firstLineChars="200"/>
        <w:rPr>
          <w:rFonts w:hint="default" w:ascii="Times New Roman" w:hAnsi="Times New Roman" w:eastAsia="宋体" w:cs="Times New Roman"/>
          <w:b/>
          <w:sz w:val="28"/>
          <w:szCs w:val="28"/>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lang w:val="en-US" w:eastAsia="zh-CN"/>
        </w:rPr>
      </w:pPr>
      <w:bookmarkStart w:id="89" w:name="_Toc523388557"/>
      <w:bookmarkStart w:id="90" w:name="_Toc523409009"/>
      <w:bookmarkStart w:id="91" w:name="_Toc13862"/>
      <w:r>
        <w:rPr>
          <w:rFonts w:hint="default" w:ascii="Times New Roman" w:hAnsi="Times New Roman" w:eastAsia="宋体" w:cs="Times New Roman"/>
        </w:rPr>
        <w:t>附件1：</w:t>
      </w:r>
      <w:bookmarkEnd w:id="89"/>
      <w:bookmarkEnd w:id="90"/>
      <w:r>
        <w:rPr>
          <w:rFonts w:hint="default" w:ascii="Times New Roman" w:hAnsi="Times New Roman" w:eastAsia="宋体" w:cs="Times New Roman"/>
          <w:lang w:val="en-US" w:eastAsia="zh-CN"/>
        </w:rPr>
        <w:t>营业执照</w:t>
      </w:r>
      <w:bookmarkEnd w:id="91"/>
      <w:bookmarkStart w:id="92" w:name="_Toc523388561"/>
    </w:p>
    <w:p>
      <w:pPr>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r>
        <w:rPr>
          <w:rFonts w:hint="default"/>
          <w:lang w:val="en-US" w:eastAsia="zh-CN"/>
        </w:rPr>
        <w:drawing>
          <wp:anchor distT="0" distB="0" distL="114300" distR="114300" simplePos="0" relativeHeight="251678720" behindDoc="0" locked="0" layoutInCell="1" allowOverlap="1">
            <wp:simplePos x="0" y="0"/>
            <wp:positionH relativeFrom="column">
              <wp:posOffset>24130</wp:posOffset>
            </wp:positionH>
            <wp:positionV relativeFrom="paragraph">
              <wp:posOffset>90170</wp:posOffset>
            </wp:positionV>
            <wp:extent cx="8881745" cy="4542790"/>
            <wp:effectExtent l="12700" t="12700" r="20955" b="16510"/>
            <wp:wrapSquare wrapText="bothSides"/>
            <wp:docPr id="24" name="图片 114" descr="169786498794b3d0e74995ce0466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4" descr="169786498794b3d0e74995ce0466caa"/>
                    <pic:cNvPicPr>
                      <a:picLocks noChangeAspect="1"/>
                    </pic:cNvPicPr>
                  </pic:nvPicPr>
                  <pic:blipFill>
                    <a:blip r:embed="rId31"/>
                    <a:srcRect l="2528" t="5467" r="1894" b="-1060"/>
                    <a:stretch>
                      <a:fillRect/>
                    </a:stretch>
                  </pic:blipFill>
                  <pic:spPr>
                    <a:xfrm>
                      <a:off x="0" y="0"/>
                      <a:ext cx="8881745" cy="4542790"/>
                    </a:xfrm>
                    <a:prstGeom prst="rect">
                      <a:avLst/>
                    </a:prstGeom>
                    <a:noFill/>
                    <a:ln w="12700" cap="flat" cmpd="sng">
                      <a:solidFill>
                        <a:srgbClr val="000000"/>
                      </a:solidFill>
                      <a:prstDash val="solid"/>
                      <a:round/>
                      <a:headEnd type="none" w="med" len="med"/>
                      <a:tailEnd type="none" w="med" len="med"/>
                    </a:ln>
                  </pic:spPr>
                </pic:pic>
              </a:graphicData>
            </a:graphic>
          </wp:anchor>
        </w:drawing>
      </w:r>
    </w:p>
    <w:p>
      <w:pPr>
        <w:pStyle w:val="28"/>
        <w:rPr>
          <w:rFonts w:hint="default" w:ascii="Times New Roman" w:hAnsi="Times New Roman" w:eastAsia="宋体" w:cs="Times New Roman"/>
          <w:lang w:val="en-US" w:eastAsia="zh-CN"/>
        </w:rPr>
        <w:sectPr>
          <w:headerReference r:id="rId10" w:type="default"/>
          <w:footerReference r:id="rId11" w:type="default"/>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rPr>
      </w:pPr>
      <w:bookmarkStart w:id="93" w:name="_Toc17429"/>
      <w:r>
        <w:rPr>
          <w:rFonts w:hint="default" w:ascii="Times New Roman" w:hAnsi="Times New Roman" w:eastAsia="宋体" w:cs="Times New Roman"/>
        </w:rPr>
        <w:t>附件2：环评批复</w:t>
      </w:r>
      <w:bookmarkEnd w:id="92"/>
      <w:bookmarkEnd w:id="93"/>
    </w:p>
    <w:p>
      <w:pPr>
        <w:rPr>
          <w:rFonts w:hint="default" w:ascii="Times New Roman" w:hAnsi="Times New Roman" w:eastAsia="宋体" w:cs="Times New Roman"/>
        </w:rPr>
      </w:pPr>
    </w:p>
    <w:p>
      <w:pPr>
        <w:rPr>
          <w:rFonts w:hint="default" w:ascii="Times New Roman" w:hAnsi="Times New Roman" w:eastAsia="宋体" w:cs="Times New Roman"/>
          <w:lang w:eastAsia="zh-CN"/>
        </w:rPr>
      </w:pPr>
    </w:p>
    <w:p>
      <w:pPr>
        <w:rPr>
          <w:rFonts w:hint="default" w:ascii="Times New Roman" w:hAnsi="Times New Roman" w:eastAsia="宋体" w:cs="Times New Roman"/>
        </w:rPr>
      </w:pPr>
    </w:p>
    <w:p>
      <w:pPr>
        <w:rPr>
          <w:rFonts w:hint="default" w:ascii="Times New Roman" w:hAnsi="Times New Roman" w:eastAsia="宋体" w:cs="Times New Roman"/>
          <w:b/>
          <w:sz w:val="44"/>
          <w:szCs w:val="44"/>
          <w:lang w:eastAsia="zh-CN"/>
        </w:rPr>
      </w:pPr>
    </w:p>
    <w:p>
      <w:pPr>
        <w:pStyle w:val="28"/>
        <w:rPr>
          <w:rFonts w:hint="default" w:ascii="Times New Roman" w:hAnsi="Times New Roman" w:eastAsia="宋体" w:cs="Times New Roman"/>
          <w:b/>
          <w:sz w:val="44"/>
          <w:szCs w:val="44"/>
          <w:lang w:eastAsia="zh-CN"/>
        </w:rPr>
        <w:sectPr>
          <w:headerReference r:id="rId12" w:type="default"/>
          <w:footerReference r:id="rId13"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sz w:val="44"/>
          <w:szCs w:val="44"/>
          <w:lang w:eastAsia="zh-CN"/>
        </w:rPr>
        <w:drawing>
          <wp:inline distT="0" distB="0" distL="114300" distR="114300">
            <wp:extent cx="5632450" cy="7507605"/>
            <wp:effectExtent l="0" t="0" r="6350" b="17145"/>
            <wp:docPr id="26" name="图片 26" descr="1ef8984f99efa83fc203574bb54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ef8984f99efa83fc203574bb549e90"/>
                    <pic:cNvPicPr>
                      <a:picLocks noChangeAspect="1"/>
                    </pic:cNvPicPr>
                  </pic:nvPicPr>
                  <pic:blipFill>
                    <a:blip r:embed="rId32"/>
                    <a:stretch>
                      <a:fillRect/>
                    </a:stretch>
                  </pic:blipFill>
                  <pic:spPr>
                    <a:xfrm>
                      <a:off x="0" y="0"/>
                      <a:ext cx="5632450" cy="7507605"/>
                    </a:xfrm>
                    <a:prstGeom prst="rect">
                      <a:avLst/>
                    </a:prstGeom>
                  </pic:spPr>
                </pic:pic>
              </a:graphicData>
            </a:graphic>
          </wp:inline>
        </w:drawing>
      </w:r>
    </w:p>
    <w:p>
      <w:pPr>
        <w:pStyle w:val="24"/>
        <w:jc w:val="both"/>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eastAsia="zh-CN"/>
        </w:rPr>
        <w:drawing>
          <wp:inline distT="0" distB="0" distL="114300" distR="114300">
            <wp:extent cx="5632450" cy="7507605"/>
            <wp:effectExtent l="0" t="0" r="6350" b="17145"/>
            <wp:docPr id="29" name="图片 29" descr="b066e9c3de48a750e8f710adaf38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066e9c3de48a750e8f710adaf38b28"/>
                    <pic:cNvPicPr>
                      <a:picLocks noChangeAspect="1"/>
                    </pic:cNvPicPr>
                  </pic:nvPicPr>
                  <pic:blipFill>
                    <a:blip r:embed="rId33"/>
                    <a:stretch>
                      <a:fillRect/>
                    </a:stretch>
                  </pic:blipFill>
                  <pic:spPr>
                    <a:xfrm>
                      <a:off x="0" y="0"/>
                      <a:ext cx="5632450" cy="7507605"/>
                    </a:xfrm>
                    <a:prstGeom prst="rect">
                      <a:avLst/>
                    </a:prstGeom>
                  </pic:spPr>
                </pic:pic>
              </a:graphicData>
            </a:graphic>
          </wp:inline>
        </w:drawing>
      </w:r>
    </w:p>
    <w:p>
      <w:pPr>
        <w:rPr>
          <w:rFonts w:hint="eastAsia"/>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eastAsia="zh-CN"/>
        </w:rPr>
        <w:drawing>
          <wp:inline distT="0" distB="0" distL="114300" distR="114300">
            <wp:extent cx="5632450" cy="7507605"/>
            <wp:effectExtent l="0" t="0" r="6350" b="17145"/>
            <wp:docPr id="30" name="图片 30" descr="7b5b10e04d3411b2e79c0e261b23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b5b10e04d3411b2e79c0e261b23e0a"/>
                    <pic:cNvPicPr>
                      <a:picLocks noChangeAspect="1"/>
                    </pic:cNvPicPr>
                  </pic:nvPicPr>
                  <pic:blipFill>
                    <a:blip r:embed="rId34"/>
                    <a:stretch>
                      <a:fillRect/>
                    </a:stretch>
                  </pic:blipFill>
                  <pic:spPr>
                    <a:xfrm>
                      <a:off x="0" y="0"/>
                      <a:ext cx="5632450" cy="7507605"/>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lang w:val="en-US" w:eastAsia="zh-CN"/>
        </w:rPr>
      </w:pPr>
      <w:bookmarkStart w:id="94" w:name="_Toc523409025"/>
      <w:bookmarkStart w:id="95" w:name="_Toc523388573"/>
      <w:bookmarkStart w:id="96" w:name="_Toc6022"/>
      <w:r>
        <w:rPr>
          <w:rFonts w:hint="default" w:ascii="Times New Roman" w:hAnsi="Times New Roman" w:eastAsia="宋体" w:cs="Times New Roman"/>
        </w:rPr>
        <w:t>附件</w:t>
      </w:r>
      <w:r>
        <w:rPr>
          <w:rFonts w:hint="default" w:ascii="Times New Roman" w:hAnsi="Times New Roman" w:eastAsia="宋体" w:cs="Times New Roman"/>
          <w:lang w:val="en-US" w:eastAsia="zh-CN"/>
        </w:rPr>
        <w:t>3</w:t>
      </w:r>
      <w:r>
        <w:rPr>
          <w:rFonts w:hint="default" w:ascii="Times New Roman" w:hAnsi="Times New Roman" w:eastAsia="宋体" w:cs="Times New Roman"/>
        </w:rPr>
        <w:t>：</w:t>
      </w:r>
      <w:bookmarkEnd w:id="94"/>
      <w:bookmarkEnd w:id="95"/>
      <w:r>
        <w:rPr>
          <w:rFonts w:hint="default" w:ascii="Times New Roman" w:hAnsi="Times New Roman" w:eastAsia="宋体" w:cs="Times New Roman"/>
          <w:lang w:val="en-US" w:eastAsia="zh-CN"/>
        </w:rPr>
        <w:t>备案证明</w:t>
      </w:r>
      <w:bookmarkEnd w:id="96"/>
    </w:p>
    <w:p>
      <w:pPr>
        <w:widowControl/>
        <w:jc w:val="left"/>
        <w:rPr>
          <w:rFonts w:hint="default" w:ascii="Times New Roman" w:hAnsi="Times New Roman" w:eastAsia="宋体" w:cs="Times New Roman"/>
          <w:sz w:val="24"/>
          <w:szCs w:val="28"/>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bookmarkStart w:id="97" w:name="_Toc1346"/>
      <w:bookmarkStart w:id="98" w:name="_Toc14861"/>
      <w:bookmarkStart w:id="99" w:name="_Toc28266"/>
      <w:r>
        <w:drawing>
          <wp:inline distT="0" distB="0" distL="114300" distR="114300">
            <wp:extent cx="5269865" cy="8253095"/>
            <wp:effectExtent l="0" t="0" r="6985" b="146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5"/>
                    <a:stretch>
                      <a:fillRect/>
                    </a:stretch>
                  </pic:blipFill>
                  <pic:spPr>
                    <a:xfrm>
                      <a:off x="0" y="0"/>
                      <a:ext cx="5269865" cy="8253095"/>
                    </a:xfrm>
                    <a:prstGeom prst="rect">
                      <a:avLst/>
                    </a:prstGeom>
                    <a:noFill/>
                    <a:ln>
                      <a:noFill/>
                    </a:ln>
                  </pic:spPr>
                </pic:pic>
              </a:graphicData>
            </a:graphic>
          </wp:inline>
        </w:drawing>
      </w:r>
      <w:bookmarkEnd w:id="97"/>
      <w:bookmarkEnd w:id="98"/>
      <w:bookmarkEnd w:id="99"/>
    </w:p>
    <w:p>
      <w:pPr>
        <w:rPr>
          <w:rFonts w:hint="default"/>
          <w:lang w:val="en-US" w:eastAsia="zh-CN"/>
        </w:rPr>
      </w:pPr>
    </w:p>
    <w:p>
      <w:pPr>
        <w:rPr>
          <w:rFonts w:hint="default" w:ascii="Times New Roman" w:hAnsi="Times New Roman" w:eastAsia="宋体" w:cs="Times New Roman"/>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lang w:val="en-US" w:eastAsia="zh-CN"/>
        </w:rPr>
      </w:pPr>
      <w:bookmarkStart w:id="100" w:name="_Toc23366"/>
      <w:r>
        <w:rPr>
          <w:rFonts w:hint="default" w:ascii="Times New Roman" w:hAnsi="Times New Roman" w:eastAsia="宋体" w:cs="Times New Roman"/>
          <w:lang w:val="en-US" w:eastAsia="zh-CN"/>
        </w:rPr>
        <w:drawing>
          <wp:anchor distT="0" distB="0" distL="114300" distR="114300" simplePos="0" relativeHeight="251679744" behindDoc="0" locked="0" layoutInCell="1" allowOverlap="1">
            <wp:simplePos x="0" y="0"/>
            <wp:positionH relativeFrom="column">
              <wp:posOffset>1820545</wp:posOffset>
            </wp:positionH>
            <wp:positionV relativeFrom="paragraph">
              <wp:posOffset>-757555</wp:posOffset>
            </wp:positionV>
            <wp:extent cx="4979035" cy="6982460"/>
            <wp:effectExtent l="0" t="0" r="8890" b="12065"/>
            <wp:wrapNone/>
            <wp:docPr id="32" name="图片 32" descr="d6647121280a312b9a57b93d9f5b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6647121280a312b9a57b93d9f5b581"/>
                    <pic:cNvPicPr>
                      <a:picLocks noChangeAspect="1"/>
                    </pic:cNvPicPr>
                  </pic:nvPicPr>
                  <pic:blipFill>
                    <a:blip r:embed="rId36"/>
                    <a:srcRect t="11844" b="9269"/>
                    <a:stretch>
                      <a:fillRect/>
                    </a:stretch>
                  </pic:blipFill>
                  <pic:spPr>
                    <a:xfrm rot="16200000">
                      <a:off x="0" y="0"/>
                      <a:ext cx="4979035" cy="6982460"/>
                    </a:xfrm>
                    <a:prstGeom prst="rect">
                      <a:avLst/>
                    </a:prstGeom>
                  </pic:spPr>
                </pic:pic>
              </a:graphicData>
            </a:graphic>
          </wp:anchor>
        </w:drawing>
      </w:r>
      <w:r>
        <w:rPr>
          <w:rFonts w:hint="default" w:ascii="Times New Roman" w:hAnsi="Times New Roman" w:eastAsia="宋体" w:cs="Times New Roman"/>
          <w:lang w:val="en-US" w:eastAsia="zh-CN"/>
        </w:rPr>
        <w:t>附件4</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排污许可证</w:t>
      </w:r>
      <w:bookmarkEnd w:id="100"/>
    </w:p>
    <w:p>
      <w:pPr>
        <w:rPr>
          <w:rFonts w:hint="default" w:ascii="Times New Roman" w:hAnsi="Times New Roman" w:eastAsia="宋体" w:cs="Times New Roman"/>
          <w:lang w:val="en-US" w:eastAsia="zh-CN"/>
        </w:rPr>
      </w:pPr>
    </w:p>
    <w:p>
      <w:pPr>
        <w:pStyle w:val="10"/>
        <w:ind w:left="0" w:leftChars="0" w:firstLine="0" w:firstLineChars="0"/>
        <w:rPr>
          <w:rFonts w:hint="default" w:ascii="Times New Roman" w:hAnsi="Times New Roman" w:eastAsia="宋体" w:cs="Times New Roman"/>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2435"/>
        </w:tabs>
        <w:bidi w:val="0"/>
        <w:jc w:val="left"/>
        <w:rPr>
          <w:rFonts w:hint="eastAsia"/>
          <w:lang w:val="en-US" w:eastAsia="zh-CN"/>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bidi w:val="0"/>
        <w:rPr>
          <w:rFonts w:hint="eastAsia" w:ascii="宋体" w:hAnsi="宋体" w:eastAsia="宋体" w:cs="宋体"/>
          <w:lang w:val="en-US" w:eastAsia="zh-CN"/>
        </w:rPr>
      </w:pPr>
      <w:bookmarkStart w:id="101" w:name="_Toc523409014"/>
      <w:bookmarkStart w:id="102" w:name="_Toc523388562"/>
      <w:bookmarkStart w:id="103" w:name="_Toc20616"/>
      <w:bookmarkStart w:id="104" w:name="_Toc17724"/>
      <w:r>
        <w:rPr>
          <w:rFonts w:hint="eastAsia" w:ascii="宋体" w:hAnsi="宋体" w:eastAsia="宋体" w:cs="宋体"/>
        </w:rPr>
        <w:t>附件</w:t>
      </w:r>
      <w:r>
        <w:rPr>
          <w:rFonts w:hint="default" w:ascii="Times New Roman" w:hAnsi="Times New Roman" w:eastAsia="宋体" w:cs="Times New Roman"/>
        </w:rPr>
        <w:t>4</w:t>
      </w:r>
      <w:r>
        <w:rPr>
          <w:rFonts w:hint="eastAsia" w:ascii="宋体" w:hAnsi="宋体" w:eastAsia="宋体" w:cs="宋体"/>
        </w:rPr>
        <w:t>：</w:t>
      </w:r>
      <w:bookmarkEnd w:id="101"/>
      <w:bookmarkEnd w:id="102"/>
      <w:r>
        <w:rPr>
          <w:rFonts w:hint="eastAsia" w:ascii="宋体" w:hAnsi="宋体" w:eastAsia="宋体" w:cs="宋体"/>
          <w:lang w:val="en-US" w:eastAsia="zh-CN"/>
        </w:rPr>
        <w:t>工业用地证明</w:t>
      </w:r>
      <w:bookmarkEnd w:id="103"/>
      <w:bookmarkEnd w:id="104"/>
    </w:p>
    <w:p>
      <w:pPr>
        <w:pStyle w:val="2"/>
        <w:rPr>
          <w:rFonts w:hint="eastAsia"/>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drawing>
          <wp:inline distT="0" distB="0" distL="114300" distR="114300">
            <wp:extent cx="5266690" cy="7720965"/>
            <wp:effectExtent l="12700" t="12700" r="16510" b="19685"/>
            <wp:docPr id="33" name="图片 4" descr="e8f38fa33c03bab83477402535e01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e8f38fa33c03bab83477402535e01b8"/>
                    <pic:cNvPicPr>
                      <a:picLocks noChangeAspect="1"/>
                    </pic:cNvPicPr>
                  </pic:nvPicPr>
                  <pic:blipFill>
                    <a:blip r:embed="rId37"/>
                    <a:stretch>
                      <a:fillRect/>
                    </a:stretch>
                  </pic:blipFill>
                  <pic:spPr>
                    <a:xfrm>
                      <a:off x="0" y="0"/>
                      <a:ext cx="5266690" cy="7720965"/>
                    </a:xfrm>
                    <a:prstGeom prst="rect">
                      <a:avLst/>
                    </a:prstGeom>
                    <a:noFill/>
                    <a:ln w="12700" cap="flat" cmpd="sng">
                      <a:solidFill>
                        <a:srgbClr val="000000"/>
                      </a:solidFill>
                      <a:prstDash val="solid"/>
                      <a:round/>
                      <a:headEnd type="none" w="med" len="med"/>
                      <a:tailEnd type="none" w="med" len="med"/>
                    </a:ln>
                  </pic:spPr>
                </pic:pic>
              </a:graphicData>
            </a:graphic>
          </wp:inline>
        </w:drawing>
      </w:r>
    </w:p>
    <w:p>
      <w:pPr>
        <w:pStyle w:val="4"/>
        <w:bidi w:val="0"/>
        <w:jc w:val="left"/>
        <w:rPr>
          <w:rFonts w:hint="default" w:ascii="Times New Roman" w:hAnsi="Times New Roman" w:eastAsia="宋体" w:cs="Times New Roman"/>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bookmarkStart w:id="105" w:name="_Toc19445"/>
      <w:r>
        <w:rPr>
          <w:rFonts w:hint="default" w:ascii="Times New Roman" w:hAnsi="Times New Roman" w:eastAsia="宋体" w:cs="Times New Roman"/>
          <w:lang w:val="en-US" w:eastAsia="zh-CN"/>
        </w:rPr>
        <w:t>附件6：危废运转</w:t>
      </w:r>
      <w:r>
        <w:rPr>
          <w:rFonts w:hint="default" w:ascii="Times New Roman" w:hAnsi="Times New Roman" w:eastAsia="宋体" w:cs="Times New Roman"/>
          <w:lang w:val="en-US" w:eastAsia="zh-CN"/>
        </w:rPr>
        <w:drawing>
          <wp:inline distT="0" distB="0" distL="114300" distR="114300">
            <wp:extent cx="4979035" cy="8241665"/>
            <wp:effectExtent l="0" t="0" r="12065" b="6985"/>
            <wp:docPr id="54" name="图片 54" descr="微信图片_202312250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31225094608"/>
                    <pic:cNvPicPr>
                      <a:picLocks noChangeAspect="1"/>
                    </pic:cNvPicPr>
                  </pic:nvPicPr>
                  <pic:blipFill>
                    <a:blip r:embed="rId38"/>
                    <a:stretch>
                      <a:fillRect/>
                    </a:stretch>
                  </pic:blipFill>
                  <pic:spPr>
                    <a:xfrm>
                      <a:off x="0" y="0"/>
                      <a:ext cx="4979035" cy="824166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4979035" cy="8292465"/>
            <wp:effectExtent l="0" t="0" r="12065" b="13335"/>
            <wp:docPr id="28" name="图片 28" descr="微信图片_2023122509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31225094616"/>
                    <pic:cNvPicPr>
                      <a:picLocks noChangeAspect="1"/>
                    </pic:cNvPicPr>
                  </pic:nvPicPr>
                  <pic:blipFill>
                    <a:blip r:embed="rId39"/>
                    <a:stretch>
                      <a:fillRect/>
                    </a:stretch>
                  </pic:blipFill>
                  <pic:spPr>
                    <a:xfrm>
                      <a:off x="0" y="0"/>
                      <a:ext cx="4979035" cy="829246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4979035" cy="8851265"/>
            <wp:effectExtent l="0" t="0" r="12065" b="6985"/>
            <wp:docPr id="23" name="图片 23" descr="微信图片_2023122509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25094622"/>
                    <pic:cNvPicPr>
                      <a:picLocks noChangeAspect="1"/>
                    </pic:cNvPicPr>
                  </pic:nvPicPr>
                  <pic:blipFill>
                    <a:blip r:embed="rId40"/>
                    <a:stretch>
                      <a:fillRect/>
                    </a:stretch>
                  </pic:blipFill>
                  <pic:spPr>
                    <a:xfrm>
                      <a:off x="0" y="0"/>
                      <a:ext cx="4979035" cy="885126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4979035" cy="8851265"/>
            <wp:effectExtent l="0" t="0" r="12065" b="6985"/>
            <wp:docPr id="20" name="图片 20" descr="微信图片_2023122509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225094628"/>
                    <pic:cNvPicPr>
                      <a:picLocks noChangeAspect="1"/>
                    </pic:cNvPicPr>
                  </pic:nvPicPr>
                  <pic:blipFill>
                    <a:blip r:embed="rId41"/>
                    <a:stretch>
                      <a:fillRect/>
                    </a:stretch>
                  </pic:blipFill>
                  <pic:spPr>
                    <a:xfrm>
                      <a:off x="0" y="0"/>
                      <a:ext cx="4979035" cy="885126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4979035" cy="8851265"/>
            <wp:effectExtent l="0" t="0" r="12065" b="6985"/>
            <wp:docPr id="19" name="图片 19" descr="微信图片_2023122509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1225094636"/>
                    <pic:cNvPicPr>
                      <a:picLocks noChangeAspect="1"/>
                    </pic:cNvPicPr>
                  </pic:nvPicPr>
                  <pic:blipFill>
                    <a:blip r:embed="rId42"/>
                    <a:stretch>
                      <a:fillRect/>
                    </a:stretch>
                  </pic:blipFill>
                  <pic:spPr>
                    <a:xfrm>
                      <a:off x="0" y="0"/>
                      <a:ext cx="4979035" cy="885126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4979035" cy="8851265"/>
            <wp:effectExtent l="0" t="0" r="12065" b="6985"/>
            <wp:docPr id="18" name="图片 18" descr="微信图片_2023122509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225094644"/>
                    <pic:cNvPicPr>
                      <a:picLocks noChangeAspect="1"/>
                    </pic:cNvPicPr>
                  </pic:nvPicPr>
                  <pic:blipFill>
                    <a:blip r:embed="rId43"/>
                    <a:stretch>
                      <a:fillRect/>
                    </a:stretch>
                  </pic:blipFill>
                  <pic:spPr>
                    <a:xfrm>
                      <a:off x="0" y="0"/>
                      <a:ext cx="4979035" cy="885126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4979035" cy="8851265"/>
            <wp:effectExtent l="0" t="0" r="12065" b="6985"/>
            <wp:docPr id="17" name="图片 17" descr="微信图片_2023122509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1225094651"/>
                    <pic:cNvPicPr>
                      <a:picLocks noChangeAspect="1"/>
                    </pic:cNvPicPr>
                  </pic:nvPicPr>
                  <pic:blipFill>
                    <a:blip r:embed="rId44"/>
                    <a:stretch>
                      <a:fillRect/>
                    </a:stretch>
                  </pic:blipFill>
                  <pic:spPr>
                    <a:xfrm>
                      <a:off x="0" y="0"/>
                      <a:ext cx="4979035" cy="8851265"/>
                    </a:xfrm>
                    <a:prstGeom prst="rect">
                      <a:avLst/>
                    </a:prstGeom>
                  </pic:spPr>
                </pic:pic>
              </a:graphicData>
            </a:graphic>
          </wp:inline>
        </w:drawing>
      </w:r>
      <w:bookmarkEnd w:id="105"/>
    </w:p>
    <w:p>
      <w:pPr>
        <w:pStyle w:val="2"/>
        <w:rPr>
          <w:rFonts w:hint="default"/>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lang w:val="en-US" w:eastAsia="zh-CN"/>
        </w:rPr>
      </w:pPr>
      <w:bookmarkStart w:id="106" w:name="_Toc23553"/>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：监测报告</w:t>
      </w:r>
      <w:bookmarkEnd w:id="106"/>
    </w:p>
    <w:p>
      <w:pPr>
        <w:pStyle w:val="14"/>
        <w:ind w:left="0" w:leftChars="0" w:firstLine="0" w:firstLineChars="0"/>
        <w:rPr>
          <w:rFonts w:hint="eastAsia"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lang w:eastAsia="zh-CN"/>
        </w:rPr>
        <w:drawing>
          <wp:inline distT="0" distB="0" distL="114300" distR="114300">
            <wp:extent cx="5634355" cy="7967345"/>
            <wp:effectExtent l="0" t="0" r="4445" b="14605"/>
            <wp:docPr id="16" name="图片 16" descr="HC23121602山东省朗荣玻璃科技有限公司监测数据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C23121602山东省朗荣玻璃科技有限公司监测数据_页面_01"/>
                    <pic:cNvPicPr>
                      <a:picLocks noChangeAspect="1"/>
                    </pic:cNvPicPr>
                  </pic:nvPicPr>
                  <pic:blipFill>
                    <a:blip r:embed="rId45"/>
                    <a:stretch>
                      <a:fillRect/>
                    </a:stretch>
                  </pic:blipFill>
                  <pic:spPr>
                    <a:xfrm>
                      <a:off x="0" y="0"/>
                      <a:ext cx="5634355" cy="796734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4355" cy="7967345"/>
            <wp:effectExtent l="0" t="0" r="4445" b="14605"/>
            <wp:docPr id="15" name="图片 15" descr="HC23121602山东省朗荣玻璃科技有限公司监测数据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C23121602山东省朗荣玻璃科技有限公司监测数据_页面_02"/>
                    <pic:cNvPicPr>
                      <a:picLocks noChangeAspect="1"/>
                    </pic:cNvPicPr>
                  </pic:nvPicPr>
                  <pic:blipFill>
                    <a:blip r:embed="rId46"/>
                    <a:stretch>
                      <a:fillRect/>
                    </a:stretch>
                  </pic:blipFill>
                  <pic:spPr>
                    <a:xfrm>
                      <a:off x="0" y="0"/>
                      <a:ext cx="5634355" cy="796734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3720" cy="7967345"/>
            <wp:effectExtent l="0" t="0" r="5080" b="14605"/>
            <wp:docPr id="14" name="图片 14" descr="HC23121602山东省朗荣玻璃科技有限公司监测数据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C23121602山东省朗荣玻璃科技有限公司监测数据_页面_03"/>
                    <pic:cNvPicPr>
                      <a:picLocks noChangeAspect="1"/>
                    </pic:cNvPicPr>
                  </pic:nvPicPr>
                  <pic:blipFill>
                    <a:blip r:embed="rId47"/>
                    <a:stretch>
                      <a:fillRect/>
                    </a:stretch>
                  </pic:blipFill>
                  <pic:spPr>
                    <a:xfrm>
                      <a:off x="0" y="0"/>
                      <a:ext cx="5633720" cy="796734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3720" cy="7967345"/>
            <wp:effectExtent l="0" t="0" r="5080" b="14605"/>
            <wp:docPr id="13" name="图片 13" descr="HC23121602山东省朗荣玻璃科技有限公司监测数据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C23121602山东省朗荣玻璃科技有限公司监测数据_页面_04"/>
                    <pic:cNvPicPr>
                      <a:picLocks noChangeAspect="1"/>
                    </pic:cNvPicPr>
                  </pic:nvPicPr>
                  <pic:blipFill>
                    <a:blip r:embed="rId48"/>
                    <a:stretch>
                      <a:fillRect/>
                    </a:stretch>
                  </pic:blipFill>
                  <pic:spPr>
                    <a:xfrm>
                      <a:off x="0" y="0"/>
                      <a:ext cx="5633720" cy="796734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3720" cy="7967345"/>
            <wp:effectExtent l="0" t="0" r="5080" b="14605"/>
            <wp:docPr id="12" name="图片 12" descr="HC23121602山东省朗荣玻璃科技有限公司监测数据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C23121602山东省朗荣玻璃科技有限公司监测数据_页面_05"/>
                    <pic:cNvPicPr>
                      <a:picLocks noChangeAspect="1"/>
                    </pic:cNvPicPr>
                  </pic:nvPicPr>
                  <pic:blipFill>
                    <a:blip r:embed="rId49"/>
                    <a:stretch>
                      <a:fillRect/>
                    </a:stretch>
                  </pic:blipFill>
                  <pic:spPr>
                    <a:xfrm>
                      <a:off x="0" y="0"/>
                      <a:ext cx="5633720" cy="796734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3720" cy="7967345"/>
            <wp:effectExtent l="0" t="0" r="5080" b="14605"/>
            <wp:docPr id="11" name="图片 11" descr="HC23121602山东省朗荣玻璃科技有限公司监测数据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C23121602山东省朗荣玻璃科技有限公司监测数据_页面_06"/>
                    <pic:cNvPicPr>
                      <a:picLocks noChangeAspect="1"/>
                    </pic:cNvPicPr>
                  </pic:nvPicPr>
                  <pic:blipFill>
                    <a:blip r:embed="rId50"/>
                    <a:stretch>
                      <a:fillRect/>
                    </a:stretch>
                  </pic:blipFill>
                  <pic:spPr>
                    <a:xfrm>
                      <a:off x="0" y="0"/>
                      <a:ext cx="5633720" cy="796734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5625" cy="3985260"/>
            <wp:effectExtent l="0" t="0" r="3175" b="15240"/>
            <wp:docPr id="9" name="图片 9" descr="HC23121602山东省朗荣玻璃科技有限公司监测数据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C23121602山东省朗荣玻璃科技有限公司监测数据_页面_07"/>
                    <pic:cNvPicPr>
                      <a:picLocks noChangeAspect="1"/>
                    </pic:cNvPicPr>
                  </pic:nvPicPr>
                  <pic:blipFill>
                    <a:blip r:embed="rId51"/>
                    <a:stretch>
                      <a:fillRect/>
                    </a:stretch>
                  </pic:blipFill>
                  <pic:spPr>
                    <a:xfrm>
                      <a:off x="0" y="0"/>
                      <a:ext cx="5635625" cy="398526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3720" cy="7967345"/>
            <wp:effectExtent l="0" t="0" r="5080" b="14605"/>
            <wp:docPr id="8" name="图片 8" descr="HC23121602山东省朗荣玻璃科技有限公司监测数据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C23121602山东省朗荣玻璃科技有限公司监测数据_页面_08"/>
                    <pic:cNvPicPr>
                      <a:picLocks noChangeAspect="1"/>
                    </pic:cNvPicPr>
                  </pic:nvPicPr>
                  <pic:blipFill>
                    <a:blip r:embed="rId52"/>
                    <a:stretch>
                      <a:fillRect/>
                    </a:stretch>
                  </pic:blipFill>
                  <pic:spPr>
                    <a:xfrm>
                      <a:off x="0" y="0"/>
                      <a:ext cx="5633720" cy="796734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3720" cy="7967345"/>
            <wp:effectExtent l="0" t="0" r="5080" b="14605"/>
            <wp:docPr id="7" name="图片 7" descr="HC23121602山东省朗荣玻璃科技有限公司监测数据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C23121602山东省朗荣玻璃科技有限公司监测数据_页面_09"/>
                    <pic:cNvPicPr>
                      <a:picLocks noChangeAspect="1"/>
                    </pic:cNvPicPr>
                  </pic:nvPicPr>
                  <pic:blipFill>
                    <a:blip r:embed="rId53"/>
                    <a:stretch>
                      <a:fillRect/>
                    </a:stretch>
                  </pic:blipFill>
                  <pic:spPr>
                    <a:xfrm>
                      <a:off x="0" y="0"/>
                      <a:ext cx="5633720" cy="796734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3720" cy="7967345"/>
            <wp:effectExtent l="0" t="0" r="5080" b="14605"/>
            <wp:docPr id="6" name="图片 6" descr="HC23121602山东省朗荣玻璃科技有限公司监测数据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C23121602山东省朗荣玻璃科技有限公司监测数据_页面_10"/>
                    <pic:cNvPicPr>
                      <a:picLocks noChangeAspect="1"/>
                    </pic:cNvPicPr>
                  </pic:nvPicPr>
                  <pic:blipFill>
                    <a:blip r:embed="rId54"/>
                    <a:stretch>
                      <a:fillRect/>
                    </a:stretch>
                  </pic:blipFill>
                  <pic:spPr>
                    <a:xfrm>
                      <a:off x="0" y="0"/>
                      <a:ext cx="5633720" cy="796734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3085" cy="7966710"/>
            <wp:effectExtent l="0" t="0" r="5715" b="15240"/>
            <wp:docPr id="5" name="图片 5" descr="HC23121602山东省朗荣玻璃科技有限公司监测数据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C23121602山东省朗荣玻璃科技有限公司监测数据_页面_11"/>
                    <pic:cNvPicPr>
                      <a:picLocks noChangeAspect="1"/>
                    </pic:cNvPicPr>
                  </pic:nvPicPr>
                  <pic:blipFill>
                    <a:blip r:embed="rId55"/>
                    <a:stretch>
                      <a:fillRect/>
                    </a:stretch>
                  </pic:blipFill>
                  <pic:spPr>
                    <a:xfrm>
                      <a:off x="0" y="0"/>
                      <a:ext cx="5633085" cy="7966710"/>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5633720" cy="7967345"/>
            <wp:effectExtent l="0" t="0" r="5080" b="14605"/>
            <wp:docPr id="1" name="图片 1" descr="HC23121602山东省朗荣玻璃科技有限公司监测数据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C23121602山东省朗荣玻璃科技有限公司监测数据_页面_12"/>
                    <pic:cNvPicPr>
                      <a:picLocks noChangeAspect="1"/>
                    </pic:cNvPicPr>
                  </pic:nvPicPr>
                  <pic:blipFill>
                    <a:blip r:embed="rId56"/>
                    <a:stretch>
                      <a:fillRect/>
                    </a:stretch>
                  </pic:blipFill>
                  <pic:spPr>
                    <a:xfrm>
                      <a:off x="0" y="0"/>
                      <a:ext cx="5633720" cy="7967345"/>
                    </a:xfrm>
                    <a:prstGeom prst="rect">
                      <a:avLst/>
                    </a:prstGeom>
                  </pic:spPr>
                </pic:pic>
              </a:graphicData>
            </a:graphic>
          </wp:inline>
        </w:drawing>
      </w:r>
    </w:p>
    <w:p>
      <w:pPr>
        <w:pStyle w:val="4"/>
        <w:bidi w:val="0"/>
        <w:rPr>
          <w:rFonts w:hint="default" w:ascii="Times New Roman" w:hAnsi="Times New Roman" w:eastAsia="宋体" w:cs="Times New Roman"/>
          <w:lang w:val="en-US" w:eastAsia="zh-CN"/>
        </w:rPr>
      </w:pPr>
      <w:bookmarkStart w:id="107" w:name="_Toc10515"/>
      <w:r>
        <w:rPr>
          <w:rFonts w:hint="default" w:ascii="Times New Roman" w:hAnsi="Times New Roman" w:eastAsia="宋体" w:cs="Times New Roman"/>
          <w:lang w:val="en-US" w:eastAsia="zh-CN"/>
        </w:rPr>
        <w:t>附件8：环保验收公示</w:t>
      </w:r>
      <w:bookmarkEnd w:id="107"/>
    </w:p>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 w:name="方正楷体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Wingdings 2">
    <w:altName w:val="Wingdings"/>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33"/>
      </w:rPr>
    </w:pPr>
    <w:r>
      <w:fldChar w:fldCharType="begin"/>
    </w:r>
    <w:r>
      <w:rPr>
        <w:rStyle w:val="33"/>
      </w:rPr>
      <w:instrText xml:space="preserve">PAGE  </w:instrTex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KHMcwBAACeAwAADgAAAGRycy9lMm9Eb2MueG1srVPNjtMwEL4j8Q6W&#10;79RJkFAVNV3tqlqEhABp4QFcx2ks+U8et0lfAN6AExfuPFefg7GTdGG57IGLM54Zf/N9M5PNzWg0&#10;OckAytmGlquCEmmFa5U9NPTL5/tXa0ogctty7axs6FkCvdm+fLEZfC0r1zvdykAQxEI9+Ib2Mfqa&#10;MRC9NBxWzkuLwc4FwyNew4G1gQ+IbjSriuING1xofXBCAqB3NwXpjBieA+i6Tgm5c+JopI0TapCa&#10;R5QEvfJAt5lt10kRP3YdyEh0Q1FpzCcWQXufTrbd8PoQuO+VmCnw51B4oslwZbHoFWrHIyfHoP6B&#10;MkoEB66LK+EMm4TkjqCKsnjSm4eee5m1YKvBX5sO/w9WfDh9CkS1uAlVSYnlBkd++f7t8uPX5edX&#10;Uhavq9SjwUONqQ8ek+N450bMX/yAziR97IJJXxRFMI4dPl87LMdIRHq0rtbrAkMCY8sF8dnjcx8g&#10;vpXOkGQ0NOAIc2f56T3EKXVJSdWsu1da5zFq+5cDMZOHJe4Tx2TFcT/OgvauPaOeAaffUIvLTol+&#10;Z7G5aVEWIyzGfjGOPqhDj9TKzAv87TEiicwtVZhg58I4tqxuXrG0F3/ec9bjb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tkocxzAEAAJ4DAAAOAAAAAAAAAAEAIAAAAB4BAABkcnMvZTJv&#10;RG9jLnhtbFBLBQYAAAAABgAGAFkBAABcBQAAAAA=&#10;">
              <v:fill on="f" focussize="0,0"/>
              <v:stroke on="f"/>
              <v:imagedata o:title=""/>
              <o:lock v:ext="edit" aspectratio="f"/>
              <v:textbox inset="0mm,0mm,0mm,0mm" style="mso-fit-shape-to-text:t;">
                <w:txbxContent>
                  <w:p>
                    <w:pPr>
                      <w:pStyle w:val="16"/>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49</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cs="Times New Roman"/>
        <w:u w:val="none"/>
      </w:rPr>
    </w:pPr>
    <w:r>
      <w:rPr>
        <w:rFonts w:hint="eastAsia" w:ascii="Times New Roman" w:hAnsi="Times New Roman" w:cs="Times New Roman"/>
        <w:u w:val="none"/>
        <w:lang w:val="en-US" w:eastAsia="zh-CN"/>
      </w:rPr>
      <w:t>山东省朗荣玻璃科技股份有限公司钢化玻璃、夹层玻璃、中空玻璃生产项目</w:t>
    </w:r>
    <w:r>
      <w:rPr>
        <w:rFonts w:ascii="Times New Roman" w:hAnsi="Times New Roman" w:cs="Times New Roman"/>
        <w:u w:val="none"/>
      </w:rPr>
      <w:t>环境保护竣工验收报告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曹县庄寨镇张合献木制品厂年产10万张拼板芯板项目环境保护</w:t>
    </w:r>
    <w:r>
      <w:t>竣工验收报告表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u w:val="none"/>
      </w:rPr>
    </w:pPr>
    <w:r>
      <w:rPr>
        <w:rFonts w:hint="eastAsia" w:ascii="Times New Roman" w:hAnsi="Times New Roman" w:cs="Times New Roman"/>
        <w:lang w:val="en-US" w:eastAsia="zh-CN"/>
      </w:rPr>
      <w:t>山东省朗荣玻璃科技股份有限公司钢化玻璃、夹层玻璃、中空玻璃生产项目</w:t>
    </w:r>
    <w:r>
      <w:rPr>
        <w:rFonts w:ascii="Times New Roman" w:hAnsi="Times New Roman" w:cs="Times New Roman"/>
      </w:rPr>
      <w:t>环境保护竣工验收报告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8E0B31"/>
    <w:multiLevelType w:val="singleLevel"/>
    <w:tmpl w:val="F78E0B31"/>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
    <w:nsid w:val="6A5C4117"/>
    <w:multiLevelType w:val="singleLevel"/>
    <w:tmpl w:val="6A5C4117"/>
    <w:lvl w:ilvl="0" w:tentative="0">
      <w:start w:val="1"/>
      <w:numFmt w:val="decimal"/>
      <w:suff w:val="nothing"/>
      <w:lvlText w:val="%1、"/>
      <w:lvlJc w:val="left"/>
    </w:lvl>
  </w:abstractNum>
  <w:abstractNum w:abstractNumId="2">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7B89594E"/>
    <w:multiLevelType w:val="singleLevel"/>
    <w:tmpl w:val="7B89594E"/>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Yzc2NGUxYzA1ZDdkZTU5NDlkNzJmNTY0ODBlZjkifQ=="/>
  </w:docVars>
  <w:rsids>
    <w:rsidRoot w:val="00F929C3"/>
    <w:rsid w:val="0000023A"/>
    <w:rsid w:val="00001C1F"/>
    <w:rsid w:val="000020F4"/>
    <w:rsid w:val="00002193"/>
    <w:rsid w:val="00003422"/>
    <w:rsid w:val="000040CF"/>
    <w:rsid w:val="00004DF9"/>
    <w:rsid w:val="000050AE"/>
    <w:rsid w:val="000058BD"/>
    <w:rsid w:val="00005CA4"/>
    <w:rsid w:val="00011508"/>
    <w:rsid w:val="00012223"/>
    <w:rsid w:val="00012C76"/>
    <w:rsid w:val="00014BE5"/>
    <w:rsid w:val="00015422"/>
    <w:rsid w:val="000163ED"/>
    <w:rsid w:val="00021191"/>
    <w:rsid w:val="00021772"/>
    <w:rsid w:val="000237C4"/>
    <w:rsid w:val="00023C49"/>
    <w:rsid w:val="00025EF4"/>
    <w:rsid w:val="000276AE"/>
    <w:rsid w:val="00027C91"/>
    <w:rsid w:val="000309BF"/>
    <w:rsid w:val="00031523"/>
    <w:rsid w:val="000352BC"/>
    <w:rsid w:val="00036884"/>
    <w:rsid w:val="00040526"/>
    <w:rsid w:val="000420E9"/>
    <w:rsid w:val="000427E3"/>
    <w:rsid w:val="00044EB6"/>
    <w:rsid w:val="00046A37"/>
    <w:rsid w:val="00047996"/>
    <w:rsid w:val="00047A96"/>
    <w:rsid w:val="0005304C"/>
    <w:rsid w:val="0005323F"/>
    <w:rsid w:val="000532AD"/>
    <w:rsid w:val="00055D6D"/>
    <w:rsid w:val="00056073"/>
    <w:rsid w:val="00060B06"/>
    <w:rsid w:val="00060D86"/>
    <w:rsid w:val="00061639"/>
    <w:rsid w:val="00062E3A"/>
    <w:rsid w:val="0006389C"/>
    <w:rsid w:val="00065575"/>
    <w:rsid w:val="000660EF"/>
    <w:rsid w:val="00067054"/>
    <w:rsid w:val="00067DB4"/>
    <w:rsid w:val="0007166B"/>
    <w:rsid w:val="000716C8"/>
    <w:rsid w:val="00073600"/>
    <w:rsid w:val="00074573"/>
    <w:rsid w:val="00076B45"/>
    <w:rsid w:val="00080FF4"/>
    <w:rsid w:val="000837DB"/>
    <w:rsid w:val="0008423E"/>
    <w:rsid w:val="00087256"/>
    <w:rsid w:val="000872D1"/>
    <w:rsid w:val="00087AA0"/>
    <w:rsid w:val="000902F6"/>
    <w:rsid w:val="000905D9"/>
    <w:rsid w:val="00091518"/>
    <w:rsid w:val="00091D83"/>
    <w:rsid w:val="00094525"/>
    <w:rsid w:val="00095269"/>
    <w:rsid w:val="000954EF"/>
    <w:rsid w:val="0009551D"/>
    <w:rsid w:val="00096C3D"/>
    <w:rsid w:val="0009748D"/>
    <w:rsid w:val="00097AC7"/>
    <w:rsid w:val="00097D0F"/>
    <w:rsid w:val="000A07BB"/>
    <w:rsid w:val="000A4CB2"/>
    <w:rsid w:val="000A4F0E"/>
    <w:rsid w:val="000A59AF"/>
    <w:rsid w:val="000A5EB7"/>
    <w:rsid w:val="000A643F"/>
    <w:rsid w:val="000B060C"/>
    <w:rsid w:val="000B0790"/>
    <w:rsid w:val="000B0D13"/>
    <w:rsid w:val="000B0F68"/>
    <w:rsid w:val="000B17CF"/>
    <w:rsid w:val="000B1E94"/>
    <w:rsid w:val="000B3AF6"/>
    <w:rsid w:val="000B4D5B"/>
    <w:rsid w:val="000B4FB5"/>
    <w:rsid w:val="000B5EE3"/>
    <w:rsid w:val="000C28FF"/>
    <w:rsid w:val="000C33D3"/>
    <w:rsid w:val="000C3AB7"/>
    <w:rsid w:val="000C55D2"/>
    <w:rsid w:val="000C5E17"/>
    <w:rsid w:val="000C7E04"/>
    <w:rsid w:val="000D1581"/>
    <w:rsid w:val="000D18AE"/>
    <w:rsid w:val="000D24F2"/>
    <w:rsid w:val="000D6C27"/>
    <w:rsid w:val="000D7D61"/>
    <w:rsid w:val="000E03F6"/>
    <w:rsid w:val="000E2582"/>
    <w:rsid w:val="000E27CC"/>
    <w:rsid w:val="000E3E89"/>
    <w:rsid w:val="000E4ACA"/>
    <w:rsid w:val="000E610C"/>
    <w:rsid w:val="000F419E"/>
    <w:rsid w:val="000F54C0"/>
    <w:rsid w:val="000F5A20"/>
    <w:rsid w:val="000F5E1A"/>
    <w:rsid w:val="000F65B6"/>
    <w:rsid w:val="00100891"/>
    <w:rsid w:val="0010146B"/>
    <w:rsid w:val="00102691"/>
    <w:rsid w:val="001039D2"/>
    <w:rsid w:val="00104122"/>
    <w:rsid w:val="00106704"/>
    <w:rsid w:val="00106A7F"/>
    <w:rsid w:val="001070BF"/>
    <w:rsid w:val="00110390"/>
    <w:rsid w:val="001105D9"/>
    <w:rsid w:val="00113BDF"/>
    <w:rsid w:val="001159E5"/>
    <w:rsid w:val="001207E8"/>
    <w:rsid w:val="00122CB9"/>
    <w:rsid w:val="00122E81"/>
    <w:rsid w:val="0012353D"/>
    <w:rsid w:val="00124A57"/>
    <w:rsid w:val="00125213"/>
    <w:rsid w:val="0012583D"/>
    <w:rsid w:val="00132384"/>
    <w:rsid w:val="00135368"/>
    <w:rsid w:val="00137119"/>
    <w:rsid w:val="00137FF9"/>
    <w:rsid w:val="00141802"/>
    <w:rsid w:val="00142104"/>
    <w:rsid w:val="0014257B"/>
    <w:rsid w:val="00144DA4"/>
    <w:rsid w:val="00144F3D"/>
    <w:rsid w:val="0014794D"/>
    <w:rsid w:val="0015066F"/>
    <w:rsid w:val="00151300"/>
    <w:rsid w:val="001514F8"/>
    <w:rsid w:val="001533AA"/>
    <w:rsid w:val="0015381D"/>
    <w:rsid w:val="0015428E"/>
    <w:rsid w:val="00156D10"/>
    <w:rsid w:val="00157179"/>
    <w:rsid w:val="00160ECF"/>
    <w:rsid w:val="0016136C"/>
    <w:rsid w:val="00161E87"/>
    <w:rsid w:val="00163CC0"/>
    <w:rsid w:val="001649B9"/>
    <w:rsid w:val="00165023"/>
    <w:rsid w:val="001653FD"/>
    <w:rsid w:val="00167B05"/>
    <w:rsid w:val="001711C5"/>
    <w:rsid w:val="00172C62"/>
    <w:rsid w:val="00172D43"/>
    <w:rsid w:val="00173CBC"/>
    <w:rsid w:val="0017404D"/>
    <w:rsid w:val="00174102"/>
    <w:rsid w:val="001749A7"/>
    <w:rsid w:val="001756DB"/>
    <w:rsid w:val="00175778"/>
    <w:rsid w:val="0017599D"/>
    <w:rsid w:val="001807EB"/>
    <w:rsid w:val="00181F0A"/>
    <w:rsid w:val="00182731"/>
    <w:rsid w:val="00183E11"/>
    <w:rsid w:val="00184856"/>
    <w:rsid w:val="001848DC"/>
    <w:rsid w:val="00187600"/>
    <w:rsid w:val="00190166"/>
    <w:rsid w:val="00190552"/>
    <w:rsid w:val="00190FDB"/>
    <w:rsid w:val="001922BF"/>
    <w:rsid w:val="00192B4A"/>
    <w:rsid w:val="00193129"/>
    <w:rsid w:val="0019537D"/>
    <w:rsid w:val="00196F2D"/>
    <w:rsid w:val="00197711"/>
    <w:rsid w:val="00197837"/>
    <w:rsid w:val="00197F43"/>
    <w:rsid w:val="001A00FD"/>
    <w:rsid w:val="001A089E"/>
    <w:rsid w:val="001A0F78"/>
    <w:rsid w:val="001A13B4"/>
    <w:rsid w:val="001A1AD2"/>
    <w:rsid w:val="001A2D59"/>
    <w:rsid w:val="001A3D70"/>
    <w:rsid w:val="001A46D7"/>
    <w:rsid w:val="001A47BA"/>
    <w:rsid w:val="001A499C"/>
    <w:rsid w:val="001A55FA"/>
    <w:rsid w:val="001A57E8"/>
    <w:rsid w:val="001A6A8C"/>
    <w:rsid w:val="001A7F6D"/>
    <w:rsid w:val="001B0F75"/>
    <w:rsid w:val="001B1F02"/>
    <w:rsid w:val="001B31C9"/>
    <w:rsid w:val="001B3ED3"/>
    <w:rsid w:val="001B6277"/>
    <w:rsid w:val="001B7024"/>
    <w:rsid w:val="001C083C"/>
    <w:rsid w:val="001C0AF2"/>
    <w:rsid w:val="001C1985"/>
    <w:rsid w:val="001C1BD3"/>
    <w:rsid w:val="001C2AF9"/>
    <w:rsid w:val="001C4E78"/>
    <w:rsid w:val="001C6313"/>
    <w:rsid w:val="001C6F6D"/>
    <w:rsid w:val="001D1411"/>
    <w:rsid w:val="001D41D6"/>
    <w:rsid w:val="001D5786"/>
    <w:rsid w:val="001D622A"/>
    <w:rsid w:val="001D71E1"/>
    <w:rsid w:val="001E174F"/>
    <w:rsid w:val="001E1A09"/>
    <w:rsid w:val="001E3751"/>
    <w:rsid w:val="001E42FD"/>
    <w:rsid w:val="001E4333"/>
    <w:rsid w:val="001E4483"/>
    <w:rsid w:val="001E5217"/>
    <w:rsid w:val="001E663A"/>
    <w:rsid w:val="001E6C78"/>
    <w:rsid w:val="001F19F7"/>
    <w:rsid w:val="001F338B"/>
    <w:rsid w:val="001F35AD"/>
    <w:rsid w:val="001F67B0"/>
    <w:rsid w:val="001F6D52"/>
    <w:rsid w:val="001F7A16"/>
    <w:rsid w:val="0020068C"/>
    <w:rsid w:val="00201295"/>
    <w:rsid w:val="00201A02"/>
    <w:rsid w:val="00202339"/>
    <w:rsid w:val="00202E1E"/>
    <w:rsid w:val="002038B2"/>
    <w:rsid w:val="00203D10"/>
    <w:rsid w:val="00203E99"/>
    <w:rsid w:val="00206F1F"/>
    <w:rsid w:val="00210216"/>
    <w:rsid w:val="002119A0"/>
    <w:rsid w:val="002120DF"/>
    <w:rsid w:val="00213527"/>
    <w:rsid w:val="002136CF"/>
    <w:rsid w:val="00213F58"/>
    <w:rsid w:val="00214D67"/>
    <w:rsid w:val="00215BA8"/>
    <w:rsid w:val="00215D39"/>
    <w:rsid w:val="00215D60"/>
    <w:rsid w:val="0021628F"/>
    <w:rsid w:val="0021760A"/>
    <w:rsid w:val="0021781B"/>
    <w:rsid w:val="00220A17"/>
    <w:rsid w:val="00220F1D"/>
    <w:rsid w:val="00222F43"/>
    <w:rsid w:val="00223D22"/>
    <w:rsid w:val="0022439D"/>
    <w:rsid w:val="00224875"/>
    <w:rsid w:val="002254BC"/>
    <w:rsid w:val="002260A5"/>
    <w:rsid w:val="00227D57"/>
    <w:rsid w:val="00227FDE"/>
    <w:rsid w:val="00230295"/>
    <w:rsid w:val="002312D2"/>
    <w:rsid w:val="00232275"/>
    <w:rsid w:val="00232986"/>
    <w:rsid w:val="00232EAF"/>
    <w:rsid w:val="00233634"/>
    <w:rsid w:val="00233A76"/>
    <w:rsid w:val="00233E1C"/>
    <w:rsid w:val="00234979"/>
    <w:rsid w:val="0023529B"/>
    <w:rsid w:val="00235E04"/>
    <w:rsid w:val="0023712B"/>
    <w:rsid w:val="002374A4"/>
    <w:rsid w:val="00243C9D"/>
    <w:rsid w:val="00246105"/>
    <w:rsid w:val="002513B2"/>
    <w:rsid w:val="00252257"/>
    <w:rsid w:val="00253A2A"/>
    <w:rsid w:val="002557B5"/>
    <w:rsid w:val="00257F0B"/>
    <w:rsid w:val="00260F54"/>
    <w:rsid w:val="002613D4"/>
    <w:rsid w:val="002622A3"/>
    <w:rsid w:val="0026273A"/>
    <w:rsid w:val="00262B5C"/>
    <w:rsid w:val="002643B6"/>
    <w:rsid w:val="00264D2D"/>
    <w:rsid w:val="002661A3"/>
    <w:rsid w:val="00270E6A"/>
    <w:rsid w:val="002717A8"/>
    <w:rsid w:val="00273098"/>
    <w:rsid w:val="0027504F"/>
    <w:rsid w:val="0027556D"/>
    <w:rsid w:val="00276075"/>
    <w:rsid w:val="00277781"/>
    <w:rsid w:val="002779C4"/>
    <w:rsid w:val="00277B89"/>
    <w:rsid w:val="00277D15"/>
    <w:rsid w:val="002801AF"/>
    <w:rsid w:val="00281D54"/>
    <w:rsid w:val="002827B8"/>
    <w:rsid w:val="002830F6"/>
    <w:rsid w:val="00283FB0"/>
    <w:rsid w:val="00284543"/>
    <w:rsid w:val="00285615"/>
    <w:rsid w:val="00285C36"/>
    <w:rsid w:val="00286727"/>
    <w:rsid w:val="00286929"/>
    <w:rsid w:val="00286AE8"/>
    <w:rsid w:val="00286E60"/>
    <w:rsid w:val="002871D3"/>
    <w:rsid w:val="002873F6"/>
    <w:rsid w:val="002931A6"/>
    <w:rsid w:val="0029391C"/>
    <w:rsid w:val="00294BE9"/>
    <w:rsid w:val="002957A5"/>
    <w:rsid w:val="00297693"/>
    <w:rsid w:val="00297CDD"/>
    <w:rsid w:val="00297D59"/>
    <w:rsid w:val="002A143C"/>
    <w:rsid w:val="002A2D84"/>
    <w:rsid w:val="002A3640"/>
    <w:rsid w:val="002A6683"/>
    <w:rsid w:val="002B039D"/>
    <w:rsid w:val="002B0578"/>
    <w:rsid w:val="002B16AC"/>
    <w:rsid w:val="002B47E8"/>
    <w:rsid w:val="002B49C0"/>
    <w:rsid w:val="002B4C6E"/>
    <w:rsid w:val="002B5C64"/>
    <w:rsid w:val="002B6299"/>
    <w:rsid w:val="002B636E"/>
    <w:rsid w:val="002B667C"/>
    <w:rsid w:val="002B740C"/>
    <w:rsid w:val="002B7FC5"/>
    <w:rsid w:val="002C04DC"/>
    <w:rsid w:val="002C507D"/>
    <w:rsid w:val="002C5123"/>
    <w:rsid w:val="002C7344"/>
    <w:rsid w:val="002D10B8"/>
    <w:rsid w:val="002D2F8D"/>
    <w:rsid w:val="002D354D"/>
    <w:rsid w:val="002D58A3"/>
    <w:rsid w:val="002D6A12"/>
    <w:rsid w:val="002E004A"/>
    <w:rsid w:val="002E0C82"/>
    <w:rsid w:val="002E2C05"/>
    <w:rsid w:val="002E3125"/>
    <w:rsid w:val="002E40D5"/>
    <w:rsid w:val="002E7528"/>
    <w:rsid w:val="002E79D1"/>
    <w:rsid w:val="002F06A1"/>
    <w:rsid w:val="002F11A5"/>
    <w:rsid w:val="002F1D2B"/>
    <w:rsid w:val="002F1F08"/>
    <w:rsid w:val="002F22FB"/>
    <w:rsid w:val="002F27ED"/>
    <w:rsid w:val="002F2B2D"/>
    <w:rsid w:val="002F4C71"/>
    <w:rsid w:val="002F4E51"/>
    <w:rsid w:val="002F5F22"/>
    <w:rsid w:val="002F644B"/>
    <w:rsid w:val="0030165B"/>
    <w:rsid w:val="003038F7"/>
    <w:rsid w:val="00305B90"/>
    <w:rsid w:val="00305D67"/>
    <w:rsid w:val="0031024F"/>
    <w:rsid w:val="003105A6"/>
    <w:rsid w:val="00310BA9"/>
    <w:rsid w:val="003113BA"/>
    <w:rsid w:val="00311E98"/>
    <w:rsid w:val="00311F39"/>
    <w:rsid w:val="00314ABD"/>
    <w:rsid w:val="003155B0"/>
    <w:rsid w:val="00316040"/>
    <w:rsid w:val="0031641A"/>
    <w:rsid w:val="003172AE"/>
    <w:rsid w:val="0031768B"/>
    <w:rsid w:val="00321B0C"/>
    <w:rsid w:val="00322506"/>
    <w:rsid w:val="00324682"/>
    <w:rsid w:val="00326405"/>
    <w:rsid w:val="00330C11"/>
    <w:rsid w:val="0033119E"/>
    <w:rsid w:val="00331C8F"/>
    <w:rsid w:val="00332E5D"/>
    <w:rsid w:val="00333149"/>
    <w:rsid w:val="003339F8"/>
    <w:rsid w:val="003351E7"/>
    <w:rsid w:val="0033641F"/>
    <w:rsid w:val="00337230"/>
    <w:rsid w:val="00340945"/>
    <w:rsid w:val="003439C6"/>
    <w:rsid w:val="003448BB"/>
    <w:rsid w:val="00347F2D"/>
    <w:rsid w:val="00350E7F"/>
    <w:rsid w:val="00351494"/>
    <w:rsid w:val="00351D9D"/>
    <w:rsid w:val="003562E3"/>
    <w:rsid w:val="003601B5"/>
    <w:rsid w:val="0036251E"/>
    <w:rsid w:val="0036291B"/>
    <w:rsid w:val="00362A1F"/>
    <w:rsid w:val="00364D82"/>
    <w:rsid w:val="00364DAF"/>
    <w:rsid w:val="003652AB"/>
    <w:rsid w:val="00365C95"/>
    <w:rsid w:val="0037222D"/>
    <w:rsid w:val="0037266D"/>
    <w:rsid w:val="00372754"/>
    <w:rsid w:val="00372FE9"/>
    <w:rsid w:val="00375ABF"/>
    <w:rsid w:val="00380694"/>
    <w:rsid w:val="0038404E"/>
    <w:rsid w:val="0038421D"/>
    <w:rsid w:val="00385570"/>
    <w:rsid w:val="00385D64"/>
    <w:rsid w:val="00385F1E"/>
    <w:rsid w:val="00386D13"/>
    <w:rsid w:val="00386DD1"/>
    <w:rsid w:val="00390E21"/>
    <w:rsid w:val="00391333"/>
    <w:rsid w:val="003921B3"/>
    <w:rsid w:val="00393FB0"/>
    <w:rsid w:val="00397EF0"/>
    <w:rsid w:val="003A0733"/>
    <w:rsid w:val="003A0933"/>
    <w:rsid w:val="003A226F"/>
    <w:rsid w:val="003A27D6"/>
    <w:rsid w:val="003A28B5"/>
    <w:rsid w:val="003A3410"/>
    <w:rsid w:val="003A3F90"/>
    <w:rsid w:val="003A42C5"/>
    <w:rsid w:val="003A55E5"/>
    <w:rsid w:val="003A60EF"/>
    <w:rsid w:val="003A756A"/>
    <w:rsid w:val="003A7575"/>
    <w:rsid w:val="003B1475"/>
    <w:rsid w:val="003B1685"/>
    <w:rsid w:val="003B4DBE"/>
    <w:rsid w:val="003B6819"/>
    <w:rsid w:val="003C06B4"/>
    <w:rsid w:val="003C2F58"/>
    <w:rsid w:val="003C4420"/>
    <w:rsid w:val="003C498E"/>
    <w:rsid w:val="003C66BA"/>
    <w:rsid w:val="003C6820"/>
    <w:rsid w:val="003C7454"/>
    <w:rsid w:val="003D0C67"/>
    <w:rsid w:val="003D2A50"/>
    <w:rsid w:val="003D4C49"/>
    <w:rsid w:val="003D5E20"/>
    <w:rsid w:val="003D64F0"/>
    <w:rsid w:val="003E142C"/>
    <w:rsid w:val="003E373C"/>
    <w:rsid w:val="003E3CBE"/>
    <w:rsid w:val="003E4F3F"/>
    <w:rsid w:val="003E513F"/>
    <w:rsid w:val="003E5A8F"/>
    <w:rsid w:val="003E79CA"/>
    <w:rsid w:val="003F1268"/>
    <w:rsid w:val="003F34E3"/>
    <w:rsid w:val="003F3805"/>
    <w:rsid w:val="003F5C58"/>
    <w:rsid w:val="003F694A"/>
    <w:rsid w:val="003F6BB6"/>
    <w:rsid w:val="004014D8"/>
    <w:rsid w:val="00401C04"/>
    <w:rsid w:val="00401FF5"/>
    <w:rsid w:val="004029D4"/>
    <w:rsid w:val="0040301D"/>
    <w:rsid w:val="00404326"/>
    <w:rsid w:val="0040629E"/>
    <w:rsid w:val="004110DA"/>
    <w:rsid w:val="00411254"/>
    <w:rsid w:val="00411A12"/>
    <w:rsid w:val="00411BB0"/>
    <w:rsid w:val="00413CBC"/>
    <w:rsid w:val="004148F4"/>
    <w:rsid w:val="00416673"/>
    <w:rsid w:val="00416F8F"/>
    <w:rsid w:val="00417070"/>
    <w:rsid w:val="00417449"/>
    <w:rsid w:val="00421FDA"/>
    <w:rsid w:val="00422782"/>
    <w:rsid w:val="00426CC8"/>
    <w:rsid w:val="004337E7"/>
    <w:rsid w:val="00434CAE"/>
    <w:rsid w:val="00441CED"/>
    <w:rsid w:val="004421BF"/>
    <w:rsid w:val="00444EF5"/>
    <w:rsid w:val="00444F3E"/>
    <w:rsid w:val="00446C20"/>
    <w:rsid w:val="00446FA1"/>
    <w:rsid w:val="004474AA"/>
    <w:rsid w:val="004479C7"/>
    <w:rsid w:val="00451178"/>
    <w:rsid w:val="00452F1E"/>
    <w:rsid w:val="00454348"/>
    <w:rsid w:val="004552C8"/>
    <w:rsid w:val="0045557E"/>
    <w:rsid w:val="0045725C"/>
    <w:rsid w:val="0045772A"/>
    <w:rsid w:val="004579D2"/>
    <w:rsid w:val="00461547"/>
    <w:rsid w:val="00461817"/>
    <w:rsid w:val="00462712"/>
    <w:rsid w:val="004628F1"/>
    <w:rsid w:val="00465374"/>
    <w:rsid w:val="00465B0B"/>
    <w:rsid w:val="004702D8"/>
    <w:rsid w:val="00471BAE"/>
    <w:rsid w:val="00474E67"/>
    <w:rsid w:val="004768AE"/>
    <w:rsid w:val="00481935"/>
    <w:rsid w:val="00481D39"/>
    <w:rsid w:val="00482A6C"/>
    <w:rsid w:val="00483769"/>
    <w:rsid w:val="0048447F"/>
    <w:rsid w:val="00484813"/>
    <w:rsid w:val="00486101"/>
    <w:rsid w:val="0048678A"/>
    <w:rsid w:val="00486E77"/>
    <w:rsid w:val="0049166B"/>
    <w:rsid w:val="0049188B"/>
    <w:rsid w:val="004918BA"/>
    <w:rsid w:val="004923BF"/>
    <w:rsid w:val="00492D35"/>
    <w:rsid w:val="004946D6"/>
    <w:rsid w:val="004949D8"/>
    <w:rsid w:val="00494B1E"/>
    <w:rsid w:val="00495562"/>
    <w:rsid w:val="00496743"/>
    <w:rsid w:val="004A033E"/>
    <w:rsid w:val="004A09AC"/>
    <w:rsid w:val="004A0C06"/>
    <w:rsid w:val="004A1876"/>
    <w:rsid w:val="004A2BF2"/>
    <w:rsid w:val="004A372A"/>
    <w:rsid w:val="004A5148"/>
    <w:rsid w:val="004A71A8"/>
    <w:rsid w:val="004B007F"/>
    <w:rsid w:val="004B2F1F"/>
    <w:rsid w:val="004B366A"/>
    <w:rsid w:val="004B4DB2"/>
    <w:rsid w:val="004B6FAF"/>
    <w:rsid w:val="004C0487"/>
    <w:rsid w:val="004C2404"/>
    <w:rsid w:val="004C34CB"/>
    <w:rsid w:val="004C38C7"/>
    <w:rsid w:val="004C4885"/>
    <w:rsid w:val="004C7621"/>
    <w:rsid w:val="004D13D8"/>
    <w:rsid w:val="004D1BBF"/>
    <w:rsid w:val="004D3CB5"/>
    <w:rsid w:val="004D5DBA"/>
    <w:rsid w:val="004D620A"/>
    <w:rsid w:val="004D709A"/>
    <w:rsid w:val="004D7318"/>
    <w:rsid w:val="004D7BCD"/>
    <w:rsid w:val="004D7DC9"/>
    <w:rsid w:val="004E0BCD"/>
    <w:rsid w:val="004E1654"/>
    <w:rsid w:val="004E1B80"/>
    <w:rsid w:val="004E3B8F"/>
    <w:rsid w:val="004E45C8"/>
    <w:rsid w:val="004E5774"/>
    <w:rsid w:val="004E5B4E"/>
    <w:rsid w:val="004E6078"/>
    <w:rsid w:val="004E7DFD"/>
    <w:rsid w:val="004F121D"/>
    <w:rsid w:val="004F1778"/>
    <w:rsid w:val="004F3929"/>
    <w:rsid w:val="004F5E05"/>
    <w:rsid w:val="004F695A"/>
    <w:rsid w:val="005002A7"/>
    <w:rsid w:val="00500EFC"/>
    <w:rsid w:val="00500F39"/>
    <w:rsid w:val="005029AD"/>
    <w:rsid w:val="00503D21"/>
    <w:rsid w:val="0050473C"/>
    <w:rsid w:val="00505557"/>
    <w:rsid w:val="00510982"/>
    <w:rsid w:val="00511A3F"/>
    <w:rsid w:val="0051249A"/>
    <w:rsid w:val="00512D89"/>
    <w:rsid w:val="00513751"/>
    <w:rsid w:val="005137E8"/>
    <w:rsid w:val="0051578D"/>
    <w:rsid w:val="005179E5"/>
    <w:rsid w:val="00520F05"/>
    <w:rsid w:val="00521028"/>
    <w:rsid w:val="0052151D"/>
    <w:rsid w:val="00524082"/>
    <w:rsid w:val="00526E01"/>
    <w:rsid w:val="0053005A"/>
    <w:rsid w:val="00531E52"/>
    <w:rsid w:val="00533859"/>
    <w:rsid w:val="00535344"/>
    <w:rsid w:val="00535E05"/>
    <w:rsid w:val="00535FB7"/>
    <w:rsid w:val="00536A64"/>
    <w:rsid w:val="00537820"/>
    <w:rsid w:val="00537AE3"/>
    <w:rsid w:val="00541F39"/>
    <w:rsid w:val="0054246D"/>
    <w:rsid w:val="0054526D"/>
    <w:rsid w:val="005458AA"/>
    <w:rsid w:val="00545CE3"/>
    <w:rsid w:val="005469AD"/>
    <w:rsid w:val="0054799E"/>
    <w:rsid w:val="00550EAC"/>
    <w:rsid w:val="00551141"/>
    <w:rsid w:val="00551628"/>
    <w:rsid w:val="00551881"/>
    <w:rsid w:val="00552A19"/>
    <w:rsid w:val="00553F23"/>
    <w:rsid w:val="005558CE"/>
    <w:rsid w:val="00556A07"/>
    <w:rsid w:val="0056175E"/>
    <w:rsid w:val="00562952"/>
    <w:rsid w:val="005636AC"/>
    <w:rsid w:val="00566DB6"/>
    <w:rsid w:val="00570351"/>
    <w:rsid w:val="0057175D"/>
    <w:rsid w:val="0057195B"/>
    <w:rsid w:val="00575F0D"/>
    <w:rsid w:val="00576D2C"/>
    <w:rsid w:val="005831C9"/>
    <w:rsid w:val="0058364B"/>
    <w:rsid w:val="00587584"/>
    <w:rsid w:val="00590DFA"/>
    <w:rsid w:val="005924EB"/>
    <w:rsid w:val="005928CC"/>
    <w:rsid w:val="00593228"/>
    <w:rsid w:val="005949F2"/>
    <w:rsid w:val="00595B9D"/>
    <w:rsid w:val="005976D7"/>
    <w:rsid w:val="00597E4D"/>
    <w:rsid w:val="005A00B7"/>
    <w:rsid w:val="005A0F92"/>
    <w:rsid w:val="005A30DD"/>
    <w:rsid w:val="005A3659"/>
    <w:rsid w:val="005A3ED4"/>
    <w:rsid w:val="005A4BF9"/>
    <w:rsid w:val="005A4DED"/>
    <w:rsid w:val="005B0299"/>
    <w:rsid w:val="005B0D49"/>
    <w:rsid w:val="005B200B"/>
    <w:rsid w:val="005B2E2D"/>
    <w:rsid w:val="005B3009"/>
    <w:rsid w:val="005B326E"/>
    <w:rsid w:val="005B37B5"/>
    <w:rsid w:val="005B430B"/>
    <w:rsid w:val="005B509E"/>
    <w:rsid w:val="005B5654"/>
    <w:rsid w:val="005B6CE6"/>
    <w:rsid w:val="005B6E0E"/>
    <w:rsid w:val="005C14DE"/>
    <w:rsid w:val="005C1E91"/>
    <w:rsid w:val="005C24FF"/>
    <w:rsid w:val="005C277D"/>
    <w:rsid w:val="005C417A"/>
    <w:rsid w:val="005C4F9E"/>
    <w:rsid w:val="005C515A"/>
    <w:rsid w:val="005D1245"/>
    <w:rsid w:val="005D52F1"/>
    <w:rsid w:val="005D57DC"/>
    <w:rsid w:val="005D6559"/>
    <w:rsid w:val="005D7160"/>
    <w:rsid w:val="005E1E43"/>
    <w:rsid w:val="005E32EC"/>
    <w:rsid w:val="005E3889"/>
    <w:rsid w:val="005E4FC7"/>
    <w:rsid w:val="005E7323"/>
    <w:rsid w:val="005F002D"/>
    <w:rsid w:val="005F07F7"/>
    <w:rsid w:val="005F0C04"/>
    <w:rsid w:val="005F1F9E"/>
    <w:rsid w:val="005F28C4"/>
    <w:rsid w:val="005F4895"/>
    <w:rsid w:val="005F4CD2"/>
    <w:rsid w:val="005F5D91"/>
    <w:rsid w:val="005F5E6A"/>
    <w:rsid w:val="005F7A15"/>
    <w:rsid w:val="00600969"/>
    <w:rsid w:val="006009E7"/>
    <w:rsid w:val="00602C3D"/>
    <w:rsid w:val="006044B3"/>
    <w:rsid w:val="00606D54"/>
    <w:rsid w:val="00607528"/>
    <w:rsid w:val="00610093"/>
    <w:rsid w:val="006101B7"/>
    <w:rsid w:val="006123D2"/>
    <w:rsid w:val="00613B22"/>
    <w:rsid w:val="00614142"/>
    <w:rsid w:val="00615310"/>
    <w:rsid w:val="006177EB"/>
    <w:rsid w:val="00620249"/>
    <w:rsid w:val="0062053C"/>
    <w:rsid w:val="006212CC"/>
    <w:rsid w:val="0062186B"/>
    <w:rsid w:val="00621CB7"/>
    <w:rsid w:val="00622195"/>
    <w:rsid w:val="006225DF"/>
    <w:rsid w:val="00622D58"/>
    <w:rsid w:val="006233D1"/>
    <w:rsid w:val="00623616"/>
    <w:rsid w:val="0062382B"/>
    <w:rsid w:val="00623FCD"/>
    <w:rsid w:val="006243DB"/>
    <w:rsid w:val="00624E22"/>
    <w:rsid w:val="00624E9B"/>
    <w:rsid w:val="006259F1"/>
    <w:rsid w:val="00625F1C"/>
    <w:rsid w:val="00626194"/>
    <w:rsid w:val="00626B52"/>
    <w:rsid w:val="006272DC"/>
    <w:rsid w:val="006274F6"/>
    <w:rsid w:val="00627BB5"/>
    <w:rsid w:val="00632282"/>
    <w:rsid w:val="00632681"/>
    <w:rsid w:val="00632875"/>
    <w:rsid w:val="00632A3A"/>
    <w:rsid w:val="00636F58"/>
    <w:rsid w:val="00637089"/>
    <w:rsid w:val="00640784"/>
    <w:rsid w:val="0064187F"/>
    <w:rsid w:val="00646BBF"/>
    <w:rsid w:val="00647BCE"/>
    <w:rsid w:val="006512EA"/>
    <w:rsid w:val="0065193E"/>
    <w:rsid w:val="006530B8"/>
    <w:rsid w:val="00653283"/>
    <w:rsid w:val="006547C2"/>
    <w:rsid w:val="006548A6"/>
    <w:rsid w:val="006603C0"/>
    <w:rsid w:val="00661AFD"/>
    <w:rsid w:val="0066352C"/>
    <w:rsid w:val="00664164"/>
    <w:rsid w:val="00664750"/>
    <w:rsid w:val="0066562E"/>
    <w:rsid w:val="00666BB5"/>
    <w:rsid w:val="00667BC0"/>
    <w:rsid w:val="0067446E"/>
    <w:rsid w:val="006750C5"/>
    <w:rsid w:val="0067522E"/>
    <w:rsid w:val="00675B6C"/>
    <w:rsid w:val="00677F05"/>
    <w:rsid w:val="00680C60"/>
    <w:rsid w:val="00682D69"/>
    <w:rsid w:val="00684098"/>
    <w:rsid w:val="00684450"/>
    <w:rsid w:val="006941E4"/>
    <w:rsid w:val="006948E0"/>
    <w:rsid w:val="00695A3B"/>
    <w:rsid w:val="00696470"/>
    <w:rsid w:val="006964AB"/>
    <w:rsid w:val="00697A01"/>
    <w:rsid w:val="006A03C6"/>
    <w:rsid w:val="006A25AA"/>
    <w:rsid w:val="006A404D"/>
    <w:rsid w:val="006A4498"/>
    <w:rsid w:val="006A4634"/>
    <w:rsid w:val="006B023E"/>
    <w:rsid w:val="006B13A6"/>
    <w:rsid w:val="006B21AB"/>
    <w:rsid w:val="006B2AB3"/>
    <w:rsid w:val="006B5425"/>
    <w:rsid w:val="006B5EA3"/>
    <w:rsid w:val="006B72D1"/>
    <w:rsid w:val="006C251F"/>
    <w:rsid w:val="006C2BD6"/>
    <w:rsid w:val="006C3372"/>
    <w:rsid w:val="006C39F4"/>
    <w:rsid w:val="006C3D3A"/>
    <w:rsid w:val="006C46CA"/>
    <w:rsid w:val="006C5F5A"/>
    <w:rsid w:val="006C5FD7"/>
    <w:rsid w:val="006D1D6E"/>
    <w:rsid w:val="006D2AC4"/>
    <w:rsid w:val="006D3671"/>
    <w:rsid w:val="006D3D5C"/>
    <w:rsid w:val="006D7AB1"/>
    <w:rsid w:val="006E0352"/>
    <w:rsid w:val="006E0E18"/>
    <w:rsid w:val="006E12F4"/>
    <w:rsid w:val="006E132C"/>
    <w:rsid w:val="006E28EA"/>
    <w:rsid w:val="006E2BBA"/>
    <w:rsid w:val="006E2D98"/>
    <w:rsid w:val="006E4868"/>
    <w:rsid w:val="006E73EB"/>
    <w:rsid w:val="006F08CE"/>
    <w:rsid w:val="006F0D2F"/>
    <w:rsid w:val="006F16D2"/>
    <w:rsid w:val="006F231D"/>
    <w:rsid w:val="006F3669"/>
    <w:rsid w:val="006F3707"/>
    <w:rsid w:val="006F40F8"/>
    <w:rsid w:val="006F4549"/>
    <w:rsid w:val="006F49EF"/>
    <w:rsid w:val="006F4C37"/>
    <w:rsid w:val="006F51A3"/>
    <w:rsid w:val="006F51E1"/>
    <w:rsid w:val="006F5B5B"/>
    <w:rsid w:val="006F7CC5"/>
    <w:rsid w:val="00700141"/>
    <w:rsid w:val="007029D8"/>
    <w:rsid w:val="0070331A"/>
    <w:rsid w:val="0070574A"/>
    <w:rsid w:val="00705D50"/>
    <w:rsid w:val="00706B45"/>
    <w:rsid w:val="0070743B"/>
    <w:rsid w:val="00707D60"/>
    <w:rsid w:val="00710E28"/>
    <w:rsid w:val="007120C0"/>
    <w:rsid w:val="0071248C"/>
    <w:rsid w:val="007128A8"/>
    <w:rsid w:val="00713121"/>
    <w:rsid w:val="00713CE3"/>
    <w:rsid w:val="00715859"/>
    <w:rsid w:val="00715C14"/>
    <w:rsid w:val="00720D34"/>
    <w:rsid w:val="00721E8D"/>
    <w:rsid w:val="007231A8"/>
    <w:rsid w:val="0072359D"/>
    <w:rsid w:val="00725600"/>
    <w:rsid w:val="0072563A"/>
    <w:rsid w:val="00725991"/>
    <w:rsid w:val="00725B37"/>
    <w:rsid w:val="00726F42"/>
    <w:rsid w:val="00727149"/>
    <w:rsid w:val="00733538"/>
    <w:rsid w:val="00733C7C"/>
    <w:rsid w:val="00733D4F"/>
    <w:rsid w:val="0073552D"/>
    <w:rsid w:val="0074118C"/>
    <w:rsid w:val="00742A45"/>
    <w:rsid w:val="00743179"/>
    <w:rsid w:val="00743F02"/>
    <w:rsid w:val="00745B2E"/>
    <w:rsid w:val="007464DC"/>
    <w:rsid w:val="00746D37"/>
    <w:rsid w:val="00747E5D"/>
    <w:rsid w:val="0075005D"/>
    <w:rsid w:val="00750F38"/>
    <w:rsid w:val="007510C9"/>
    <w:rsid w:val="007513F4"/>
    <w:rsid w:val="00751E7E"/>
    <w:rsid w:val="00752151"/>
    <w:rsid w:val="0075246B"/>
    <w:rsid w:val="00752641"/>
    <w:rsid w:val="00753C0F"/>
    <w:rsid w:val="00753D02"/>
    <w:rsid w:val="007545C0"/>
    <w:rsid w:val="0075502B"/>
    <w:rsid w:val="007559C4"/>
    <w:rsid w:val="00756C3B"/>
    <w:rsid w:val="00757589"/>
    <w:rsid w:val="00760E9E"/>
    <w:rsid w:val="00761DE4"/>
    <w:rsid w:val="00762BC0"/>
    <w:rsid w:val="00763DCA"/>
    <w:rsid w:val="007664F7"/>
    <w:rsid w:val="0076761E"/>
    <w:rsid w:val="0077087D"/>
    <w:rsid w:val="00770EDE"/>
    <w:rsid w:val="007769DE"/>
    <w:rsid w:val="00776EF6"/>
    <w:rsid w:val="007823ED"/>
    <w:rsid w:val="00784DE7"/>
    <w:rsid w:val="00785027"/>
    <w:rsid w:val="0078580F"/>
    <w:rsid w:val="0079136D"/>
    <w:rsid w:val="007936BC"/>
    <w:rsid w:val="0079453E"/>
    <w:rsid w:val="00795A03"/>
    <w:rsid w:val="00796E0D"/>
    <w:rsid w:val="00796FBB"/>
    <w:rsid w:val="00797EA4"/>
    <w:rsid w:val="007A055F"/>
    <w:rsid w:val="007A1E26"/>
    <w:rsid w:val="007A2E71"/>
    <w:rsid w:val="007A5EDC"/>
    <w:rsid w:val="007A7237"/>
    <w:rsid w:val="007B0110"/>
    <w:rsid w:val="007B11F8"/>
    <w:rsid w:val="007B2D57"/>
    <w:rsid w:val="007B3098"/>
    <w:rsid w:val="007B5BDB"/>
    <w:rsid w:val="007B5BF0"/>
    <w:rsid w:val="007B6325"/>
    <w:rsid w:val="007B71FE"/>
    <w:rsid w:val="007B7C68"/>
    <w:rsid w:val="007C0C67"/>
    <w:rsid w:val="007C109A"/>
    <w:rsid w:val="007C2558"/>
    <w:rsid w:val="007C482A"/>
    <w:rsid w:val="007C4E13"/>
    <w:rsid w:val="007C5328"/>
    <w:rsid w:val="007C6017"/>
    <w:rsid w:val="007C752C"/>
    <w:rsid w:val="007D4703"/>
    <w:rsid w:val="007D53AF"/>
    <w:rsid w:val="007D53B8"/>
    <w:rsid w:val="007D5737"/>
    <w:rsid w:val="007E1F74"/>
    <w:rsid w:val="007E234F"/>
    <w:rsid w:val="007E26ED"/>
    <w:rsid w:val="007E38D3"/>
    <w:rsid w:val="007E4081"/>
    <w:rsid w:val="007E54D9"/>
    <w:rsid w:val="007E5807"/>
    <w:rsid w:val="007E5A32"/>
    <w:rsid w:val="007E605B"/>
    <w:rsid w:val="007E68EA"/>
    <w:rsid w:val="007E72EF"/>
    <w:rsid w:val="007E79BA"/>
    <w:rsid w:val="007E7C07"/>
    <w:rsid w:val="007F1B16"/>
    <w:rsid w:val="007F27F1"/>
    <w:rsid w:val="007F2966"/>
    <w:rsid w:val="007F3765"/>
    <w:rsid w:val="007F3EBC"/>
    <w:rsid w:val="007F4989"/>
    <w:rsid w:val="007F519E"/>
    <w:rsid w:val="007F61B3"/>
    <w:rsid w:val="007F653C"/>
    <w:rsid w:val="007F6564"/>
    <w:rsid w:val="00800F79"/>
    <w:rsid w:val="00801122"/>
    <w:rsid w:val="00802119"/>
    <w:rsid w:val="008025AE"/>
    <w:rsid w:val="00806B90"/>
    <w:rsid w:val="00806DCE"/>
    <w:rsid w:val="00807819"/>
    <w:rsid w:val="0081453A"/>
    <w:rsid w:val="008152E0"/>
    <w:rsid w:val="00815575"/>
    <w:rsid w:val="00820044"/>
    <w:rsid w:val="00820767"/>
    <w:rsid w:val="00822E80"/>
    <w:rsid w:val="00823339"/>
    <w:rsid w:val="0082427E"/>
    <w:rsid w:val="00824C0D"/>
    <w:rsid w:val="008251ED"/>
    <w:rsid w:val="008257BA"/>
    <w:rsid w:val="00825E5A"/>
    <w:rsid w:val="0083022B"/>
    <w:rsid w:val="0083031E"/>
    <w:rsid w:val="00830FEC"/>
    <w:rsid w:val="00832FF1"/>
    <w:rsid w:val="00833330"/>
    <w:rsid w:val="00835813"/>
    <w:rsid w:val="008366E7"/>
    <w:rsid w:val="0083740C"/>
    <w:rsid w:val="00840CD5"/>
    <w:rsid w:val="00841CA4"/>
    <w:rsid w:val="00842224"/>
    <w:rsid w:val="00845515"/>
    <w:rsid w:val="00846958"/>
    <w:rsid w:val="00846CE9"/>
    <w:rsid w:val="008513F4"/>
    <w:rsid w:val="00851EBC"/>
    <w:rsid w:val="00852AE5"/>
    <w:rsid w:val="00852B91"/>
    <w:rsid w:val="00853E05"/>
    <w:rsid w:val="0085529C"/>
    <w:rsid w:val="00856552"/>
    <w:rsid w:val="00860410"/>
    <w:rsid w:val="0086063F"/>
    <w:rsid w:val="008609E6"/>
    <w:rsid w:val="00863B78"/>
    <w:rsid w:val="00865081"/>
    <w:rsid w:val="00865990"/>
    <w:rsid w:val="00865C80"/>
    <w:rsid w:val="00867CAC"/>
    <w:rsid w:val="00870045"/>
    <w:rsid w:val="00872055"/>
    <w:rsid w:val="00874F4F"/>
    <w:rsid w:val="00875F21"/>
    <w:rsid w:val="00880B2F"/>
    <w:rsid w:val="008812DA"/>
    <w:rsid w:val="00881642"/>
    <w:rsid w:val="00881BE0"/>
    <w:rsid w:val="00882B91"/>
    <w:rsid w:val="00883364"/>
    <w:rsid w:val="00885FB0"/>
    <w:rsid w:val="00887A1A"/>
    <w:rsid w:val="00891158"/>
    <w:rsid w:val="00891814"/>
    <w:rsid w:val="0089469C"/>
    <w:rsid w:val="008954C1"/>
    <w:rsid w:val="008A0703"/>
    <w:rsid w:val="008A1FAA"/>
    <w:rsid w:val="008A26FC"/>
    <w:rsid w:val="008A302C"/>
    <w:rsid w:val="008A38D8"/>
    <w:rsid w:val="008A4F12"/>
    <w:rsid w:val="008A6CB5"/>
    <w:rsid w:val="008A6F6E"/>
    <w:rsid w:val="008A7397"/>
    <w:rsid w:val="008B017A"/>
    <w:rsid w:val="008B04FC"/>
    <w:rsid w:val="008B192F"/>
    <w:rsid w:val="008B1BC5"/>
    <w:rsid w:val="008B206C"/>
    <w:rsid w:val="008B6089"/>
    <w:rsid w:val="008B64EF"/>
    <w:rsid w:val="008B7361"/>
    <w:rsid w:val="008C05DC"/>
    <w:rsid w:val="008C074D"/>
    <w:rsid w:val="008C32E7"/>
    <w:rsid w:val="008C4585"/>
    <w:rsid w:val="008C48E9"/>
    <w:rsid w:val="008C5298"/>
    <w:rsid w:val="008C5E93"/>
    <w:rsid w:val="008C7A02"/>
    <w:rsid w:val="008D1B99"/>
    <w:rsid w:val="008D3049"/>
    <w:rsid w:val="008D4CF4"/>
    <w:rsid w:val="008D4F73"/>
    <w:rsid w:val="008D6B28"/>
    <w:rsid w:val="008E4D3C"/>
    <w:rsid w:val="008E5271"/>
    <w:rsid w:val="008E5DE3"/>
    <w:rsid w:val="008E5F70"/>
    <w:rsid w:val="008E631D"/>
    <w:rsid w:val="008E72F2"/>
    <w:rsid w:val="008F00F3"/>
    <w:rsid w:val="008F028E"/>
    <w:rsid w:val="008F0316"/>
    <w:rsid w:val="008F185C"/>
    <w:rsid w:val="008F18CB"/>
    <w:rsid w:val="008F238A"/>
    <w:rsid w:val="008F30E9"/>
    <w:rsid w:val="008F3B62"/>
    <w:rsid w:val="008F3C23"/>
    <w:rsid w:val="008F4A0E"/>
    <w:rsid w:val="008F575E"/>
    <w:rsid w:val="008F6A42"/>
    <w:rsid w:val="008F7B8F"/>
    <w:rsid w:val="0090275E"/>
    <w:rsid w:val="009028F7"/>
    <w:rsid w:val="00902EE1"/>
    <w:rsid w:val="00904017"/>
    <w:rsid w:val="00904552"/>
    <w:rsid w:val="009058C0"/>
    <w:rsid w:val="00905B99"/>
    <w:rsid w:val="00905DBF"/>
    <w:rsid w:val="00906653"/>
    <w:rsid w:val="009066ED"/>
    <w:rsid w:val="00906AC0"/>
    <w:rsid w:val="00906EE3"/>
    <w:rsid w:val="00907C2E"/>
    <w:rsid w:val="009117D4"/>
    <w:rsid w:val="00911D91"/>
    <w:rsid w:val="00912457"/>
    <w:rsid w:val="00913446"/>
    <w:rsid w:val="00913600"/>
    <w:rsid w:val="009137B2"/>
    <w:rsid w:val="00913DFB"/>
    <w:rsid w:val="00913F4D"/>
    <w:rsid w:val="0091430E"/>
    <w:rsid w:val="009156E6"/>
    <w:rsid w:val="00920406"/>
    <w:rsid w:val="00921302"/>
    <w:rsid w:val="00921AD2"/>
    <w:rsid w:val="0092300C"/>
    <w:rsid w:val="00924067"/>
    <w:rsid w:val="0092453D"/>
    <w:rsid w:val="009254C2"/>
    <w:rsid w:val="0092715D"/>
    <w:rsid w:val="00927B35"/>
    <w:rsid w:val="00930F33"/>
    <w:rsid w:val="00931AE2"/>
    <w:rsid w:val="009335AF"/>
    <w:rsid w:val="00934890"/>
    <w:rsid w:val="00934E3A"/>
    <w:rsid w:val="009369B6"/>
    <w:rsid w:val="0093705E"/>
    <w:rsid w:val="00937A7C"/>
    <w:rsid w:val="009404CD"/>
    <w:rsid w:val="009406EB"/>
    <w:rsid w:val="00941F32"/>
    <w:rsid w:val="00941F43"/>
    <w:rsid w:val="0094597B"/>
    <w:rsid w:val="00945DAB"/>
    <w:rsid w:val="009532E7"/>
    <w:rsid w:val="00953A78"/>
    <w:rsid w:val="00953AE9"/>
    <w:rsid w:val="00953EE8"/>
    <w:rsid w:val="00953F00"/>
    <w:rsid w:val="00960A9B"/>
    <w:rsid w:val="00960E70"/>
    <w:rsid w:val="009610CC"/>
    <w:rsid w:val="00964668"/>
    <w:rsid w:val="00964AE8"/>
    <w:rsid w:val="00966245"/>
    <w:rsid w:val="009662A1"/>
    <w:rsid w:val="009662CB"/>
    <w:rsid w:val="00967106"/>
    <w:rsid w:val="00967325"/>
    <w:rsid w:val="00967FE7"/>
    <w:rsid w:val="00971000"/>
    <w:rsid w:val="00972437"/>
    <w:rsid w:val="00976527"/>
    <w:rsid w:val="00976BE8"/>
    <w:rsid w:val="00977DDD"/>
    <w:rsid w:val="00980D56"/>
    <w:rsid w:val="00980FF6"/>
    <w:rsid w:val="0098194D"/>
    <w:rsid w:val="009845F9"/>
    <w:rsid w:val="0098491E"/>
    <w:rsid w:val="009877F4"/>
    <w:rsid w:val="00987F54"/>
    <w:rsid w:val="0099050B"/>
    <w:rsid w:val="00991C75"/>
    <w:rsid w:val="00992546"/>
    <w:rsid w:val="00992638"/>
    <w:rsid w:val="0099278E"/>
    <w:rsid w:val="0099309A"/>
    <w:rsid w:val="00993624"/>
    <w:rsid w:val="00994525"/>
    <w:rsid w:val="00995A31"/>
    <w:rsid w:val="009A0116"/>
    <w:rsid w:val="009A03AE"/>
    <w:rsid w:val="009A1A49"/>
    <w:rsid w:val="009A2362"/>
    <w:rsid w:val="009A2405"/>
    <w:rsid w:val="009A4BD1"/>
    <w:rsid w:val="009A5C7C"/>
    <w:rsid w:val="009A751C"/>
    <w:rsid w:val="009B262B"/>
    <w:rsid w:val="009B30CE"/>
    <w:rsid w:val="009B4DB0"/>
    <w:rsid w:val="009B639E"/>
    <w:rsid w:val="009B7E0E"/>
    <w:rsid w:val="009C0693"/>
    <w:rsid w:val="009C0F48"/>
    <w:rsid w:val="009C22B6"/>
    <w:rsid w:val="009C4446"/>
    <w:rsid w:val="009C460C"/>
    <w:rsid w:val="009C472B"/>
    <w:rsid w:val="009C4D37"/>
    <w:rsid w:val="009C7825"/>
    <w:rsid w:val="009D0B45"/>
    <w:rsid w:val="009D46F6"/>
    <w:rsid w:val="009D4E15"/>
    <w:rsid w:val="009D70C0"/>
    <w:rsid w:val="009E10CE"/>
    <w:rsid w:val="009E27CB"/>
    <w:rsid w:val="009E2846"/>
    <w:rsid w:val="009E5479"/>
    <w:rsid w:val="009E61CA"/>
    <w:rsid w:val="009F2A8B"/>
    <w:rsid w:val="009F2DF3"/>
    <w:rsid w:val="009F3D12"/>
    <w:rsid w:val="009F56DE"/>
    <w:rsid w:val="009F681B"/>
    <w:rsid w:val="009F6D2E"/>
    <w:rsid w:val="009F7D4C"/>
    <w:rsid w:val="009F7E9D"/>
    <w:rsid w:val="00A00652"/>
    <w:rsid w:val="00A00F40"/>
    <w:rsid w:val="00A0666D"/>
    <w:rsid w:val="00A104E3"/>
    <w:rsid w:val="00A14249"/>
    <w:rsid w:val="00A14558"/>
    <w:rsid w:val="00A14703"/>
    <w:rsid w:val="00A15323"/>
    <w:rsid w:val="00A15D30"/>
    <w:rsid w:val="00A15F07"/>
    <w:rsid w:val="00A17579"/>
    <w:rsid w:val="00A176F9"/>
    <w:rsid w:val="00A178CE"/>
    <w:rsid w:val="00A20C1E"/>
    <w:rsid w:val="00A20CA8"/>
    <w:rsid w:val="00A21B77"/>
    <w:rsid w:val="00A25227"/>
    <w:rsid w:val="00A254BD"/>
    <w:rsid w:val="00A257B8"/>
    <w:rsid w:val="00A268B9"/>
    <w:rsid w:val="00A31CF4"/>
    <w:rsid w:val="00A31DD0"/>
    <w:rsid w:val="00A32585"/>
    <w:rsid w:val="00A32F59"/>
    <w:rsid w:val="00A3579F"/>
    <w:rsid w:val="00A35925"/>
    <w:rsid w:val="00A377CD"/>
    <w:rsid w:val="00A378B1"/>
    <w:rsid w:val="00A37D4C"/>
    <w:rsid w:val="00A41050"/>
    <w:rsid w:val="00A41A87"/>
    <w:rsid w:val="00A41B43"/>
    <w:rsid w:val="00A457EF"/>
    <w:rsid w:val="00A463F6"/>
    <w:rsid w:val="00A473FD"/>
    <w:rsid w:val="00A50243"/>
    <w:rsid w:val="00A528A0"/>
    <w:rsid w:val="00A545E0"/>
    <w:rsid w:val="00A56B36"/>
    <w:rsid w:val="00A56D91"/>
    <w:rsid w:val="00A576AD"/>
    <w:rsid w:val="00A60658"/>
    <w:rsid w:val="00A6224C"/>
    <w:rsid w:val="00A640F0"/>
    <w:rsid w:val="00A66C49"/>
    <w:rsid w:val="00A71AAF"/>
    <w:rsid w:val="00A72207"/>
    <w:rsid w:val="00A72871"/>
    <w:rsid w:val="00A74750"/>
    <w:rsid w:val="00A75196"/>
    <w:rsid w:val="00A755ED"/>
    <w:rsid w:val="00A766C5"/>
    <w:rsid w:val="00A83326"/>
    <w:rsid w:val="00A834BA"/>
    <w:rsid w:val="00A852BE"/>
    <w:rsid w:val="00A858D2"/>
    <w:rsid w:val="00A87027"/>
    <w:rsid w:val="00A90B90"/>
    <w:rsid w:val="00A9192E"/>
    <w:rsid w:val="00A93740"/>
    <w:rsid w:val="00A93AEE"/>
    <w:rsid w:val="00A95B0E"/>
    <w:rsid w:val="00A978F1"/>
    <w:rsid w:val="00A97B87"/>
    <w:rsid w:val="00A97BCE"/>
    <w:rsid w:val="00AA1306"/>
    <w:rsid w:val="00AA4029"/>
    <w:rsid w:val="00AA5196"/>
    <w:rsid w:val="00AA5198"/>
    <w:rsid w:val="00AB1E5B"/>
    <w:rsid w:val="00AB2F69"/>
    <w:rsid w:val="00AB3E50"/>
    <w:rsid w:val="00AB5FB8"/>
    <w:rsid w:val="00AB725D"/>
    <w:rsid w:val="00AB7AF6"/>
    <w:rsid w:val="00AC20FE"/>
    <w:rsid w:val="00AC22B9"/>
    <w:rsid w:val="00AC2C4F"/>
    <w:rsid w:val="00AC3D4F"/>
    <w:rsid w:val="00AC6786"/>
    <w:rsid w:val="00AC6791"/>
    <w:rsid w:val="00AD05B8"/>
    <w:rsid w:val="00AD11EF"/>
    <w:rsid w:val="00AD13B0"/>
    <w:rsid w:val="00AD1EEC"/>
    <w:rsid w:val="00AD2E88"/>
    <w:rsid w:val="00AD3957"/>
    <w:rsid w:val="00AD743A"/>
    <w:rsid w:val="00AE11C3"/>
    <w:rsid w:val="00AE247C"/>
    <w:rsid w:val="00AE295F"/>
    <w:rsid w:val="00AE2A80"/>
    <w:rsid w:val="00AE3503"/>
    <w:rsid w:val="00AE370E"/>
    <w:rsid w:val="00AE6511"/>
    <w:rsid w:val="00AE758F"/>
    <w:rsid w:val="00AE7623"/>
    <w:rsid w:val="00AE76DF"/>
    <w:rsid w:val="00AF05A6"/>
    <w:rsid w:val="00AF078B"/>
    <w:rsid w:val="00AF0E75"/>
    <w:rsid w:val="00AF14FD"/>
    <w:rsid w:val="00AF461B"/>
    <w:rsid w:val="00AF4839"/>
    <w:rsid w:val="00AF568D"/>
    <w:rsid w:val="00AF659B"/>
    <w:rsid w:val="00B010E3"/>
    <w:rsid w:val="00B0129B"/>
    <w:rsid w:val="00B01B56"/>
    <w:rsid w:val="00B03737"/>
    <w:rsid w:val="00B0683E"/>
    <w:rsid w:val="00B07E0D"/>
    <w:rsid w:val="00B10529"/>
    <w:rsid w:val="00B116CC"/>
    <w:rsid w:val="00B1361F"/>
    <w:rsid w:val="00B16F50"/>
    <w:rsid w:val="00B177C3"/>
    <w:rsid w:val="00B22B8C"/>
    <w:rsid w:val="00B30625"/>
    <w:rsid w:val="00B35565"/>
    <w:rsid w:val="00B3642B"/>
    <w:rsid w:val="00B37A08"/>
    <w:rsid w:val="00B404F9"/>
    <w:rsid w:val="00B405C0"/>
    <w:rsid w:val="00B42E90"/>
    <w:rsid w:val="00B4462A"/>
    <w:rsid w:val="00B45371"/>
    <w:rsid w:val="00B45AD6"/>
    <w:rsid w:val="00B50FE4"/>
    <w:rsid w:val="00B5194C"/>
    <w:rsid w:val="00B52B36"/>
    <w:rsid w:val="00B54B48"/>
    <w:rsid w:val="00B54D5A"/>
    <w:rsid w:val="00B55ACD"/>
    <w:rsid w:val="00B57E6D"/>
    <w:rsid w:val="00B61172"/>
    <w:rsid w:val="00B6171D"/>
    <w:rsid w:val="00B62A6F"/>
    <w:rsid w:val="00B62F8C"/>
    <w:rsid w:val="00B6494F"/>
    <w:rsid w:val="00B64A95"/>
    <w:rsid w:val="00B66452"/>
    <w:rsid w:val="00B677AD"/>
    <w:rsid w:val="00B71207"/>
    <w:rsid w:val="00B718A8"/>
    <w:rsid w:val="00B71959"/>
    <w:rsid w:val="00B727EC"/>
    <w:rsid w:val="00B73170"/>
    <w:rsid w:val="00B7463F"/>
    <w:rsid w:val="00B74D53"/>
    <w:rsid w:val="00B7570B"/>
    <w:rsid w:val="00B76E58"/>
    <w:rsid w:val="00B77CC2"/>
    <w:rsid w:val="00B80D8C"/>
    <w:rsid w:val="00B83EF9"/>
    <w:rsid w:val="00B840CE"/>
    <w:rsid w:val="00B846B4"/>
    <w:rsid w:val="00B86618"/>
    <w:rsid w:val="00B90893"/>
    <w:rsid w:val="00B90A50"/>
    <w:rsid w:val="00B918FB"/>
    <w:rsid w:val="00B92B49"/>
    <w:rsid w:val="00B9316D"/>
    <w:rsid w:val="00B9447E"/>
    <w:rsid w:val="00B947D7"/>
    <w:rsid w:val="00B95876"/>
    <w:rsid w:val="00BA11CC"/>
    <w:rsid w:val="00BA3AB0"/>
    <w:rsid w:val="00BA6548"/>
    <w:rsid w:val="00BA66DB"/>
    <w:rsid w:val="00BA7297"/>
    <w:rsid w:val="00BA7EF5"/>
    <w:rsid w:val="00BB0EF0"/>
    <w:rsid w:val="00BB3E22"/>
    <w:rsid w:val="00BB4DFC"/>
    <w:rsid w:val="00BC02F2"/>
    <w:rsid w:val="00BC0369"/>
    <w:rsid w:val="00BC0458"/>
    <w:rsid w:val="00BC058F"/>
    <w:rsid w:val="00BC1146"/>
    <w:rsid w:val="00BC1893"/>
    <w:rsid w:val="00BC235E"/>
    <w:rsid w:val="00BC235F"/>
    <w:rsid w:val="00BC4ADB"/>
    <w:rsid w:val="00BC6DBC"/>
    <w:rsid w:val="00BC72C5"/>
    <w:rsid w:val="00BD0A9C"/>
    <w:rsid w:val="00BD173A"/>
    <w:rsid w:val="00BD30FF"/>
    <w:rsid w:val="00BD325E"/>
    <w:rsid w:val="00BD44C9"/>
    <w:rsid w:val="00BD45E9"/>
    <w:rsid w:val="00BD6B0B"/>
    <w:rsid w:val="00BD7113"/>
    <w:rsid w:val="00BD7C00"/>
    <w:rsid w:val="00BD7C21"/>
    <w:rsid w:val="00BE03E6"/>
    <w:rsid w:val="00BE20DC"/>
    <w:rsid w:val="00BE2369"/>
    <w:rsid w:val="00BE3499"/>
    <w:rsid w:val="00BE420F"/>
    <w:rsid w:val="00BE4E37"/>
    <w:rsid w:val="00BE4E71"/>
    <w:rsid w:val="00BE5EFD"/>
    <w:rsid w:val="00BE738C"/>
    <w:rsid w:val="00BF1981"/>
    <w:rsid w:val="00BF1F51"/>
    <w:rsid w:val="00BF2501"/>
    <w:rsid w:val="00BF3BE7"/>
    <w:rsid w:val="00BF3DCF"/>
    <w:rsid w:val="00BF694B"/>
    <w:rsid w:val="00BF7E1D"/>
    <w:rsid w:val="00C003E4"/>
    <w:rsid w:val="00C00E3D"/>
    <w:rsid w:val="00C00FEA"/>
    <w:rsid w:val="00C017B4"/>
    <w:rsid w:val="00C02A7F"/>
    <w:rsid w:val="00C02EE5"/>
    <w:rsid w:val="00C03511"/>
    <w:rsid w:val="00C054B2"/>
    <w:rsid w:val="00C057DD"/>
    <w:rsid w:val="00C059DF"/>
    <w:rsid w:val="00C06237"/>
    <w:rsid w:val="00C06B6F"/>
    <w:rsid w:val="00C06CBA"/>
    <w:rsid w:val="00C07158"/>
    <w:rsid w:val="00C11C3C"/>
    <w:rsid w:val="00C121C5"/>
    <w:rsid w:val="00C13841"/>
    <w:rsid w:val="00C14B5D"/>
    <w:rsid w:val="00C15093"/>
    <w:rsid w:val="00C16EB6"/>
    <w:rsid w:val="00C17BF5"/>
    <w:rsid w:val="00C201B2"/>
    <w:rsid w:val="00C203B9"/>
    <w:rsid w:val="00C208F1"/>
    <w:rsid w:val="00C230F5"/>
    <w:rsid w:val="00C24B04"/>
    <w:rsid w:val="00C2564F"/>
    <w:rsid w:val="00C26FFC"/>
    <w:rsid w:val="00C27517"/>
    <w:rsid w:val="00C27BA4"/>
    <w:rsid w:val="00C27E04"/>
    <w:rsid w:val="00C3015F"/>
    <w:rsid w:val="00C30C3C"/>
    <w:rsid w:val="00C30F1B"/>
    <w:rsid w:val="00C312A7"/>
    <w:rsid w:val="00C316CE"/>
    <w:rsid w:val="00C32305"/>
    <w:rsid w:val="00C34110"/>
    <w:rsid w:val="00C34A09"/>
    <w:rsid w:val="00C34F3B"/>
    <w:rsid w:val="00C35B8A"/>
    <w:rsid w:val="00C36619"/>
    <w:rsid w:val="00C37BD7"/>
    <w:rsid w:val="00C41233"/>
    <w:rsid w:val="00C412B4"/>
    <w:rsid w:val="00C42A73"/>
    <w:rsid w:val="00C42CA6"/>
    <w:rsid w:val="00C42CFE"/>
    <w:rsid w:val="00C43F9F"/>
    <w:rsid w:val="00C45FC7"/>
    <w:rsid w:val="00C4731B"/>
    <w:rsid w:val="00C502E0"/>
    <w:rsid w:val="00C50B24"/>
    <w:rsid w:val="00C51F62"/>
    <w:rsid w:val="00C52795"/>
    <w:rsid w:val="00C5455B"/>
    <w:rsid w:val="00C54D94"/>
    <w:rsid w:val="00C55364"/>
    <w:rsid w:val="00C56A90"/>
    <w:rsid w:val="00C56D55"/>
    <w:rsid w:val="00C579DE"/>
    <w:rsid w:val="00C57CEE"/>
    <w:rsid w:val="00C60388"/>
    <w:rsid w:val="00C60940"/>
    <w:rsid w:val="00C61668"/>
    <w:rsid w:val="00C61889"/>
    <w:rsid w:val="00C62E65"/>
    <w:rsid w:val="00C6372A"/>
    <w:rsid w:val="00C662B7"/>
    <w:rsid w:val="00C67C93"/>
    <w:rsid w:val="00C714F7"/>
    <w:rsid w:val="00C805AB"/>
    <w:rsid w:val="00C817B8"/>
    <w:rsid w:val="00C823E6"/>
    <w:rsid w:val="00C83102"/>
    <w:rsid w:val="00C84C61"/>
    <w:rsid w:val="00C85E5F"/>
    <w:rsid w:val="00C86CD1"/>
    <w:rsid w:val="00C87594"/>
    <w:rsid w:val="00C9097A"/>
    <w:rsid w:val="00C95CE8"/>
    <w:rsid w:val="00C95FE7"/>
    <w:rsid w:val="00CA02BC"/>
    <w:rsid w:val="00CA0859"/>
    <w:rsid w:val="00CA0B4B"/>
    <w:rsid w:val="00CA0C93"/>
    <w:rsid w:val="00CA18FF"/>
    <w:rsid w:val="00CA198A"/>
    <w:rsid w:val="00CA252B"/>
    <w:rsid w:val="00CA50C5"/>
    <w:rsid w:val="00CB1585"/>
    <w:rsid w:val="00CB4416"/>
    <w:rsid w:val="00CB44A3"/>
    <w:rsid w:val="00CB5A4E"/>
    <w:rsid w:val="00CB5A9E"/>
    <w:rsid w:val="00CB691E"/>
    <w:rsid w:val="00CB76A9"/>
    <w:rsid w:val="00CC135B"/>
    <w:rsid w:val="00CC17A8"/>
    <w:rsid w:val="00CC2AB4"/>
    <w:rsid w:val="00CC32C9"/>
    <w:rsid w:val="00CC5001"/>
    <w:rsid w:val="00CC50F3"/>
    <w:rsid w:val="00CC7589"/>
    <w:rsid w:val="00CD06DA"/>
    <w:rsid w:val="00CD2712"/>
    <w:rsid w:val="00CE0600"/>
    <w:rsid w:val="00CE09A0"/>
    <w:rsid w:val="00CE15FA"/>
    <w:rsid w:val="00CE3B07"/>
    <w:rsid w:val="00CE3EBE"/>
    <w:rsid w:val="00CF1406"/>
    <w:rsid w:val="00CF199B"/>
    <w:rsid w:val="00CF2063"/>
    <w:rsid w:val="00CF2794"/>
    <w:rsid w:val="00CF2F70"/>
    <w:rsid w:val="00CF534C"/>
    <w:rsid w:val="00CF5EEA"/>
    <w:rsid w:val="00CF7553"/>
    <w:rsid w:val="00D0180C"/>
    <w:rsid w:val="00D02C17"/>
    <w:rsid w:val="00D0472A"/>
    <w:rsid w:val="00D05CFE"/>
    <w:rsid w:val="00D05EE4"/>
    <w:rsid w:val="00D05F8B"/>
    <w:rsid w:val="00D068A0"/>
    <w:rsid w:val="00D06A53"/>
    <w:rsid w:val="00D07290"/>
    <w:rsid w:val="00D075BE"/>
    <w:rsid w:val="00D07DA2"/>
    <w:rsid w:val="00D07F08"/>
    <w:rsid w:val="00D11031"/>
    <w:rsid w:val="00D126A1"/>
    <w:rsid w:val="00D1306C"/>
    <w:rsid w:val="00D1366C"/>
    <w:rsid w:val="00D13DF0"/>
    <w:rsid w:val="00D161B7"/>
    <w:rsid w:val="00D201A9"/>
    <w:rsid w:val="00D20B84"/>
    <w:rsid w:val="00D20DDA"/>
    <w:rsid w:val="00D220C1"/>
    <w:rsid w:val="00D2283B"/>
    <w:rsid w:val="00D22922"/>
    <w:rsid w:val="00D22ED4"/>
    <w:rsid w:val="00D23242"/>
    <w:rsid w:val="00D233A7"/>
    <w:rsid w:val="00D25336"/>
    <w:rsid w:val="00D27FBA"/>
    <w:rsid w:val="00D30AAB"/>
    <w:rsid w:val="00D30C1E"/>
    <w:rsid w:val="00D31947"/>
    <w:rsid w:val="00D31F0F"/>
    <w:rsid w:val="00D3215E"/>
    <w:rsid w:val="00D32C32"/>
    <w:rsid w:val="00D34DA9"/>
    <w:rsid w:val="00D374AA"/>
    <w:rsid w:val="00D419D4"/>
    <w:rsid w:val="00D41F70"/>
    <w:rsid w:val="00D43CF5"/>
    <w:rsid w:val="00D440D0"/>
    <w:rsid w:val="00D476A9"/>
    <w:rsid w:val="00D50274"/>
    <w:rsid w:val="00D5187F"/>
    <w:rsid w:val="00D51A5F"/>
    <w:rsid w:val="00D51E52"/>
    <w:rsid w:val="00D53721"/>
    <w:rsid w:val="00D558F5"/>
    <w:rsid w:val="00D567C6"/>
    <w:rsid w:val="00D5705B"/>
    <w:rsid w:val="00D61856"/>
    <w:rsid w:val="00D61DA7"/>
    <w:rsid w:val="00D63A26"/>
    <w:rsid w:val="00D65D20"/>
    <w:rsid w:val="00D65F03"/>
    <w:rsid w:val="00D7259B"/>
    <w:rsid w:val="00D76C8B"/>
    <w:rsid w:val="00D81141"/>
    <w:rsid w:val="00D814BF"/>
    <w:rsid w:val="00D82AD1"/>
    <w:rsid w:val="00D835C1"/>
    <w:rsid w:val="00D873F7"/>
    <w:rsid w:val="00D879D3"/>
    <w:rsid w:val="00D87E2B"/>
    <w:rsid w:val="00D90A35"/>
    <w:rsid w:val="00D914C6"/>
    <w:rsid w:val="00D932AD"/>
    <w:rsid w:val="00D93563"/>
    <w:rsid w:val="00D93699"/>
    <w:rsid w:val="00D9454D"/>
    <w:rsid w:val="00D94C50"/>
    <w:rsid w:val="00DA1AE6"/>
    <w:rsid w:val="00DA504A"/>
    <w:rsid w:val="00DA779B"/>
    <w:rsid w:val="00DB0EFA"/>
    <w:rsid w:val="00DB2528"/>
    <w:rsid w:val="00DB2842"/>
    <w:rsid w:val="00DB40E6"/>
    <w:rsid w:val="00DB7635"/>
    <w:rsid w:val="00DB77E1"/>
    <w:rsid w:val="00DB7901"/>
    <w:rsid w:val="00DC15DF"/>
    <w:rsid w:val="00DC20E3"/>
    <w:rsid w:val="00DC308B"/>
    <w:rsid w:val="00DC464D"/>
    <w:rsid w:val="00DC6BAB"/>
    <w:rsid w:val="00DD03AA"/>
    <w:rsid w:val="00DD1B00"/>
    <w:rsid w:val="00DD5D2B"/>
    <w:rsid w:val="00DD69B3"/>
    <w:rsid w:val="00DD6B4B"/>
    <w:rsid w:val="00DE0950"/>
    <w:rsid w:val="00DE14A5"/>
    <w:rsid w:val="00DE164B"/>
    <w:rsid w:val="00DE2ADA"/>
    <w:rsid w:val="00DE2E90"/>
    <w:rsid w:val="00DF1171"/>
    <w:rsid w:val="00DF1659"/>
    <w:rsid w:val="00DF1680"/>
    <w:rsid w:val="00DF3D98"/>
    <w:rsid w:val="00DF4FBE"/>
    <w:rsid w:val="00DF7563"/>
    <w:rsid w:val="00E05D50"/>
    <w:rsid w:val="00E065D7"/>
    <w:rsid w:val="00E06D7C"/>
    <w:rsid w:val="00E06DDF"/>
    <w:rsid w:val="00E11489"/>
    <w:rsid w:val="00E12FBD"/>
    <w:rsid w:val="00E14B15"/>
    <w:rsid w:val="00E14E7A"/>
    <w:rsid w:val="00E21BB9"/>
    <w:rsid w:val="00E22C9F"/>
    <w:rsid w:val="00E23A62"/>
    <w:rsid w:val="00E2578D"/>
    <w:rsid w:val="00E27FB0"/>
    <w:rsid w:val="00E304E7"/>
    <w:rsid w:val="00E30989"/>
    <w:rsid w:val="00E326A9"/>
    <w:rsid w:val="00E328DD"/>
    <w:rsid w:val="00E32AE7"/>
    <w:rsid w:val="00E337DD"/>
    <w:rsid w:val="00E338A4"/>
    <w:rsid w:val="00E43461"/>
    <w:rsid w:val="00E44E12"/>
    <w:rsid w:val="00E4573F"/>
    <w:rsid w:val="00E4668E"/>
    <w:rsid w:val="00E4721E"/>
    <w:rsid w:val="00E47ACF"/>
    <w:rsid w:val="00E5134A"/>
    <w:rsid w:val="00E51E46"/>
    <w:rsid w:val="00E52EDC"/>
    <w:rsid w:val="00E53C35"/>
    <w:rsid w:val="00E553FB"/>
    <w:rsid w:val="00E5559A"/>
    <w:rsid w:val="00E6024F"/>
    <w:rsid w:val="00E60C5A"/>
    <w:rsid w:val="00E62E4F"/>
    <w:rsid w:val="00E6314A"/>
    <w:rsid w:val="00E63897"/>
    <w:rsid w:val="00E645DE"/>
    <w:rsid w:val="00E67718"/>
    <w:rsid w:val="00E67FC4"/>
    <w:rsid w:val="00E71D89"/>
    <w:rsid w:val="00E72A6D"/>
    <w:rsid w:val="00E76793"/>
    <w:rsid w:val="00E77164"/>
    <w:rsid w:val="00E77C77"/>
    <w:rsid w:val="00E82224"/>
    <w:rsid w:val="00E85F4E"/>
    <w:rsid w:val="00E86DA4"/>
    <w:rsid w:val="00E87015"/>
    <w:rsid w:val="00E8701B"/>
    <w:rsid w:val="00E904A2"/>
    <w:rsid w:val="00E91455"/>
    <w:rsid w:val="00E9195A"/>
    <w:rsid w:val="00E926AE"/>
    <w:rsid w:val="00E96860"/>
    <w:rsid w:val="00EA1439"/>
    <w:rsid w:val="00EA1F93"/>
    <w:rsid w:val="00EA4203"/>
    <w:rsid w:val="00EA4327"/>
    <w:rsid w:val="00EA4C1C"/>
    <w:rsid w:val="00EA51EE"/>
    <w:rsid w:val="00EA7541"/>
    <w:rsid w:val="00EB0937"/>
    <w:rsid w:val="00EB45D3"/>
    <w:rsid w:val="00EB5755"/>
    <w:rsid w:val="00EB6068"/>
    <w:rsid w:val="00EB726E"/>
    <w:rsid w:val="00EB783D"/>
    <w:rsid w:val="00EB7ABA"/>
    <w:rsid w:val="00EC23B9"/>
    <w:rsid w:val="00EC33F2"/>
    <w:rsid w:val="00EC48B0"/>
    <w:rsid w:val="00EC4C66"/>
    <w:rsid w:val="00EC4D5D"/>
    <w:rsid w:val="00EC4E3D"/>
    <w:rsid w:val="00EC6F4C"/>
    <w:rsid w:val="00ED1C91"/>
    <w:rsid w:val="00ED241A"/>
    <w:rsid w:val="00ED2601"/>
    <w:rsid w:val="00ED3056"/>
    <w:rsid w:val="00ED3185"/>
    <w:rsid w:val="00ED3240"/>
    <w:rsid w:val="00ED49B2"/>
    <w:rsid w:val="00ED65DE"/>
    <w:rsid w:val="00ED71AA"/>
    <w:rsid w:val="00EE1677"/>
    <w:rsid w:val="00EE368A"/>
    <w:rsid w:val="00EE3A6E"/>
    <w:rsid w:val="00EE3E8A"/>
    <w:rsid w:val="00EE710B"/>
    <w:rsid w:val="00EE71E9"/>
    <w:rsid w:val="00EF1059"/>
    <w:rsid w:val="00EF1B92"/>
    <w:rsid w:val="00EF2A01"/>
    <w:rsid w:val="00EF3C6A"/>
    <w:rsid w:val="00EF5215"/>
    <w:rsid w:val="00EF6093"/>
    <w:rsid w:val="00EF676A"/>
    <w:rsid w:val="00F00ABB"/>
    <w:rsid w:val="00F02DA8"/>
    <w:rsid w:val="00F03486"/>
    <w:rsid w:val="00F03FE4"/>
    <w:rsid w:val="00F06613"/>
    <w:rsid w:val="00F07E4B"/>
    <w:rsid w:val="00F10214"/>
    <w:rsid w:val="00F1134D"/>
    <w:rsid w:val="00F12713"/>
    <w:rsid w:val="00F12E57"/>
    <w:rsid w:val="00F13DE2"/>
    <w:rsid w:val="00F16973"/>
    <w:rsid w:val="00F201A3"/>
    <w:rsid w:val="00F20887"/>
    <w:rsid w:val="00F228C5"/>
    <w:rsid w:val="00F24CFD"/>
    <w:rsid w:val="00F261C3"/>
    <w:rsid w:val="00F318C8"/>
    <w:rsid w:val="00F31D60"/>
    <w:rsid w:val="00F32221"/>
    <w:rsid w:val="00F32A88"/>
    <w:rsid w:val="00F336FF"/>
    <w:rsid w:val="00F33AFE"/>
    <w:rsid w:val="00F347A2"/>
    <w:rsid w:val="00F37221"/>
    <w:rsid w:val="00F4002D"/>
    <w:rsid w:val="00F40AB4"/>
    <w:rsid w:val="00F41CF5"/>
    <w:rsid w:val="00F44F9F"/>
    <w:rsid w:val="00F478FB"/>
    <w:rsid w:val="00F47E2C"/>
    <w:rsid w:val="00F53BB9"/>
    <w:rsid w:val="00F54284"/>
    <w:rsid w:val="00F54DDC"/>
    <w:rsid w:val="00F555AE"/>
    <w:rsid w:val="00F613E4"/>
    <w:rsid w:val="00F614E9"/>
    <w:rsid w:val="00F61C25"/>
    <w:rsid w:val="00F6224D"/>
    <w:rsid w:val="00F6259D"/>
    <w:rsid w:val="00F627CB"/>
    <w:rsid w:val="00F6511B"/>
    <w:rsid w:val="00F66D60"/>
    <w:rsid w:val="00F67FA0"/>
    <w:rsid w:val="00F73086"/>
    <w:rsid w:val="00F7457A"/>
    <w:rsid w:val="00F763C4"/>
    <w:rsid w:val="00F76E5A"/>
    <w:rsid w:val="00F772B7"/>
    <w:rsid w:val="00F81C9D"/>
    <w:rsid w:val="00F827DC"/>
    <w:rsid w:val="00F85E99"/>
    <w:rsid w:val="00F86ED3"/>
    <w:rsid w:val="00F8750C"/>
    <w:rsid w:val="00F87D5C"/>
    <w:rsid w:val="00F917DD"/>
    <w:rsid w:val="00F91AF3"/>
    <w:rsid w:val="00F91E2A"/>
    <w:rsid w:val="00F929C3"/>
    <w:rsid w:val="00F93541"/>
    <w:rsid w:val="00F94D06"/>
    <w:rsid w:val="00F9591B"/>
    <w:rsid w:val="00F9628F"/>
    <w:rsid w:val="00F967D4"/>
    <w:rsid w:val="00F968A8"/>
    <w:rsid w:val="00F96E8C"/>
    <w:rsid w:val="00FA0C77"/>
    <w:rsid w:val="00FA1004"/>
    <w:rsid w:val="00FA2084"/>
    <w:rsid w:val="00FA33BA"/>
    <w:rsid w:val="00FA4E6C"/>
    <w:rsid w:val="00FA5A85"/>
    <w:rsid w:val="00FA676E"/>
    <w:rsid w:val="00FA6EC6"/>
    <w:rsid w:val="00FB0884"/>
    <w:rsid w:val="00FB0910"/>
    <w:rsid w:val="00FB2497"/>
    <w:rsid w:val="00FB2FED"/>
    <w:rsid w:val="00FB57B2"/>
    <w:rsid w:val="00FB57EC"/>
    <w:rsid w:val="00FB6F1A"/>
    <w:rsid w:val="00FC1369"/>
    <w:rsid w:val="00FC283D"/>
    <w:rsid w:val="00FC3006"/>
    <w:rsid w:val="00FC5ECF"/>
    <w:rsid w:val="00FC77E2"/>
    <w:rsid w:val="00FD0C3E"/>
    <w:rsid w:val="00FD32B1"/>
    <w:rsid w:val="00FD3D79"/>
    <w:rsid w:val="00FD5919"/>
    <w:rsid w:val="00FE1803"/>
    <w:rsid w:val="00FE25E4"/>
    <w:rsid w:val="00FE2F97"/>
    <w:rsid w:val="00FE48C5"/>
    <w:rsid w:val="00FE4CF5"/>
    <w:rsid w:val="00FE60F0"/>
    <w:rsid w:val="00FE6522"/>
    <w:rsid w:val="00FE733B"/>
    <w:rsid w:val="00FF01A0"/>
    <w:rsid w:val="00FF0DFD"/>
    <w:rsid w:val="00FF3745"/>
    <w:rsid w:val="00FF43D5"/>
    <w:rsid w:val="00FF4E23"/>
    <w:rsid w:val="00FF4F5E"/>
    <w:rsid w:val="00FF5C4C"/>
    <w:rsid w:val="00FF6129"/>
    <w:rsid w:val="01157263"/>
    <w:rsid w:val="01F30184"/>
    <w:rsid w:val="0269382A"/>
    <w:rsid w:val="03E21EAD"/>
    <w:rsid w:val="047017D4"/>
    <w:rsid w:val="047C4024"/>
    <w:rsid w:val="04E2647A"/>
    <w:rsid w:val="05285D1E"/>
    <w:rsid w:val="055B7295"/>
    <w:rsid w:val="059E448B"/>
    <w:rsid w:val="05C11A76"/>
    <w:rsid w:val="05F63EF1"/>
    <w:rsid w:val="05F90897"/>
    <w:rsid w:val="06803F99"/>
    <w:rsid w:val="06C92C25"/>
    <w:rsid w:val="078F0773"/>
    <w:rsid w:val="07EA06E6"/>
    <w:rsid w:val="0838301D"/>
    <w:rsid w:val="086B2AB5"/>
    <w:rsid w:val="08841AE9"/>
    <w:rsid w:val="096010CB"/>
    <w:rsid w:val="0992531D"/>
    <w:rsid w:val="09E234A1"/>
    <w:rsid w:val="0A4A1533"/>
    <w:rsid w:val="0B016BFE"/>
    <w:rsid w:val="0B0B5223"/>
    <w:rsid w:val="0B113DED"/>
    <w:rsid w:val="0B960141"/>
    <w:rsid w:val="0C1672E5"/>
    <w:rsid w:val="0C193AD3"/>
    <w:rsid w:val="0D2B28C4"/>
    <w:rsid w:val="0EC1346C"/>
    <w:rsid w:val="0F352C54"/>
    <w:rsid w:val="0FC633DB"/>
    <w:rsid w:val="1020187E"/>
    <w:rsid w:val="107343B9"/>
    <w:rsid w:val="107B4D5D"/>
    <w:rsid w:val="1089760E"/>
    <w:rsid w:val="10FD737F"/>
    <w:rsid w:val="11375274"/>
    <w:rsid w:val="11427122"/>
    <w:rsid w:val="11CF1EA3"/>
    <w:rsid w:val="11D33806"/>
    <w:rsid w:val="12412050"/>
    <w:rsid w:val="12DB66FD"/>
    <w:rsid w:val="131176D8"/>
    <w:rsid w:val="131262D1"/>
    <w:rsid w:val="134772A4"/>
    <w:rsid w:val="14346C86"/>
    <w:rsid w:val="14B6474C"/>
    <w:rsid w:val="14E65973"/>
    <w:rsid w:val="158531AF"/>
    <w:rsid w:val="16D44086"/>
    <w:rsid w:val="170432D2"/>
    <w:rsid w:val="174A39FF"/>
    <w:rsid w:val="17917991"/>
    <w:rsid w:val="17EC6540"/>
    <w:rsid w:val="180A43E5"/>
    <w:rsid w:val="18577FD9"/>
    <w:rsid w:val="18B522E8"/>
    <w:rsid w:val="19F66B31"/>
    <w:rsid w:val="1A464FDB"/>
    <w:rsid w:val="1A6525DA"/>
    <w:rsid w:val="1A696A11"/>
    <w:rsid w:val="1B20658C"/>
    <w:rsid w:val="1B6E08D8"/>
    <w:rsid w:val="1BFB33CD"/>
    <w:rsid w:val="1C524E32"/>
    <w:rsid w:val="1C865410"/>
    <w:rsid w:val="1CB14B2E"/>
    <w:rsid w:val="1CCA73CD"/>
    <w:rsid w:val="1CEB326A"/>
    <w:rsid w:val="1D197DB1"/>
    <w:rsid w:val="1D6113CB"/>
    <w:rsid w:val="1DAA0914"/>
    <w:rsid w:val="1DAA2574"/>
    <w:rsid w:val="1EAF4990"/>
    <w:rsid w:val="1EBD3EAF"/>
    <w:rsid w:val="1F2D662A"/>
    <w:rsid w:val="1FF76E10"/>
    <w:rsid w:val="20010065"/>
    <w:rsid w:val="20CB6D20"/>
    <w:rsid w:val="20CF31C3"/>
    <w:rsid w:val="21787A13"/>
    <w:rsid w:val="2248652F"/>
    <w:rsid w:val="22653052"/>
    <w:rsid w:val="22C64D21"/>
    <w:rsid w:val="22F12D35"/>
    <w:rsid w:val="23694374"/>
    <w:rsid w:val="238734D8"/>
    <w:rsid w:val="23DF22FF"/>
    <w:rsid w:val="243A7A34"/>
    <w:rsid w:val="24A073D0"/>
    <w:rsid w:val="24A85EE5"/>
    <w:rsid w:val="24B4139A"/>
    <w:rsid w:val="24B800E0"/>
    <w:rsid w:val="24FD0E2C"/>
    <w:rsid w:val="251608E9"/>
    <w:rsid w:val="252F7456"/>
    <w:rsid w:val="25423143"/>
    <w:rsid w:val="255F776F"/>
    <w:rsid w:val="258B2FB3"/>
    <w:rsid w:val="25B707DD"/>
    <w:rsid w:val="25F21641"/>
    <w:rsid w:val="264755DA"/>
    <w:rsid w:val="279D3C50"/>
    <w:rsid w:val="27B54BA0"/>
    <w:rsid w:val="28332D9D"/>
    <w:rsid w:val="28C306E9"/>
    <w:rsid w:val="294B7329"/>
    <w:rsid w:val="29616227"/>
    <w:rsid w:val="298013A6"/>
    <w:rsid w:val="29D1602B"/>
    <w:rsid w:val="2A473AAA"/>
    <w:rsid w:val="2A4D68AA"/>
    <w:rsid w:val="2A72401F"/>
    <w:rsid w:val="2BAA5157"/>
    <w:rsid w:val="2BCC4267"/>
    <w:rsid w:val="2CE22181"/>
    <w:rsid w:val="2D531586"/>
    <w:rsid w:val="2E1178F3"/>
    <w:rsid w:val="2E1678C0"/>
    <w:rsid w:val="2F1159FB"/>
    <w:rsid w:val="2F9B3A99"/>
    <w:rsid w:val="300F7337"/>
    <w:rsid w:val="3200419A"/>
    <w:rsid w:val="32371154"/>
    <w:rsid w:val="324B0F88"/>
    <w:rsid w:val="32955223"/>
    <w:rsid w:val="329A3A1B"/>
    <w:rsid w:val="32AC28A3"/>
    <w:rsid w:val="32CD450B"/>
    <w:rsid w:val="33164982"/>
    <w:rsid w:val="334212B2"/>
    <w:rsid w:val="33B30DFA"/>
    <w:rsid w:val="33FE0C46"/>
    <w:rsid w:val="3466420D"/>
    <w:rsid w:val="34B80FDB"/>
    <w:rsid w:val="34D9620C"/>
    <w:rsid w:val="34EE282D"/>
    <w:rsid w:val="35093A31"/>
    <w:rsid w:val="354407C6"/>
    <w:rsid w:val="35460FEA"/>
    <w:rsid w:val="35911AD2"/>
    <w:rsid w:val="35D94E62"/>
    <w:rsid w:val="35E011F0"/>
    <w:rsid w:val="35F8517E"/>
    <w:rsid w:val="36761B5A"/>
    <w:rsid w:val="369A5E2E"/>
    <w:rsid w:val="36AA31C1"/>
    <w:rsid w:val="379977EB"/>
    <w:rsid w:val="38834898"/>
    <w:rsid w:val="38AE35BC"/>
    <w:rsid w:val="392F055F"/>
    <w:rsid w:val="39CE7FD9"/>
    <w:rsid w:val="3A2133F1"/>
    <w:rsid w:val="3A4737F4"/>
    <w:rsid w:val="3A977FAE"/>
    <w:rsid w:val="3B5B50ED"/>
    <w:rsid w:val="3B6D3D3D"/>
    <w:rsid w:val="3B9C110D"/>
    <w:rsid w:val="3BAD3112"/>
    <w:rsid w:val="3BD229BA"/>
    <w:rsid w:val="3C59537C"/>
    <w:rsid w:val="3C654D26"/>
    <w:rsid w:val="3C895B81"/>
    <w:rsid w:val="3CD01B1C"/>
    <w:rsid w:val="3D316292"/>
    <w:rsid w:val="3DA45D52"/>
    <w:rsid w:val="3F693CEC"/>
    <w:rsid w:val="40BA6823"/>
    <w:rsid w:val="41351411"/>
    <w:rsid w:val="414E3A49"/>
    <w:rsid w:val="415A14B7"/>
    <w:rsid w:val="41CC07C5"/>
    <w:rsid w:val="41D22ADE"/>
    <w:rsid w:val="41D2466D"/>
    <w:rsid w:val="420D7E11"/>
    <w:rsid w:val="421F738E"/>
    <w:rsid w:val="42C96C00"/>
    <w:rsid w:val="42D04C83"/>
    <w:rsid w:val="42E2243E"/>
    <w:rsid w:val="430543F4"/>
    <w:rsid w:val="43160791"/>
    <w:rsid w:val="43860D47"/>
    <w:rsid w:val="438F6905"/>
    <w:rsid w:val="43BB4438"/>
    <w:rsid w:val="45DB35CC"/>
    <w:rsid w:val="45E46428"/>
    <w:rsid w:val="45EE1083"/>
    <w:rsid w:val="476A10AC"/>
    <w:rsid w:val="47A30A6A"/>
    <w:rsid w:val="483B475D"/>
    <w:rsid w:val="490B4D94"/>
    <w:rsid w:val="49245242"/>
    <w:rsid w:val="49A01B81"/>
    <w:rsid w:val="49D40A5E"/>
    <w:rsid w:val="4AD04784"/>
    <w:rsid w:val="4AE82E7C"/>
    <w:rsid w:val="4AF40F4F"/>
    <w:rsid w:val="4B31481A"/>
    <w:rsid w:val="4B8F6196"/>
    <w:rsid w:val="4BB87F0C"/>
    <w:rsid w:val="4C16653A"/>
    <w:rsid w:val="4CDF755D"/>
    <w:rsid w:val="4D3436D2"/>
    <w:rsid w:val="4D9E7E8D"/>
    <w:rsid w:val="4D9F3DF1"/>
    <w:rsid w:val="4DC9668B"/>
    <w:rsid w:val="4E0437D4"/>
    <w:rsid w:val="4EA94367"/>
    <w:rsid w:val="4EC70B92"/>
    <w:rsid w:val="4EE27525"/>
    <w:rsid w:val="4EF9596A"/>
    <w:rsid w:val="4F5C2F8F"/>
    <w:rsid w:val="4FD02C81"/>
    <w:rsid w:val="5012388C"/>
    <w:rsid w:val="50177A28"/>
    <w:rsid w:val="505740B9"/>
    <w:rsid w:val="505C2852"/>
    <w:rsid w:val="518B23D2"/>
    <w:rsid w:val="51991A9C"/>
    <w:rsid w:val="530D265C"/>
    <w:rsid w:val="53D94410"/>
    <w:rsid w:val="54352A41"/>
    <w:rsid w:val="54595FA3"/>
    <w:rsid w:val="54724B97"/>
    <w:rsid w:val="54AF08FE"/>
    <w:rsid w:val="54E816F5"/>
    <w:rsid w:val="55610B34"/>
    <w:rsid w:val="5675615A"/>
    <w:rsid w:val="56B253B8"/>
    <w:rsid w:val="57D3473C"/>
    <w:rsid w:val="58F242ED"/>
    <w:rsid w:val="590D7AE9"/>
    <w:rsid w:val="5926209A"/>
    <w:rsid w:val="59751E42"/>
    <w:rsid w:val="5AF8090C"/>
    <w:rsid w:val="5B5264E5"/>
    <w:rsid w:val="5C653D22"/>
    <w:rsid w:val="5C7C36A3"/>
    <w:rsid w:val="5DA01578"/>
    <w:rsid w:val="5E373AE7"/>
    <w:rsid w:val="5E600ADA"/>
    <w:rsid w:val="5E720CA2"/>
    <w:rsid w:val="5EF71085"/>
    <w:rsid w:val="5EF86DE5"/>
    <w:rsid w:val="5F5057BC"/>
    <w:rsid w:val="5F7D18C0"/>
    <w:rsid w:val="5FA322FC"/>
    <w:rsid w:val="5FDA449D"/>
    <w:rsid w:val="60F96FD8"/>
    <w:rsid w:val="61331C5A"/>
    <w:rsid w:val="615D3E3F"/>
    <w:rsid w:val="61800B94"/>
    <w:rsid w:val="61CF446B"/>
    <w:rsid w:val="62EF6807"/>
    <w:rsid w:val="639B3B30"/>
    <w:rsid w:val="64277AE0"/>
    <w:rsid w:val="64584252"/>
    <w:rsid w:val="646F62D0"/>
    <w:rsid w:val="64CC1A6B"/>
    <w:rsid w:val="64DD4F2B"/>
    <w:rsid w:val="64EB596C"/>
    <w:rsid w:val="65646CE3"/>
    <w:rsid w:val="659876DE"/>
    <w:rsid w:val="65BF3655"/>
    <w:rsid w:val="66327DBB"/>
    <w:rsid w:val="6654338A"/>
    <w:rsid w:val="66DC0AFB"/>
    <w:rsid w:val="66E57697"/>
    <w:rsid w:val="674202F5"/>
    <w:rsid w:val="67576912"/>
    <w:rsid w:val="67677AA0"/>
    <w:rsid w:val="68552A97"/>
    <w:rsid w:val="69A30390"/>
    <w:rsid w:val="6ADD265D"/>
    <w:rsid w:val="6B8B255C"/>
    <w:rsid w:val="6BF30E2D"/>
    <w:rsid w:val="6C353187"/>
    <w:rsid w:val="6CC22541"/>
    <w:rsid w:val="6CCD7699"/>
    <w:rsid w:val="6D380010"/>
    <w:rsid w:val="6D8A0B50"/>
    <w:rsid w:val="6E032E11"/>
    <w:rsid w:val="6E852074"/>
    <w:rsid w:val="6F1E43A6"/>
    <w:rsid w:val="703B205D"/>
    <w:rsid w:val="70BF09AB"/>
    <w:rsid w:val="712A570A"/>
    <w:rsid w:val="7137695A"/>
    <w:rsid w:val="7159580F"/>
    <w:rsid w:val="71732971"/>
    <w:rsid w:val="71A80522"/>
    <w:rsid w:val="72641F69"/>
    <w:rsid w:val="73161399"/>
    <w:rsid w:val="739F6306"/>
    <w:rsid w:val="7462214C"/>
    <w:rsid w:val="74925676"/>
    <w:rsid w:val="754615B0"/>
    <w:rsid w:val="75C875FB"/>
    <w:rsid w:val="76210C27"/>
    <w:rsid w:val="76876CD5"/>
    <w:rsid w:val="76B65452"/>
    <w:rsid w:val="76D74BBF"/>
    <w:rsid w:val="76E17179"/>
    <w:rsid w:val="77830E53"/>
    <w:rsid w:val="780A11FC"/>
    <w:rsid w:val="792D187D"/>
    <w:rsid w:val="793F67A8"/>
    <w:rsid w:val="7A490D3F"/>
    <w:rsid w:val="7A7F116F"/>
    <w:rsid w:val="7AA20A77"/>
    <w:rsid w:val="7AD95837"/>
    <w:rsid w:val="7B1B6A97"/>
    <w:rsid w:val="7B9D691C"/>
    <w:rsid w:val="7B9F2DA0"/>
    <w:rsid w:val="7BDC3DDF"/>
    <w:rsid w:val="7C5A6A0B"/>
    <w:rsid w:val="7C5B2CA6"/>
    <w:rsid w:val="7CD66A87"/>
    <w:rsid w:val="7D4A1E4C"/>
    <w:rsid w:val="7DA778CF"/>
    <w:rsid w:val="7DAC48CC"/>
    <w:rsid w:val="7DF90327"/>
    <w:rsid w:val="7E924469"/>
    <w:rsid w:val="7F7F734B"/>
    <w:rsid w:val="7FC20FD4"/>
    <w:rsid w:val="7FE37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nhideWhenUsed="0" w:uiPriority="0"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8"/>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autoRedefine/>
    <w:unhideWhenUsed/>
    <w:qFormat/>
    <w:uiPriority w:val="9"/>
    <w:pPr>
      <w:keepNext/>
      <w:keepLines/>
      <w:spacing w:line="360" w:lineRule="auto"/>
      <w:outlineLvl w:val="2"/>
    </w:pPr>
    <w:rPr>
      <w:rFonts w:ascii="Times New Roman" w:hAnsi="Times New Roman" w:eastAsia="宋体" w:cs="仿宋"/>
      <w:b/>
      <w:bCs/>
      <w:sz w:val="28"/>
    </w:rPr>
  </w:style>
  <w:style w:type="paragraph" w:styleId="2">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rPr>
      <w:szCs w:val="20"/>
    </w:rPr>
  </w:style>
  <w:style w:type="paragraph" w:styleId="7">
    <w:name w:val="annotation text"/>
    <w:basedOn w:val="1"/>
    <w:link w:val="66"/>
    <w:autoRedefine/>
    <w:unhideWhenUsed/>
    <w:qFormat/>
    <w:uiPriority w:val="99"/>
    <w:pPr>
      <w:jc w:val="left"/>
    </w:pPr>
  </w:style>
  <w:style w:type="paragraph" w:styleId="8">
    <w:name w:val="Body Text"/>
    <w:basedOn w:val="1"/>
    <w:next w:val="1"/>
    <w:link w:val="57"/>
    <w:autoRedefine/>
    <w:semiHidden/>
    <w:unhideWhenUsed/>
    <w:qFormat/>
    <w:uiPriority w:val="99"/>
    <w:pPr>
      <w:spacing w:after="120"/>
    </w:pPr>
  </w:style>
  <w:style w:type="paragraph" w:styleId="9">
    <w:name w:val="Body Text Indent"/>
    <w:basedOn w:val="1"/>
    <w:next w:val="10"/>
    <w:link w:val="52"/>
    <w:autoRedefine/>
    <w:qFormat/>
    <w:uiPriority w:val="0"/>
    <w:pPr>
      <w:spacing w:after="120"/>
      <w:ind w:left="420"/>
    </w:pPr>
    <w:rPr>
      <w:rFonts w:ascii="Times New Roman" w:hAnsi="Times New Roman" w:eastAsia="宋体" w:cs="Times New Roman"/>
      <w:szCs w:val="20"/>
    </w:rPr>
  </w:style>
  <w:style w:type="paragraph" w:styleId="10">
    <w:name w:val="Body Text First Indent 2"/>
    <w:basedOn w:val="9"/>
    <w:next w:val="1"/>
    <w:link w:val="72"/>
    <w:autoRedefine/>
    <w:semiHidden/>
    <w:unhideWhenUsed/>
    <w:qFormat/>
    <w:uiPriority w:val="99"/>
    <w:pPr>
      <w:ind w:left="200" w:leftChars="200" w:firstLine="420" w:firstLineChars="200"/>
    </w:pPr>
    <w:rPr>
      <w:rFonts w:asciiTheme="minorHAnsi" w:hAnsiTheme="minorHAnsi" w:eastAsiaTheme="minorEastAsia" w:cstheme="minorBidi"/>
      <w:szCs w:val="22"/>
    </w:rPr>
  </w:style>
  <w:style w:type="paragraph" w:styleId="11">
    <w:name w:val="toc 3"/>
    <w:basedOn w:val="1"/>
    <w:next w:val="1"/>
    <w:autoRedefine/>
    <w:unhideWhenUsed/>
    <w:qFormat/>
    <w:uiPriority w:val="39"/>
    <w:pPr>
      <w:ind w:left="840" w:leftChars="400"/>
    </w:pPr>
  </w:style>
  <w:style w:type="paragraph" w:styleId="12">
    <w:name w:val="Plain Text"/>
    <w:basedOn w:val="1"/>
    <w:link w:val="60"/>
    <w:autoRedefine/>
    <w:qFormat/>
    <w:uiPriority w:val="0"/>
    <w:rPr>
      <w:rFonts w:eastAsia="方正书宋简体"/>
      <w:sz w:val="28"/>
    </w:rPr>
  </w:style>
  <w:style w:type="paragraph" w:styleId="13">
    <w:name w:val="List Bullet 5"/>
    <w:basedOn w:val="1"/>
    <w:autoRedefine/>
    <w:semiHidden/>
    <w:unhideWhenUsed/>
    <w:qFormat/>
    <w:uiPriority w:val="99"/>
    <w:pPr>
      <w:numPr>
        <w:ilvl w:val="0"/>
        <w:numId w:val="1"/>
      </w:numPr>
    </w:pPr>
  </w:style>
  <w:style w:type="paragraph" w:styleId="14">
    <w:name w:val="Body Text Indent 2"/>
    <w:basedOn w:val="1"/>
    <w:link w:val="62"/>
    <w:autoRedefine/>
    <w:qFormat/>
    <w:uiPriority w:val="0"/>
    <w:pPr>
      <w:spacing w:after="120" w:line="480" w:lineRule="auto"/>
      <w:ind w:left="420" w:leftChars="200"/>
    </w:pPr>
    <w:rPr>
      <w:rFonts w:ascii="Times New Roman" w:hAnsi="Times New Roman" w:eastAsia="宋体" w:cs="Times New Roman"/>
      <w:szCs w:val="24"/>
    </w:rPr>
  </w:style>
  <w:style w:type="paragraph" w:styleId="15">
    <w:name w:val="Balloon Text"/>
    <w:basedOn w:val="1"/>
    <w:link w:val="56"/>
    <w:autoRedefine/>
    <w:semiHidden/>
    <w:unhideWhenUsed/>
    <w:qFormat/>
    <w:uiPriority w:val="99"/>
    <w:rPr>
      <w:sz w:val="18"/>
      <w:szCs w:val="18"/>
    </w:rPr>
  </w:style>
  <w:style w:type="paragraph" w:styleId="16">
    <w:name w:val="footer"/>
    <w:basedOn w:val="1"/>
    <w:link w:val="50"/>
    <w:autoRedefine/>
    <w:unhideWhenUsed/>
    <w:qFormat/>
    <w:uiPriority w:val="99"/>
    <w:pPr>
      <w:tabs>
        <w:tab w:val="center" w:pos="4153"/>
        <w:tab w:val="right" w:pos="8306"/>
      </w:tabs>
      <w:snapToGrid w:val="0"/>
      <w:jc w:val="left"/>
    </w:pPr>
    <w:rPr>
      <w:sz w:val="18"/>
      <w:szCs w:val="18"/>
    </w:rPr>
  </w:style>
  <w:style w:type="paragraph" w:styleId="17">
    <w:name w:val="header"/>
    <w:basedOn w:val="1"/>
    <w:next w:val="18"/>
    <w:link w:val="4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18">
    <w:name w:val="样式5"/>
    <w:basedOn w:val="19"/>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9">
    <w:name w:val="正文1"/>
    <w:basedOn w:val="20"/>
    <w:next w:val="1"/>
    <w:autoRedefine/>
    <w:qFormat/>
    <w:uiPriority w:val="0"/>
    <w:pPr>
      <w:widowControl w:val="0"/>
      <w:suppressAutoHyphens/>
      <w:spacing w:line="520" w:lineRule="atLeast"/>
      <w:ind w:firstLine="680"/>
      <w:jc w:val="both"/>
    </w:pPr>
    <w:rPr>
      <w:rFonts w:eastAsia="方正楷体简体"/>
      <w:spacing w:val="18"/>
      <w:sz w:val="32"/>
      <w:lang w:val="en-US" w:eastAsia="zh-CN" w:bidi="ar-SA"/>
    </w:rPr>
  </w:style>
  <w:style w:type="paragraph" w:customStyle="1" w:styleId="20">
    <w:name w:val="正文11"/>
    <w:basedOn w:val="1"/>
    <w:autoRedefine/>
    <w:qFormat/>
    <w:uiPriority w:val="0"/>
    <w:pPr>
      <w:adjustRightInd w:val="0"/>
      <w:snapToGrid w:val="0"/>
      <w:spacing w:line="360" w:lineRule="auto"/>
      <w:ind w:firstLine="420" w:firstLineChars="200"/>
    </w:pPr>
    <w:rPr>
      <w:color w:val="000000"/>
      <w:sz w:val="24"/>
    </w:rPr>
  </w:style>
  <w:style w:type="paragraph" w:styleId="21">
    <w:name w:val="toc 1"/>
    <w:basedOn w:val="1"/>
    <w:next w:val="1"/>
    <w:autoRedefine/>
    <w:unhideWhenUsed/>
    <w:qFormat/>
    <w:uiPriority w:val="39"/>
  </w:style>
  <w:style w:type="paragraph" w:styleId="22">
    <w:name w:val="index heading"/>
    <w:basedOn w:val="1"/>
    <w:next w:val="23"/>
    <w:autoRedefine/>
    <w:semiHidden/>
    <w:qFormat/>
    <w:uiPriority w:val="0"/>
    <w:rPr>
      <w:rFonts w:ascii="Arial" w:hAnsi="Arial" w:cs="Arial"/>
      <w:b/>
      <w:bCs/>
    </w:rPr>
  </w:style>
  <w:style w:type="paragraph" w:styleId="23">
    <w:name w:val="index 1"/>
    <w:basedOn w:val="1"/>
    <w:next w:val="1"/>
    <w:autoRedefine/>
    <w:qFormat/>
    <w:uiPriority w:val="0"/>
    <w:pPr>
      <w:tabs>
        <w:tab w:val="left" w:pos="5580"/>
      </w:tabs>
      <w:spacing w:line="280" w:lineRule="exact"/>
    </w:pPr>
    <w:rPr>
      <w:rFonts w:ascii="宋体" w:hAnsi="宋体"/>
      <w:spacing w:val="10"/>
    </w:rPr>
  </w:style>
  <w:style w:type="paragraph" w:styleId="24">
    <w:name w:val="table of figures"/>
    <w:basedOn w:val="1"/>
    <w:next w:val="1"/>
    <w:autoRedefine/>
    <w:qFormat/>
    <w:uiPriority w:val="0"/>
    <w:pPr>
      <w:spacing w:line="500" w:lineRule="atLeast"/>
      <w:jc w:val="center"/>
    </w:pPr>
    <w:rPr>
      <w:rFonts w:hint="eastAsia" w:ascii="仿宋_GB2312" w:hAnsi="Times New Roman" w:eastAsia="仿宋_GB2312"/>
      <w:kern w:val="2"/>
      <w:sz w:val="28"/>
      <w:szCs w:val="24"/>
    </w:rPr>
  </w:style>
  <w:style w:type="paragraph" w:styleId="25">
    <w:name w:val="toc 2"/>
    <w:basedOn w:val="1"/>
    <w:next w:val="1"/>
    <w:autoRedefine/>
    <w:unhideWhenUsed/>
    <w:qFormat/>
    <w:uiPriority w:val="39"/>
    <w:pPr>
      <w:ind w:left="420" w:leftChars="200"/>
    </w:pPr>
  </w:style>
  <w:style w:type="paragraph" w:styleId="26">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7">
    <w:name w:val="annotation subject"/>
    <w:basedOn w:val="7"/>
    <w:next w:val="7"/>
    <w:link w:val="73"/>
    <w:autoRedefine/>
    <w:semiHidden/>
    <w:unhideWhenUsed/>
    <w:qFormat/>
    <w:uiPriority w:val="99"/>
    <w:rPr>
      <w:b/>
      <w:bCs/>
    </w:rPr>
  </w:style>
  <w:style w:type="paragraph" w:styleId="28">
    <w:name w:val="Body Text First Indent"/>
    <w:basedOn w:val="8"/>
    <w:next w:val="24"/>
    <w:link w:val="58"/>
    <w:autoRedefine/>
    <w:semiHidden/>
    <w:unhideWhenUsed/>
    <w:qFormat/>
    <w:uiPriority w:val="99"/>
    <w:pPr>
      <w:ind w:firstLine="420" w:firstLineChars="100"/>
    </w:pPr>
  </w:style>
  <w:style w:type="table" w:styleId="30">
    <w:name w:val="Table Grid"/>
    <w:basedOn w:val="29"/>
    <w:autoRedefine/>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2">
    <w:name w:val="Strong"/>
    <w:basedOn w:val="31"/>
    <w:autoRedefine/>
    <w:qFormat/>
    <w:uiPriority w:val="22"/>
    <w:rPr>
      <w:b/>
      <w:bCs/>
    </w:rPr>
  </w:style>
  <w:style w:type="character" w:styleId="33">
    <w:name w:val="page number"/>
    <w:basedOn w:val="31"/>
    <w:autoRedefine/>
    <w:qFormat/>
    <w:uiPriority w:val="0"/>
  </w:style>
  <w:style w:type="character" w:styleId="34">
    <w:name w:val="Hyperlink"/>
    <w:basedOn w:val="31"/>
    <w:autoRedefine/>
    <w:unhideWhenUsed/>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Default"/>
    <w:basedOn w:val="37"/>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纯文本1"/>
    <w:basedOn w:val="1"/>
    <w:autoRedefine/>
    <w:qFormat/>
    <w:uiPriority w:val="99"/>
    <w:pPr>
      <w:autoSpaceDE w:val="0"/>
      <w:autoSpaceDN w:val="0"/>
      <w:adjustRightInd w:val="0"/>
      <w:textAlignment w:val="baseline"/>
    </w:pPr>
    <w:rPr>
      <w:rFonts w:ascii="宋体"/>
      <w:szCs w:val="20"/>
    </w:rPr>
  </w:style>
  <w:style w:type="paragraph" w:customStyle="1" w:styleId="38">
    <w:name w:val="样式 正文文本缩进 + 行距: 1.5 倍行距"/>
    <w:basedOn w:val="39"/>
    <w:next w:val="1"/>
    <w:autoRedefine/>
    <w:qFormat/>
    <w:uiPriority w:val="0"/>
    <w:pPr>
      <w:spacing w:after="120"/>
      <w:ind w:left="90" w:leftChars="32" w:firstLine="560" w:firstLineChars="200"/>
      <w:jc w:val="both"/>
    </w:pPr>
    <w:rPr>
      <w:rFonts w:cs="宋体"/>
      <w:spacing w:val="0"/>
      <w:sz w:val="24"/>
    </w:rPr>
  </w:style>
  <w:style w:type="paragraph" w:customStyle="1" w:styleId="39">
    <w:name w:val="Body Text Indent"/>
    <w:basedOn w:val="1"/>
    <w:next w:val="38"/>
    <w:autoRedefine/>
    <w:qFormat/>
    <w:uiPriority w:val="0"/>
    <w:pPr>
      <w:spacing w:after="120" w:afterLines="0"/>
      <w:ind w:left="420" w:leftChars="200"/>
    </w:pPr>
    <w:rPr>
      <w:rFonts w:ascii="Times New Roman" w:hAnsi="Times New Roman" w:eastAsia="宋体"/>
      <w:sz w:val="24"/>
    </w:rPr>
  </w:style>
  <w:style w:type="paragraph" w:customStyle="1" w:styleId="40">
    <w:name w:val="样式1"/>
    <w:basedOn w:val="22"/>
    <w:next w:val="1"/>
    <w:autoRedefine/>
    <w:qFormat/>
    <w:uiPriority w:val="0"/>
    <w:pPr>
      <w:snapToGrid w:val="0"/>
      <w:jc w:val="center"/>
    </w:pPr>
    <w:rPr>
      <w:rFonts w:hint="eastAsia" w:ascii="宋体"/>
      <w:sz w:val="24"/>
    </w:rPr>
  </w:style>
  <w:style w:type="paragraph" w:customStyle="1" w:styleId="41">
    <w:name w:val="reader-word-layer reader-word-s46-2"/>
    <w:basedOn w:val="1"/>
    <w:next w:val="42"/>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2">
    <w:name w:val="xl35"/>
    <w:basedOn w:val="1"/>
    <w:next w:val="1"/>
    <w:autoRedefine/>
    <w:qFormat/>
    <w:uiPriority w:val="0"/>
    <w:pPr>
      <w:widowControl/>
      <w:pBdr>
        <w:left w:val="single" w:color="000000" w:sz="4" w:space="0"/>
        <w:right w:val="single" w:color="000000" w:sz="4" w:space="0"/>
      </w:pBdr>
      <w:shd w:val="clear" w:color="FFFFFF" w:fill="FFFFFF"/>
      <w:spacing w:before="100" w:beforeLines="0" w:beforeAutospacing="1" w:after="100" w:afterLines="0" w:afterAutospacing="1"/>
      <w:jc w:val="left"/>
      <w:textAlignment w:val="center"/>
    </w:pPr>
    <w:rPr>
      <w:rFonts w:ascii="Arial Unicode MS" w:hAnsi="Arial Unicode MS" w:eastAsia="Arial Unicode MS" w:cs="Arial Unicode MS"/>
      <w:kern w:val="0"/>
      <w:sz w:val="24"/>
      <w:szCs w:val="24"/>
    </w:rPr>
  </w:style>
  <w:style w:type="paragraph" w:customStyle="1" w:styleId="43">
    <w:name w:val="正文文本缩进1"/>
    <w:basedOn w:val="1"/>
    <w:next w:val="38"/>
    <w:autoRedefine/>
    <w:qFormat/>
    <w:uiPriority w:val="0"/>
    <w:pPr>
      <w:spacing w:after="120"/>
      <w:ind w:left="420" w:leftChars="200"/>
    </w:pPr>
    <w:rPr>
      <w:sz w:val="24"/>
    </w:rPr>
  </w:style>
  <w:style w:type="paragraph" w:customStyle="1" w:styleId="44">
    <w:name w:val="样式 样式 样式 四号 左侧:  1.53 厘米 + 首行缩进:  2 字符 + 居中 左侧:  2 字符 首行缩进:  2..."/>
    <w:basedOn w:val="45"/>
    <w:autoRedefine/>
    <w:qFormat/>
    <w:uiPriority w:val="0"/>
    <w:pPr>
      <w:ind w:firstLine="0" w:firstLineChars="0"/>
      <w:jc w:val="center"/>
    </w:pPr>
  </w:style>
  <w:style w:type="paragraph" w:customStyle="1" w:styleId="45">
    <w:name w:val="样式 样式 四号 左侧:  1.53 厘米 + 首行缩进:  2 字符"/>
    <w:basedOn w:val="46"/>
    <w:autoRedefine/>
    <w:qFormat/>
    <w:uiPriority w:val="0"/>
    <w:pPr>
      <w:ind w:left="200" w:leftChars="200"/>
    </w:pPr>
    <w:rPr>
      <w:szCs w:val="20"/>
    </w:rPr>
  </w:style>
  <w:style w:type="paragraph" w:customStyle="1" w:styleId="46">
    <w:name w:val="样式 四号 左侧:  1.53 厘米"/>
    <w:basedOn w:val="1"/>
    <w:autoRedefine/>
    <w:qFormat/>
    <w:uiPriority w:val="0"/>
    <w:pPr>
      <w:adjustRightInd w:val="0"/>
    </w:pPr>
    <w:rPr>
      <w:w w:val="90"/>
      <w:sz w:val="28"/>
      <w:szCs w:val="28"/>
    </w:rPr>
  </w:style>
  <w:style w:type="character" w:customStyle="1" w:styleId="47">
    <w:name w:val="标题 1 字符"/>
    <w:basedOn w:val="31"/>
    <w:link w:val="3"/>
    <w:autoRedefine/>
    <w:qFormat/>
    <w:uiPriority w:val="9"/>
    <w:rPr>
      <w:b/>
      <w:bCs/>
      <w:kern w:val="44"/>
      <w:sz w:val="44"/>
      <w:szCs w:val="44"/>
    </w:rPr>
  </w:style>
  <w:style w:type="character" w:customStyle="1" w:styleId="48">
    <w:name w:val="标题 2 字符"/>
    <w:basedOn w:val="31"/>
    <w:link w:val="4"/>
    <w:autoRedefine/>
    <w:qFormat/>
    <w:uiPriority w:val="0"/>
    <w:rPr>
      <w:rFonts w:asciiTheme="majorHAnsi" w:hAnsiTheme="majorHAnsi" w:eastAsiaTheme="majorEastAsia" w:cstheme="majorBidi"/>
      <w:b/>
      <w:bCs/>
      <w:kern w:val="2"/>
      <w:sz w:val="32"/>
      <w:szCs w:val="32"/>
    </w:rPr>
  </w:style>
  <w:style w:type="character" w:customStyle="1" w:styleId="49">
    <w:name w:val="页眉 字符"/>
    <w:basedOn w:val="31"/>
    <w:link w:val="17"/>
    <w:autoRedefine/>
    <w:qFormat/>
    <w:uiPriority w:val="99"/>
    <w:rPr>
      <w:sz w:val="18"/>
      <w:szCs w:val="18"/>
    </w:rPr>
  </w:style>
  <w:style w:type="character" w:customStyle="1" w:styleId="50">
    <w:name w:val="页脚 字符"/>
    <w:basedOn w:val="31"/>
    <w:link w:val="16"/>
    <w:autoRedefine/>
    <w:qFormat/>
    <w:uiPriority w:val="99"/>
    <w:rPr>
      <w:sz w:val="18"/>
      <w:szCs w:val="18"/>
    </w:rPr>
  </w:style>
  <w:style w:type="paragraph" w:styleId="51">
    <w:name w:val="List Paragraph"/>
    <w:basedOn w:val="1"/>
    <w:autoRedefine/>
    <w:qFormat/>
    <w:uiPriority w:val="99"/>
    <w:pPr>
      <w:ind w:firstLine="420" w:firstLineChars="200"/>
    </w:pPr>
  </w:style>
  <w:style w:type="character" w:customStyle="1" w:styleId="52">
    <w:name w:val="正文文本缩进 字符"/>
    <w:basedOn w:val="31"/>
    <w:link w:val="9"/>
    <w:autoRedefine/>
    <w:qFormat/>
    <w:uiPriority w:val="0"/>
    <w:rPr>
      <w:rFonts w:ascii="Times New Roman" w:hAnsi="Times New Roman" w:eastAsia="宋体" w:cs="Times New Roman"/>
      <w:szCs w:val="20"/>
    </w:rPr>
  </w:style>
  <w:style w:type="paragraph" w:customStyle="1" w:styleId="53">
    <w:name w:val="表格"/>
    <w:basedOn w:val="1"/>
    <w:autoRedefine/>
    <w:qFormat/>
    <w:uiPriority w:val="0"/>
    <w:pPr>
      <w:spacing w:line="240" w:lineRule="atLeast"/>
    </w:pPr>
    <w:rPr>
      <w:rFonts w:ascii="宋体" w:hAnsi="宋体" w:eastAsia="宋体" w:cs="Times New Roman"/>
      <w:sz w:val="24"/>
      <w:szCs w:val="24"/>
    </w:rPr>
  </w:style>
  <w:style w:type="paragraph" w:customStyle="1" w:styleId="54">
    <w:name w:val="Table Paragraph"/>
    <w:basedOn w:val="1"/>
    <w:autoRedefine/>
    <w:qFormat/>
    <w:uiPriority w:val="1"/>
    <w:rPr>
      <w:rFonts w:ascii="Times New Roman" w:hAnsi="Times New Roman" w:eastAsia="宋体" w:cs="Times New Roman"/>
      <w:szCs w:val="20"/>
    </w:rPr>
  </w:style>
  <w:style w:type="paragraph" w:customStyle="1" w:styleId="55">
    <w:name w:val="TOC 标题1"/>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6">
    <w:name w:val="批注框文本 字符"/>
    <w:basedOn w:val="31"/>
    <w:link w:val="15"/>
    <w:autoRedefine/>
    <w:semiHidden/>
    <w:qFormat/>
    <w:uiPriority w:val="99"/>
    <w:rPr>
      <w:sz w:val="18"/>
      <w:szCs w:val="18"/>
    </w:rPr>
  </w:style>
  <w:style w:type="character" w:customStyle="1" w:styleId="57">
    <w:name w:val="正文文本 字符"/>
    <w:basedOn w:val="31"/>
    <w:link w:val="8"/>
    <w:autoRedefine/>
    <w:semiHidden/>
    <w:qFormat/>
    <w:uiPriority w:val="99"/>
  </w:style>
  <w:style w:type="character" w:customStyle="1" w:styleId="58">
    <w:name w:val="正文文本首行缩进 字符"/>
    <w:basedOn w:val="57"/>
    <w:link w:val="28"/>
    <w:autoRedefine/>
    <w:semiHidden/>
    <w:qFormat/>
    <w:uiPriority w:val="99"/>
  </w:style>
  <w:style w:type="character" w:customStyle="1" w:styleId="59">
    <w:name w:val="font21"/>
    <w:autoRedefine/>
    <w:qFormat/>
    <w:uiPriority w:val="0"/>
    <w:rPr>
      <w:rFonts w:ascii="宋体" w:eastAsia="宋体"/>
      <w:color w:val="000000"/>
      <w:sz w:val="21"/>
      <w:szCs w:val="21"/>
      <w:u w:val="none"/>
    </w:rPr>
  </w:style>
  <w:style w:type="character" w:customStyle="1" w:styleId="60">
    <w:name w:val="纯文本 字符"/>
    <w:link w:val="12"/>
    <w:autoRedefine/>
    <w:qFormat/>
    <w:uiPriority w:val="0"/>
    <w:rPr>
      <w:rFonts w:eastAsia="方正书宋简体"/>
      <w:sz w:val="28"/>
    </w:rPr>
  </w:style>
  <w:style w:type="character" w:customStyle="1" w:styleId="61">
    <w:name w:val="纯文本 字符1"/>
    <w:basedOn w:val="31"/>
    <w:autoRedefine/>
    <w:semiHidden/>
    <w:qFormat/>
    <w:uiPriority w:val="99"/>
    <w:rPr>
      <w:rFonts w:hAnsi="Courier New" w:cs="Courier New" w:asciiTheme="minorEastAsia"/>
    </w:rPr>
  </w:style>
  <w:style w:type="character" w:customStyle="1" w:styleId="62">
    <w:name w:val="正文文本缩进 2 字符"/>
    <w:basedOn w:val="31"/>
    <w:link w:val="14"/>
    <w:autoRedefine/>
    <w:qFormat/>
    <w:uiPriority w:val="0"/>
    <w:rPr>
      <w:kern w:val="2"/>
      <w:sz w:val="21"/>
      <w:szCs w:val="24"/>
    </w:rPr>
  </w:style>
  <w:style w:type="character" w:customStyle="1" w:styleId="63">
    <w:name w:val="正文文本缩进 2 Char1"/>
    <w:basedOn w:val="31"/>
    <w:autoRedefine/>
    <w:semiHidden/>
    <w:qFormat/>
    <w:uiPriority w:val="99"/>
    <w:rPr>
      <w:rFonts w:asciiTheme="minorHAnsi" w:hAnsiTheme="minorHAnsi" w:eastAsiaTheme="minorEastAsia" w:cstheme="minorBidi"/>
      <w:kern w:val="2"/>
      <w:sz w:val="21"/>
      <w:szCs w:val="22"/>
    </w:rPr>
  </w:style>
  <w:style w:type="paragraph" w:customStyle="1" w:styleId="64">
    <w:name w:val="样式 标题 2 + 楷体_GB2312 四号 段前: 0 磅 段后: 0 磅 行距: 1.5 倍行距"/>
    <w:basedOn w:val="4"/>
    <w:autoRedefine/>
    <w:qFormat/>
    <w:uiPriority w:val="0"/>
    <w:pPr>
      <w:spacing w:beforeLines="50" w:after="0" w:line="360" w:lineRule="auto"/>
    </w:pPr>
    <w:rPr>
      <w:rFonts w:ascii="楷体_GB2312" w:hAnsi="楷体_GB2312" w:eastAsia="楷体_GB2312" w:cs="宋体"/>
      <w:sz w:val="28"/>
      <w:szCs w:val="20"/>
    </w:rPr>
  </w:style>
  <w:style w:type="paragraph" w:customStyle="1" w:styleId="65">
    <w:name w:val="陈光的正文"/>
    <w:basedOn w:val="1"/>
    <w:autoRedefine/>
    <w:qFormat/>
    <w:uiPriority w:val="0"/>
    <w:pPr>
      <w:adjustRightInd w:val="0"/>
      <w:snapToGrid w:val="0"/>
      <w:spacing w:beforeLines="10" w:afterLines="10" w:line="360" w:lineRule="auto"/>
      <w:ind w:firstLine="560" w:firstLineChars="200"/>
    </w:pPr>
    <w:rPr>
      <w:rFonts w:ascii="Calibri" w:hAnsi="Calibri" w:eastAsia="宋体" w:cs="Times New Roman"/>
      <w:sz w:val="28"/>
      <w:szCs w:val="20"/>
    </w:rPr>
  </w:style>
  <w:style w:type="character" w:customStyle="1" w:styleId="66">
    <w:name w:val="批注文字 字符"/>
    <w:basedOn w:val="31"/>
    <w:link w:val="7"/>
    <w:autoRedefine/>
    <w:semiHidden/>
    <w:qFormat/>
    <w:uiPriority w:val="99"/>
    <w:rPr>
      <w:rFonts w:asciiTheme="minorHAnsi" w:hAnsiTheme="minorHAnsi" w:eastAsiaTheme="minorEastAsia" w:cstheme="minorBidi"/>
      <w:kern w:val="2"/>
      <w:sz w:val="21"/>
      <w:szCs w:val="22"/>
    </w:rPr>
  </w:style>
  <w:style w:type="character" w:customStyle="1" w:styleId="67">
    <w:name w:val="li_正文 Char Char Char Char"/>
    <w:link w:val="68"/>
    <w:autoRedefine/>
    <w:qFormat/>
    <w:uiPriority w:val="0"/>
    <w:rPr>
      <w:kern w:val="2"/>
      <w:sz w:val="28"/>
      <w:szCs w:val="28"/>
    </w:rPr>
  </w:style>
  <w:style w:type="paragraph" w:customStyle="1" w:styleId="68">
    <w:name w:val="li_正文 Char"/>
    <w:basedOn w:val="1"/>
    <w:link w:val="67"/>
    <w:autoRedefine/>
    <w:qFormat/>
    <w:uiPriority w:val="0"/>
    <w:pPr>
      <w:ind w:firstLine="200" w:firstLineChars="200"/>
      <w:jc w:val="left"/>
    </w:pPr>
    <w:rPr>
      <w:rFonts w:ascii="Times New Roman" w:hAnsi="Times New Roman" w:eastAsia="宋体" w:cs="Times New Roman"/>
      <w:sz w:val="28"/>
      <w:szCs w:val="28"/>
    </w:rPr>
  </w:style>
  <w:style w:type="paragraph" w:customStyle="1" w:styleId="69">
    <w:name w:val="正文文本 21"/>
    <w:basedOn w:val="1"/>
    <w:autoRedefine/>
    <w:qFormat/>
    <w:uiPriority w:val="0"/>
    <w:pPr>
      <w:autoSpaceDE w:val="0"/>
      <w:autoSpaceDN w:val="0"/>
      <w:adjustRightInd w:val="0"/>
      <w:spacing w:line="480" w:lineRule="atLeast"/>
      <w:ind w:firstLine="570"/>
    </w:pPr>
    <w:rPr>
      <w:rFonts w:ascii="宋体" w:hAnsi="Times New Roman" w:eastAsia="宋体" w:cs="宋体"/>
      <w:kern w:val="0"/>
      <w:sz w:val="28"/>
      <w:szCs w:val="28"/>
    </w:rPr>
  </w:style>
  <w:style w:type="character" w:customStyle="1" w:styleId="70">
    <w:name w:val="表头 Char"/>
    <w:link w:val="71"/>
    <w:autoRedefine/>
    <w:qFormat/>
    <w:uiPriority w:val="0"/>
    <w:rPr>
      <w:rFonts w:ascii="黑体" w:eastAsia="黑体"/>
      <w:sz w:val="24"/>
      <w:szCs w:val="24"/>
      <w:lang w:val="de-DE"/>
    </w:rPr>
  </w:style>
  <w:style w:type="paragraph" w:customStyle="1" w:styleId="71">
    <w:name w:val="表头"/>
    <w:basedOn w:val="1"/>
    <w:next w:val="1"/>
    <w:link w:val="70"/>
    <w:autoRedefine/>
    <w:qFormat/>
    <w:uiPriority w:val="0"/>
    <w:pPr>
      <w:spacing w:line="500" w:lineRule="exact"/>
      <w:jc w:val="center"/>
    </w:pPr>
    <w:rPr>
      <w:rFonts w:ascii="黑体" w:hAnsi="Times New Roman" w:eastAsia="黑体" w:cs="Times New Roman"/>
      <w:kern w:val="0"/>
      <w:sz w:val="24"/>
      <w:szCs w:val="24"/>
      <w:lang w:val="de-DE"/>
    </w:rPr>
  </w:style>
  <w:style w:type="character" w:customStyle="1" w:styleId="72">
    <w:name w:val="正文文本首行缩进 2 字符"/>
    <w:basedOn w:val="52"/>
    <w:link w:val="10"/>
    <w:autoRedefine/>
    <w:semiHidden/>
    <w:qFormat/>
    <w:uiPriority w:val="99"/>
    <w:rPr>
      <w:rFonts w:asciiTheme="minorHAnsi" w:hAnsiTheme="minorHAnsi" w:eastAsiaTheme="minorEastAsia" w:cstheme="minorBidi"/>
      <w:kern w:val="2"/>
      <w:sz w:val="21"/>
      <w:szCs w:val="22"/>
    </w:rPr>
  </w:style>
  <w:style w:type="character" w:customStyle="1" w:styleId="73">
    <w:name w:val="批注主题 字符"/>
    <w:basedOn w:val="66"/>
    <w:link w:val="27"/>
    <w:autoRedefine/>
    <w:semiHidden/>
    <w:qFormat/>
    <w:uiPriority w:val="99"/>
    <w:rPr>
      <w:rFonts w:asciiTheme="minorHAnsi" w:hAnsiTheme="minorHAnsi" w:eastAsiaTheme="minorEastAsia" w:cstheme="minorBidi"/>
      <w:b/>
      <w:bCs/>
      <w:kern w:val="2"/>
      <w:sz w:val="21"/>
      <w:szCs w:val="22"/>
    </w:rPr>
  </w:style>
  <w:style w:type="paragraph" w:customStyle="1" w:styleId="74">
    <w:name w:val="样式 样式 样式 样式 小四 左 首行缩进:  2 字符 + 首行缩进:  2 字符 Char + 右  0 字符1 + 首行缩...3"/>
    <w:basedOn w:val="1"/>
    <w:autoRedefine/>
    <w:qFormat/>
    <w:uiPriority w:val="0"/>
    <w:pPr>
      <w:adjustRightInd w:val="0"/>
      <w:spacing w:line="360" w:lineRule="auto"/>
      <w:ind w:firstLine="200" w:firstLineChars="200"/>
      <w:jc w:val="left"/>
      <w:textAlignment w:val="baseline"/>
    </w:pPr>
    <w:rPr>
      <w:rFonts w:ascii="Times New Roman" w:hAnsi="Times New Roman" w:eastAsia="宋体" w:cs="宋体"/>
      <w:sz w:val="24"/>
      <w:szCs w:val="20"/>
    </w:rPr>
  </w:style>
  <w:style w:type="paragraph" w:customStyle="1" w:styleId="75">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paragraph" w:customStyle="1" w:styleId="76">
    <w:name w:val="CJ表格表头"/>
    <w:basedOn w:val="1"/>
    <w:next w:val="1"/>
    <w:autoRedefine/>
    <w:qFormat/>
    <w:uiPriority w:val="0"/>
    <w:pPr>
      <w:jc w:val="center"/>
    </w:pPr>
    <w:rPr>
      <w:b/>
      <w:color w:val="000000"/>
      <w:szCs w:val="20"/>
    </w:rPr>
  </w:style>
  <w:style w:type="paragraph" w:customStyle="1" w:styleId="77">
    <w:name w:val="CJ表格内容"/>
    <w:basedOn w:val="1"/>
    <w:autoRedefine/>
    <w:qFormat/>
    <w:uiPriority w:val="0"/>
    <w:pPr>
      <w:jc w:val="center"/>
    </w:pPr>
    <w:rPr>
      <w:color w:val="000000"/>
      <w:szCs w:val="20"/>
    </w:rPr>
  </w:style>
  <w:style w:type="paragraph" w:customStyle="1" w:styleId="78">
    <w:name w:val="表图"/>
    <w:basedOn w:val="1"/>
    <w:next w:val="1"/>
    <w:autoRedefine/>
    <w:qFormat/>
    <w:uiPriority w:val="0"/>
    <w:pPr>
      <w:widowControl/>
      <w:jc w:val="center"/>
    </w:pPr>
    <w:rPr>
      <w:rFonts w:eastAsia="仿宋_GB2312"/>
      <w:kern w:val="0"/>
      <w:sz w:val="24"/>
      <w:szCs w:val="20"/>
    </w:rPr>
  </w:style>
  <w:style w:type="character" w:customStyle="1" w:styleId="79">
    <w:name w:val="NormalCharacter"/>
    <w:autoRedefine/>
    <w:qFormat/>
    <w:uiPriority w:val="0"/>
    <w:rPr>
      <w:kern w:val="2"/>
      <w:sz w:val="21"/>
      <w:szCs w:val="24"/>
      <w:lang w:val="en-US" w:eastAsia="zh-CN" w:bidi="ar-SA"/>
    </w:rPr>
  </w:style>
  <w:style w:type="paragraph" w:customStyle="1" w:styleId="80">
    <w:name w:val="表段1"/>
    <w:basedOn w:val="1"/>
    <w:autoRedefine/>
    <w:qFormat/>
    <w:uiPriority w:val="0"/>
    <w:pPr>
      <w:adjustRightInd w:val="0"/>
      <w:snapToGrid w:val="0"/>
      <w:spacing w:line="360" w:lineRule="auto"/>
      <w:ind w:firstLine="200" w:firstLineChars="200"/>
    </w:pPr>
    <w:rPr>
      <w:sz w:val="24"/>
    </w:rPr>
  </w:style>
  <w:style w:type="paragraph" w:customStyle="1" w:styleId="8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character" w:customStyle="1" w:styleId="82">
    <w:name w:val="font31"/>
    <w:basedOn w:val="31"/>
    <w:autoRedefine/>
    <w:qFormat/>
    <w:uiPriority w:val="0"/>
    <w:rPr>
      <w:rFonts w:hint="eastAsia" w:ascii="宋体" w:hAnsi="宋体" w:eastAsia="宋体" w:cs="宋体"/>
      <w:color w:val="000000"/>
      <w:sz w:val="24"/>
      <w:szCs w:val="24"/>
      <w:u w:val="none"/>
      <w:vertAlign w:val="superscript"/>
    </w:rPr>
  </w:style>
  <w:style w:type="character" w:customStyle="1" w:styleId="83">
    <w:name w:val="font01"/>
    <w:basedOn w:val="31"/>
    <w:autoRedefine/>
    <w:qFormat/>
    <w:uiPriority w:val="0"/>
    <w:rPr>
      <w:rFonts w:hint="eastAsia" w:ascii="宋体" w:hAnsi="宋体" w:eastAsia="宋体" w:cs="宋体"/>
      <w:color w:val="000000"/>
      <w:sz w:val="22"/>
      <w:szCs w:val="22"/>
      <w:u w:val="none"/>
    </w:rPr>
  </w:style>
  <w:style w:type="paragraph" w:customStyle="1" w:styleId="84">
    <w:name w:val="Other|1"/>
    <w:basedOn w:val="1"/>
    <w:autoRedefine/>
    <w:qFormat/>
    <w:uiPriority w:val="0"/>
    <w:pPr>
      <w:widowControl w:val="0"/>
      <w:shd w:val="clear" w:color="auto" w:fill="auto"/>
      <w:jc w:val="center"/>
    </w:pPr>
    <w:rPr>
      <w:rFonts w:ascii="宋体" w:hAnsi="宋体" w:eastAsia="宋体" w:cs="宋体"/>
      <w:sz w:val="22"/>
      <w:szCs w:val="22"/>
      <w:u w:val="none"/>
      <w:shd w:val="clear" w:color="auto" w:fill="auto"/>
      <w:lang w:val="zh-CN" w:eastAsia="zh-CN" w:bidi="zh-CN"/>
    </w:rPr>
  </w:style>
  <w:style w:type="paragraph" w:customStyle="1" w:styleId="85">
    <w:name w:val="首行缩进"/>
    <w:basedOn w:val="1"/>
    <w:autoRedefine/>
    <w:qFormat/>
    <w:uiPriority w:val="0"/>
    <w:pPr>
      <w:adjustRightInd w:val="0"/>
      <w:snapToGrid w:val="0"/>
      <w:spacing w:line="360" w:lineRule="auto"/>
      <w:ind w:firstLine="480" w:firstLineChars="200"/>
    </w:pPr>
    <w:rPr>
      <w:sz w:val="24"/>
    </w:rPr>
  </w:style>
  <w:style w:type="paragraph" w:customStyle="1" w:styleId="86">
    <w:name w:val="Char11"/>
    <w:basedOn w:val="1"/>
    <w:autoRedefine/>
    <w:qFormat/>
    <w:uiPriority w:val="0"/>
    <w:pPr>
      <w:spacing w:line="360" w:lineRule="auto"/>
      <w:ind w:firstLine="200" w:firstLineChars="200"/>
    </w:pPr>
    <w:rPr>
      <w:rFonts w:ascii="宋体" w:hAnsi="宋体" w:cs="宋体"/>
      <w:sz w:val="24"/>
    </w:rPr>
  </w:style>
  <w:style w:type="paragraph" w:customStyle="1" w:styleId="87">
    <w:name w:val="大表格内"/>
    <w:basedOn w:val="1"/>
    <w:autoRedefine/>
    <w:qFormat/>
    <w:uiPriority w:val="0"/>
    <w:pPr>
      <w:spacing w:line="360" w:lineRule="auto"/>
      <w:ind w:firstLine="480" w:firstLineChars="200"/>
    </w:pPr>
    <w:rPr>
      <w:kern w:val="24"/>
      <w:szCs w:val="20"/>
    </w:rPr>
  </w:style>
  <w:style w:type="paragraph" w:customStyle="1" w:styleId="88">
    <w:name w:val="表格内容"/>
    <w:basedOn w:val="1"/>
    <w:autoRedefine/>
    <w:qFormat/>
    <w:uiPriority w:val="0"/>
    <w:pPr>
      <w:spacing w:line="320" w:lineRule="exact"/>
      <w:jc w:val="center"/>
    </w:pPr>
    <w:rPr>
      <w:rFonts w:ascii="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DCFE72-CE74-4F66-AB08-7D212F4302DC}">
  <ds:schemaRefs/>
</ds:datastoreItem>
</file>

<file path=docProps/app.xml><?xml version="1.0" encoding="utf-8"?>
<Properties xmlns="http://schemas.openxmlformats.org/officeDocument/2006/extended-properties" xmlns:vt="http://schemas.openxmlformats.org/officeDocument/2006/docPropsVTypes">
  <Template>Normal</Template>
  <Pages>79</Pages>
  <Words>24109</Words>
  <Characters>28650</Characters>
  <Lines>231</Lines>
  <Paragraphs>65</Paragraphs>
  <TotalTime>0</TotalTime>
  <ScaleCrop>false</ScaleCrop>
  <LinksUpToDate>false</LinksUpToDate>
  <CharactersWithSpaces>29109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2018-01-11T06:58:00Z</dcterms:created>
  <dc:creator>user</dc:creator>
  <cp:lastModifiedBy>天天向上</cp:lastModifiedBy>
  <cp:lastPrinted>2022-06-18T07:59:00Z</cp:lastPrinted>
  <dcterms:modified xsi:type="dcterms:W3CDTF">2024-01-02T07:16:22Z</dcterms:modified>
  <cp:revision>1802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7D48679922564DDABEED76B40452AAC1_13</vt:lpwstr>
  </property>
</Properties>
</file>