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right="560"/>
        <w:rPr>
          <w:rFonts w:hint="default" w:ascii="Times New Roman" w:hAnsi="Times New Roman" w:eastAsia="宋体" w:cs="Times New Roman"/>
          <w:sz w:val="28"/>
          <w:szCs w:val="32"/>
        </w:rPr>
      </w:pPr>
    </w:p>
    <w:p>
      <w:pPr>
        <w:rPr>
          <w:rFonts w:hint="default" w:ascii="Times New Roman" w:hAnsi="Times New Roman" w:eastAsia="宋体" w:cs="Times New Roman"/>
          <w:sz w:val="36"/>
          <w:szCs w:val="36"/>
        </w:rPr>
      </w:pPr>
    </w:p>
    <w:p>
      <w:pPr>
        <w:spacing w:line="360" w:lineRule="auto"/>
        <w:jc w:val="center"/>
        <w:rPr>
          <w:rFonts w:hint="default" w:ascii="Times New Roman" w:hAnsi="Times New Roman" w:eastAsia="宋体" w:cs="Times New Roman"/>
          <w:b/>
          <w:bCs/>
          <w:sz w:val="44"/>
          <w:szCs w:val="44"/>
          <w:lang w:val="en-US" w:eastAsia="zh-CN"/>
        </w:rPr>
      </w:pPr>
      <w:r>
        <w:rPr>
          <w:rFonts w:hint="eastAsia" w:ascii="Times New Roman" w:hAnsi="Times New Roman" w:eastAsia="宋体" w:cs="Times New Roman"/>
          <w:b/>
          <w:bCs/>
          <w:sz w:val="44"/>
          <w:szCs w:val="44"/>
          <w:lang w:val="en-US" w:eastAsia="zh-CN"/>
        </w:rPr>
        <w:t>山东豪瑞恩制药有限公司</w:t>
      </w:r>
    </w:p>
    <w:p>
      <w:pPr>
        <w:spacing w:line="360" w:lineRule="auto"/>
        <w:jc w:val="center"/>
        <w:rPr>
          <w:rFonts w:hint="eastAsia" w:ascii="Times New Roman" w:hAnsi="Times New Roman" w:eastAsia="宋体" w:cs="Times New Roman"/>
          <w:b/>
          <w:bCs/>
          <w:sz w:val="44"/>
          <w:szCs w:val="44"/>
          <w:lang w:val="en-US" w:eastAsia="zh-CN"/>
        </w:rPr>
      </w:pPr>
      <w:r>
        <w:rPr>
          <w:rFonts w:hint="eastAsia" w:ascii="Times New Roman" w:hAnsi="Times New Roman" w:eastAsia="宋体" w:cs="Times New Roman"/>
          <w:b/>
          <w:bCs/>
          <w:sz w:val="44"/>
          <w:szCs w:val="44"/>
          <w:lang w:val="en-US" w:eastAsia="zh-CN"/>
        </w:rPr>
        <w:t>山东豪瑞恩全球高端制剂项目</w:t>
      </w:r>
    </w:p>
    <w:p>
      <w:pPr>
        <w:spacing w:line="360" w:lineRule="auto"/>
        <w:jc w:val="center"/>
        <w:rPr>
          <w:rFonts w:hint="eastAsia" w:ascii="Times New Roman" w:hAnsi="Times New Roman" w:eastAsia="宋体" w:cs="Times New Roman"/>
          <w:b/>
          <w:bCs/>
          <w:sz w:val="44"/>
          <w:szCs w:val="44"/>
          <w:lang w:eastAsia="zh-CN"/>
        </w:rPr>
      </w:pPr>
      <w:r>
        <w:rPr>
          <w:rFonts w:hint="eastAsia" w:ascii="Times New Roman" w:hAnsi="Times New Roman" w:eastAsia="宋体" w:cs="Times New Roman"/>
          <w:b/>
          <w:bCs/>
          <w:sz w:val="44"/>
          <w:szCs w:val="44"/>
          <w:lang w:val="en-US" w:eastAsia="zh-CN"/>
        </w:rPr>
        <w:t>竣工</w:t>
      </w:r>
      <w:r>
        <w:rPr>
          <w:rFonts w:hint="default" w:ascii="Times New Roman" w:hAnsi="Times New Roman" w:eastAsia="宋体" w:cs="Times New Roman"/>
          <w:b/>
          <w:bCs/>
          <w:sz w:val="44"/>
          <w:szCs w:val="44"/>
        </w:rPr>
        <w:t>环境保护验收报告</w:t>
      </w:r>
      <w:r>
        <w:rPr>
          <w:rFonts w:hint="eastAsia" w:ascii="Times New Roman" w:hAnsi="Times New Roman" w:eastAsia="宋体" w:cs="Times New Roman"/>
          <w:b/>
          <w:bCs/>
          <w:sz w:val="44"/>
          <w:szCs w:val="44"/>
          <w:lang w:eastAsia="zh-CN"/>
        </w:rPr>
        <w:t>（</w:t>
      </w:r>
      <w:r>
        <w:rPr>
          <w:rFonts w:hint="eastAsia" w:ascii="Times New Roman" w:hAnsi="Times New Roman" w:eastAsia="宋体" w:cs="Times New Roman"/>
          <w:b/>
          <w:bCs/>
          <w:sz w:val="44"/>
          <w:szCs w:val="44"/>
          <w:lang w:val="en-US" w:eastAsia="zh-CN"/>
        </w:rPr>
        <w:t>一期</w:t>
      </w:r>
      <w:r>
        <w:rPr>
          <w:rFonts w:hint="eastAsia" w:ascii="Times New Roman" w:hAnsi="Times New Roman" w:eastAsia="宋体" w:cs="Times New Roman"/>
          <w:b/>
          <w:bCs/>
          <w:sz w:val="44"/>
          <w:szCs w:val="44"/>
          <w:lang w:eastAsia="zh-CN"/>
        </w:rPr>
        <w:t>）</w:t>
      </w:r>
    </w:p>
    <w:p>
      <w:pPr>
        <w:jc w:val="center"/>
        <w:rPr>
          <w:rFonts w:hint="default" w:ascii="Times New Roman" w:hAnsi="Times New Roman" w:eastAsia="宋体" w:cs="Times New Roman"/>
          <w:sz w:val="36"/>
          <w:szCs w:val="36"/>
        </w:rPr>
      </w:pPr>
    </w:p>
    <w:p>
      <w:pPr>
        <w:spacing w:line="360" w:lineRule="auto"/>
        <w:jc w:val="center"/>
        <w:rPr>
          <w:rFonts w:hint="default" w:ascii="Times New Roman" w:hAnsi="Times New Roman" w:eastAsia="宋体" w:cs="Times New Roman"/>
          <w:b/>
          <w:bCs/>
          <w:sz w:val="44"/>
          <w:szCs w:val="44"/>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spacing w:line="600" w:lineRule="auto"/>
        <w:jc w:val="center"/>
        <w:rPr>
          <w:rFonts w:hint="default" w:ascii="Times New Roman" w:hAnsi="Times New Roman" w:eastAsia="宋体" w:cs="Times New Roman"/>
          <w:b/>
          <w:bCs/>
          <w:sz w:val="32"/>
          <w:szCs w:val="32"/>
          <w:u w:val="single"/>
          <w:lang w:eastAsia="zh-CN"/>
        </w:rPr>
      </w:pPr>
      <w:r>
        <w:rPr>
          <w:rFonts w:hint="default" w:ascii="Times New Roman" w:hAnsi="Times New Roman" w:eastAsia="宋体" w:cs="Times New Roman"/>
          <w:b/>
          <w:bCs/>
          <w:sz w:val="32"/>
          <w:szCs w:val="32"/>
        </w:rPr>
        <w:t>建设单位：</w:t>
      </w:r>
      <w:r>
        <w:rPr>
          <w:rFonts w:hint="eastAsia" w:ascii="Times New Roman" w:hAnsi="Times New Roman" w:eastAsia="宋体" w:cs="Times New Roman"/>
          <w:b/>
          <w:bCs/>
          <w:sz w:val="32"/>
          <w:szCs w:val="32"/>
          <w:u w:val="single"/>
          <w:lang w:val="en-US" w:eastAsia="zh-CN"/>
        </w:rPr>
        <w:t>山东豪瑞恩制药有限公</w:t>
      </w:r>
      <w:r>
        <w:rPr>
          <w:rFonts w:hint="default" w:ascii="Times New Roman" w:hAnsi="Times New Roman" w:eastAsia="宋体" w:cs="Times New Roman"/>
          <w:b/>
          <w:bCs/>
          <w:sz w:val="32"/>
          <w:szCs w:val="32"/>
          <w:u w:val="single"/>
          <w:lang w:eastAsia="zh-CN"/>
        </w:rPr>
        <w:t>司</w:t>
      </w:r>
    </w:p>
    <w:p>
      <w:pPr>
        <w:jc w:val="center"/>
        <w:rPr>
          <w:rFonts w:hint="default" w:ascii="Times New Roman" w:hAnsi="Times New Roman" w:eastAsia="宋体" w:cs="Times New Roman"/>
          <w:lang w:eastAsia="zh-CN"/>
        </w:rPr>
      </w:pPr>
      <w:r>
        <w:rPr>
          <w:rFonts w:hint="default" w:ascii="Times New Roman" w:hAnsi="Times New Roman" w:eastAsia="宋体" w:cs="Times New Roman"/>
          <w:b/>
          <w:bCs/>
          <w:sz w:val="32"/>
          <w:szCs w:val="32"/>
        </w:rPr>
        <w:t>编制单位：</w:t>
      </w:r>
      <w:r>
        <w:rPr>
          <w:rFonts w:hint="eastAsia" w:ascii="Times New Roman" w:hAnsi="Times New Roman" w:eastAsia="宋体" w:cs="Times New Roman"/>
          <w:b/>
          <w:bCs/>
          <w:sz w:val="32"/>
          <w:szCs w:val="32"/>
          <w:u w:val="single"/>
          <w:lang w:val="en-US" w:eastAsia="zh-CN"/>
        </w:rPr>
        <w:t>山东豪瑞恩制药有限公</w:t>
      </w:r>
      <w:r>
        <w:rPr>
          <w:rFonts w:hint="default" w:ascii="Times New Roman" w:hAnsi="Times New Roman" w:eastAsia="宋体" w:cs="Times New Roman"/>
          <w:b/>
          <w:bCs/>
          <w:sz w:val="32"/>
          <w:szCs w:val="32"/>
          <w:u w:val="single"/>
          <w:lang w:eastAsia="zh-CN"/>
        </w:rPr>
        <w:t>司</w:t>
      </w:r>
    </w:p>
    <w:p>
      <w:pPr>
        <w:rPr>
          <w:rFonts w:hint="default" w:ascii="Times New Roman" w:hAnsi="Times New Roman" w:eastAsia="宋体" w:cs="Times New Roman"/>
        </w:rPr>
      </w:pPr>
    </w:p>
    <w:p>
      <w:pPr>
        <w:rPr>
          <w:rFonts w:hint="default" w:ascii="Times New Roman" w:hAnsi="Times New Roman" w:eastAsia="宋体" w:cs="Times New Roman"/>
        </w:rPr>
      </w:pPr>
    </w:p>
    <w:p>
      <w:pPr>
        <w:rPr>
          <w:rFonts w:hint="default" w:ascii="Times New Roman" w:hAnsi="Times New Roman" w:eastAsia="宋体" w:cs="Times New Roman"/>
        </w:rPr>
      </w:pPr>
    </w:p>
    <w:p>
      <w:pPr>
        <w:jc w:val="center"/>
        <w:rPr>
          <w:rFonts w:hint="default" w:ascii="Times New Roman" w:hAnsi="Times New Roman" w:eastAsia="宋体" w:cs="Times New Roman"/>
          <w:b/>
          <w:bCs/>
          <w:sz w:val="30"/>
          <w:szCs w:val="30"/>
        </w:rPr>
      </w:pPr>
    </w:p>
    <w:p>
      <w:pPr>
        <w:jc w:val="center"/>
        <w:rPr>
          <w:rFonts w:hint="default" w:ascii="Times New Roman" w:hAnsi="Times New Roman" w:eastAsia="宋体" w:cs="Times New Roman"/>
          <w:b/>
          <w:bCs/>
          <w:sz w:val="30"/>
          <w:szCs w:val="30"/>
        </w:rPr>
      </w:pPr>
    </w:p>
    <w:p>
      <w:pPr>
        <w:jc w:val="center"/>
        <w:rPr>
          <w:rFonts w:hint="default" w:ascii="Times New Roman" w:hAnsi="Times New Roman" w:eastAsia="宋体" w:cs="Times New Roman"/>
          <w:sz w:val="28"/>
          <w:szCs w:val="28"/>
        </w:rPr>
      </w:pPr>
      <w:r>
        <w:rPr>
          <w:rFonts w:hint="default" w:ascii="Times New Roman" w:hAnsi="Times New Roman" w:eastAsia="宋体" w:cs="Times New Roman"/>
          <w:b/>
          <w:bCs/>
          <w:sz w:val="30"/>
          <w:szCs w:val="30"/>
        </w:rPr>
        <w:t>20</w:t>
      </w:r>
      <w:r>
        <w:rPr>
          <w:rFonts w:hint="eastAsia" w:ascii="Times New Roman" w:hAnsi="Times New Roman" w:eastAsia="宋体" w:cs="Times New Roman"/>
          <w:b/>
          <w:bCs/>
          <w:sz w:val="30"/>
          <w:szCs w:val="30"/>
          <w:lang w:val="en-US" w:eastAsia="zh-CN"/>
        </w:rPr>
        <w:t>24</w:t>
      </w:r>
      <w:r>
        <w:rPr>
          <w:rFonts w:hint="default" w:ascii="Times New Roman" w:hAnsi="Times New Roman" w:eastAsia="宋体" w:cs="Times New Roman"/>
          <w:b/>
          <w:bCs/>
          <w:sz w:val="30"/>
          <w:szCs w:val="30"/>
        </w:rPr>
        <w:t>年</w:t>
      </w:r>
      <w:r>
        <w:rPr>
          <w:rFonts w:hint="eastAsia" w:ascii="Times New Roman" w:hAnsi="Times New Roman" w:eastAsia="宋体" w:cs="Times New Roman"/>
          <w:b/>
          <w:bCs/>
          <w:sz w:val="30"/>
          <w:szCs w:val="30"/>
          <w:lang w:val="en-US" w:eastAsia="zh-CN"/>
        </w:rPr>
        <w:t>01</w:t>
      </w:r>
      <w:r>
        <w:rPr>
          <w:rFonts w:hint="default" w:ascii="Times New Roman" w:hAnsi="Times New Roman" w:eastAsia="宋体" w:cs="Times New Roman"/>
          <w:b/>
          <w:bCs/>
          <w:sz w:val="30"/>
          <w:szCs w:val="30"/>
        </w:rPr>
        <w:t>月</w:t>
      </w:r>
    </w:p>
    <w:p>
      <w:pPr>
        <w:widowControl/>
        <w:jc w:val="left"/>
        <w:rPr>
          <w:rFonts w:hint="default" w:ascii="Times New Roman" w:hAnsi="Times New Roman" w:eastAsia="宋体" w:cs="Times New Roman"/>
          <w:sz w:val="28"/>
          <w:szCs w:val="28"/>
        </w:rPr>
      </w:pPr>
      <w:r>
        <w:rPr>
          <w:rFonts w:hint="default" w:ascii="Times New Roman" w:hAnsi="Times New Roman" w:eastAsia="宋体" w:cs="Times New Roman"/>
          <w:sz w:val="28"/>
          <w:szCs w:val="28"/>
        </w:rPr>
        <w:br w:type="page"/>
      </w:r>
    </w:p>
    <w:p>
      <w:pPr>
        <w:pStyle w:val="18"/>
        <w:ind w:left="-283" w:leftChars="-135"/>
        <w:rPr>
          <w:rFonts w:hint="default" w:ascii="Times New Roman" w:hAnsi="Times New Roman" w:eastAsia="宋体" w:cs="Times New Roman"/>
        </w:rPr>
      </w:pPr>
    </w:p>
    <w:p>
      <w:pPr>
        <w:spacing w:line="360" w:lineRule="auto"/>
        <w:rPr>
          <w:rFonts w:hint="default" w:ascii="Times New Roman" w:hAnsi="Times New Roman" w:eastAsia="宋体" w:cs="Times New Roman"/>
          <w:b/>
          <w:sz w:val="28"/>
          <w:lang w:val="en-US" w:eastAsia="zh-CN"/>
        </w:rPr>
      </w:pPr>
      <w:r>
        <w:rPr>
          <w:rFonts w:hint="default" w:ascii="Times New Roman" w:hAnsi="Times New Roman" w:eastAsia="宋体" w:cs="Times New Roman"/>
          <w:b/>
          <w:sz w:val="28"/>
          <w:lang w:val="en-US" w:eastAsia="zh-CN"/>
        </w:rPr>
        <w:t>建设单位：</w:t>
      </w:r>
      <w:r>
        <w:rPr>
          <w:rFonts w:hint="eastAsia" w:ascii="Times New Roman" w:hAnsi="Times New Roman" w:eastAsia="宋体" w:cs="Times New Roman"/>
          <w:b/>
          <w:sz w:val="28"/>
          <w:lang w:val="en-US" w:eastAsia="zh-CN"/>
        </w:rPr>
        <w:t>山东豪瑞恩制药有限公</w:t>
      </w:r>
      <w:r>
        <w:rPr>
          <w:rFonts w:hint="default" w:ascii="Times New Roman" w:hAnsi="Times New Roman" w:eastAsia="宋体" w:cs="Times New Roman"/>
          <w:b/>
          <w:sz w:val="28"/>
          <w:lang w:val="en-US" w:eastAsia="zh-CN"/>
        </w:rPr>
        <w:t>司</w:t>
      </w:r>
    </w:p>
    <w:p>
      <w:pPr>
        <w:spacing w:line="360" w:lineRule="auto"/>
        <w:rPr>
          <w:rFonts w:hint="default" w:ascii="Times New Roman" w:hAnsi="Times New Roman" w:eastAsia="宋体" w:cs="Times New Roman"/>
          <w:b/>
          <w:sz w:val="28"/>
          <w:lang w:val="en-US" w:eastAsia="zh-CN"/>
        </w:rPr>
      </w:pPr>
      <w:r>
        <w:rPr>
          <w:rFonts w:hint="default" w:ascii="Times New Roman" w:hAnsi="Times New Roman" w:eastAsia="宋体" w:cs="Times New Roman"/>
          <w:b/>
          <w:sz w:val="28"/>
          <w:lang w:val="en-US" w:eastAsia="zh-CN"/>
        </w:rPr>
        <w:t>法人代表：</w:t>
      </w:r>
      <w:r>
        <w:rPr>
          <w:rFonts w:hint="default" w:ascii="Times New Roman" w:hAnsi="Times New Roman" w:eastAsia="宋体" w:cs="Times New Roman"/>
          <w:b/>
          <w:sz w:val="28"/>
          <w:lang w:val="en-US" w:eastAsia="zh-CN"/>
        </w:rPr>
        <w:fldChar w:fldCharType="begin"/>
      </w:r>
      <w:r>
        <w:rPr>
          <w:rFonts w:hint="default" w:ascii="Times New Roman" w:hAnsi="Times New Roman" w:eastAsia="宋体" w:cs="Times New Roman"/>
          <w:b/>
          <w:sz w:val="28"/>
          <w:lang w:val="en-US" w:eastAsia="zh-CN"/>
        </w:rPr>
        <w:instrText xml:space="preserve"> HYPERLINK "https://shuidi.cn/owner_resume?base=bmFtZT3pq5jljY7mnpcmZGlnZXN0PWRkNDFhNWUzNzc3ZTFhN2JjMjg4OTJmYmJiOGFmMGMwJnBvc2l0aW9uPeazleS6ug==&amp;clickLogParamsPosition=%E6%80%BB%E8%A7%88%E5%8C%BA-%E4%B8%8B%E8%BD%BD%E7%AE%80%E5%8E%86" \o "高华林" </w:instrText>
      </w:r>
      <w:r>
        <w:rPr>
          <w:rFonts w:hint="default" w:ascii="Times New Roman" w:hAnsi="Times New Roman" w:eastAsia="宋体" w:cs="Times New Roman"/>
          <w:b/>
          <w:sz w:val="28"/>
          <w:lang w:val="en-US" w:eastAsia="zh-CN"/>
        </w:rPr>
        <w:fldChar w:fldCharType="separate"/>
      </w:r>
      <w:r>
        <w:rPr>
          <w:rFonts w:hint="default" w:ascii="Times New Roman" w:hAnsi="Times New Roman" w:eastAsia="宋体" w:cs="Times New Roman"/>
          <w:b/>
          <w:sz w:val="28"/>
          <w:lang w:val="en-US" w:eastAsia="zh-CN"/>
        </w:rPr>
        <w:t>高华林</w:t>
      </w:r>
      <w:r>
        <w:rPr>
          <w:rFonts w:hint="default" w:ascii="Times New Roman" w:hAnsi="Times New Roman" w:eastAsia="宋体" w:cs="Times New Roman"/>
          <w:b/>
          <w:sz w:val="28"/>
          <w:lang w:val="en-US" w:eastAsia="zh-CN"/>
        </w:rPr>
        <w:fldChar w:fldCharType="end"/>
      </w:r>
    </w:p>
    <w:p>
      <w:pPr>
        <w:spacing w:line="360" w:lineRule="auto"/>
        <w:rPr>
          <w:rFonts w:hint="default" w:ascii="Times New Roman" w:hAnsi="Times New Roman" w:eastAsia="宋体" w:cs="Times New Roman"/>
          <w:b/>
          <w:sz w:val="28"/>
          <w:lang w:val="en-US" w:eastAsia="zh-CN"/>
        </w:rPr>
      </w:pPr>
      <w:r>
        <w:rPr>
          <w:rFonts w:hint="default" w:ascii="Times New Roman" w:hAnsi="Times New Roman" w:eastAsia="宋体" w:cs="Times New Roman"/>
          <w:b/>
          <w:sz w:val="28"/>
          <w:lang w:val="en-US" w:eastAsia="zh-CN"/>
        </w:rPr>
        <w:t>编制单位：</w:t>
      </w:r>
      <w:r>
        <w:rPr>
          <w:rFonts w:hint="eastAsia" w:ascii="Times New Roman" w:hAnsi="Times New Roman" w:eastAsia="宋体" w:cs="Times New Roman"/>
          <w:b/>
          <w:sz w:val="28"/>
          <w:lang w:val="en-US" w:eastAsia="zh-CN"/>
        </w:rPr>
        <w:t>山东豪瑞恩制药有限公</w:t>
      </w:r>
      <w:r>
        <w:rPr>
          <w:rFonts w:hint="default" w:ascii="Times New Roman" w:hAnsi="Times New Roman" w:eastAsia="宋体" w:cs="Times New Roman"/>
          <w:b/>
          <w:sz w:val="28"/>
          <w:lang w:val="en-US" w:eastAsia="zh-CN"/>
        </w:rPr>
        <w:t>司</w:t>
      </w:r>
    </w:p>
    <w:p>
      <w:pPr>
        <w:spacing w:line="360" w:lineRule="auto"/>
        <w:rPr>
          <w:rFonts w:hint="default" w:ascii="Times New Roman" w:hAnsi="Times New Roman" w:eastAsia="宋体" w:cs="Times New Roman"/>
          <w:b/>
          <w:sz w:val="28"/>
          <w:lang w:val="en-US" w:eastAsia="zh-CN"/>
        </w:rPr>
      </w:pPr>
      <w:r>
        <w:rPr>
          <w:rFonts w:hint="default" w:ascii="Times New Roman" w:hAnsi="Times New Roman" w:eastAsia="宋体" w:cs="Times New Roman"/>
          <w:b/>
          <w:sz w:val="28"/>
          <w:lang w:val="en-US" w:eastAsia="zh-CN"/>
        </w:rPr>
        <w:t>法人代表：</w:t>
      </w:r>
      <w:r>
        <w:rPr>
          <w:rFonts w:hint="default" w:ascii="Times New Roman" w:hAnsi="Times New Roman" w:eastAsia="宋体" w:cs="Times New Roman"/>
          <w:b/>
          <w:sz w:val="28"/>
          <w:lang w:val="en-US" w:eastAsia="zh-CN"/>
        </w:rPr>
        <w:fldChar w:fldCharType="begin"/>
      </w:r>
      <w:r>
        <w:rPr>
          <w:rFonts w:hint="default" w:ascii="Times New Roman" w:hAnsi="Times New Roman" w:eastAsia="宋体" w:cs="Times New Roman"/>
          <w:b/>
          <w:sz w:val="28"/>
          <w:lang w:val="en-US" w:eastAsia="zh-CN"/>
        </w:rPr>
        <w:instrText xml:space="preserve"> HYPERLINK "https://shuidi.cn/owner_resume?base=bmFtZT3pq5jljY7mnpcmZGlnZXN0PWRkNDFhNWUzNzc3ZTFhN2JjMjg4OTJmYmJiOGFmMGMwJnBvc2l0aW9uPeazleS6ug==&amp;clickLogParamsPosition=%E6%80%BB%E8%A7%88%E5%8C%BA-%E4%B8%8B%E8%BD%BD%E7%AE%80%E5%8E%86" \o "高华林" </w:instrText>
      </w:r>
      <w:r>
        <w:rPr>
          <w:rFonts w:hint="default" w:ascii="Times New Roman" w:hAnsi="Times New Roman" w:eastAsia="宋体" w:cs="Times New Roman"/>
          <w:b/>
          <w:sz w:val="28"/>
          <w:lang w:val="en-US" w:eastAsia="zh-CN"/>
        </w:rPr>
        <w:fldChar w:fldCharType="separate"/>
      </w:r>
      <w:r>
        <w:rPr>
          <w:rFonts w:hint="default" w:ascii="Times New Roman" w:hAnsi="Times New Roman" w:eastAsia="宋体" w:cs="Times New Roman"/>
          <w:b/>
          <w:sz w:val="28"/>
          <w:lang w:val="en-US" w:eastAsia="zh-CN"/>
        </w:rPr>
        <w:t>高华林</w:t>
      </w:r>
      <w:r>
        <w:rPr>
          <w:rFonts w:hint="default" w:ascii="Times New Roman" w:hAnsi="Times New Roman" w:eastAsia="宋体" w:cs="Times New Roman"/>
          <w:b/>
          <w:sz w:val="28"/>
          <w:lang w:val="en-US" w:eastAsia="zh-CN"/>
        </w:rPr>
        <w:fldChar w:fldCharType="end"/>
      </w:r>
    </w:p>
    <w:p>
      <w:pPr>
        <w:spacing w:line="360" w:lineRule="auto"/>
        <w:rPr>
          <w:rFonts w:hint="default" w:ascii="Times New Roman" w:hAnsi="Times New Roman" w:eastAsia="宋体" w:cs="Times New Roman"/>
          <w:b/>
          <w:sz w:val="28"/>
          <w:lang w:val="en-US" w:eastAsia="zh-CN"/>
        </w:rPr>
      </w:pPr>
      <w:r>
        <w:rPr>
          <w:rFonts w:hint="default" w:ascii="Times New Roman" w:hAnsi="Times New Roman" w:eastAsia="宋体" w:cs="Times New Roman"/>
          <w:b/>
          <w:sz w:val="28"/>
          <w:lang w:val="en-US" w:eastAsia="zh-CN"/>
        </w:rPr>
        <w:t>项目负责人：</w:t>
      </w:r>
      <w:r>
        <w:rPr>
          <w:rFonts w:hint="eastAsia" w:ascii="Times New Roman" w:hAnsi="Times New Roman" w:eastAsia="宋体" w:cs="Times New Roman"/>
          <w:b/>
          <w:sz w:val="28"/>
          <w:lang w:val="en-US" w:eastAsia="zh-CN"/>
        </w:rPr>
        <w:t>王立周</w:t>
      </w:r>
    </w:p>
    <w:p>
      <w:pPr>
        <w:pStyle w:val="12"/>
        <w:rPr>
          <w:rFonts w:hint="default" w:ascii="Times New Roman" w:hAnsi="Times New Roman" w:eastAsia="宋体" w:cs="Times New Roman"/>
        </w:rPr>
      </w:pPr>
    </w:p>
    <w:p>
      <w:pPr>
        <w:pStyle w:val="12"/>
        <w:rPr>
          <w:rFonts w:hint="default" w:ascii="Times New Roman" w:hAnsi="Times New Roman" w:eastAsia="宋体" w:cs="Times New Roman"/>
        </w:rPr>
      </w:pPr>
    </w:p>
    <w:p>
      <w:pPr>
        <w:pStyle w:val="12"/>
        <w:rPr>
          <w:rFonts w:hint="default" w:ascii="Times New Roman" w:hAnsi="Times New Roman" w:eastAsia="宋体" w:cs="Times New Roman"/>
        </w:rPr>
      </w:pPr>
    </w:p>
    <w:p>
      <w:pPr>
        <w:pStyle w:val="12"/>
        <w:rPr>
          <w:rFonts w:hint="default" w:ascii="Times New Roman" w:hAnsi="Times New Roman" w:eastAsia="宋体" w:cs="Times New Roman"/>
        </w:rPr>
      </w:pPr>
    </w:p>
    <w:p>
      <w:pPr>
        <w:pStyle w:val="12"/>
        <w:rPr>
          <w:rFonts w:hint="default" w:ascii="Times New Roman" w:hAnsi="Times New Roman" w:eastAsia="宋体" w:cs="Times New Roman"/>
        </w:rPr>
      </w:pPr>
    </w:p>
    <w:p>
      <w:pPr>
        <w:pStyle w:val="12"/>
        <w:rPr>
          <w:rFonts w:hint="default" w:ascii="Times New Roman" w:hAnsi="Times New Roman" w:eastAsia="宋体" w:cs="Times New Roman"/>
        </w:rPr>
      </w:pPr>
    </w:p>
    <w:p>
      <w:pPr>
        <w:pStyle w:val="12"/>
        <w:rPr>
          <w:rFonts w:hint="default" w:ascii="Times New Roman" w:hAnsi="Times New Roman" w:eastAsia="宋体" w:cs="Times New Roman"/>
        </w:rPr>
      </w:pPr>
    </w:p>
    <w:p>
      <w:pPr>
        <w:spacing w:line="360" w:lineRule="auto"/>
        <w:jc w:val="left"/>
        <w:rPr>
          <w:rFonts w:hint="default" w:ascii="Times New Roman" w:hAnsi="Times New Roman" w:eastAsia="宋体" w:cs="Times New Roman"/>
          <w:sz w:val="28"/>
          <w:lang w:eastAsia="zh-CN"/>
        </w:rPr>
      </w:pPr>
      <w:r>
        <w:rPr>
          <w:rFonts w:hint="default" w:ascii="Times New Roman" w:hAnsi="Times New Roman" w:eastAsia="宋体" w:cs="Times New Roman"/>
          <w:sz w:val="28"/>
        </w:rPr>
        <w:t>建设单位：</w:t>
      </w:r>
      <w:r>
        <w:rPr>
          <w:rFonts w:hint="eastAsia" w:ascii="Times New Roman" w:hAnsi="Times New Roman" w:eastAsia="宋体" w:cs="Times New Roman"/>
          <w:sz w:val="28"/>
          <w:lang w:val="en-US" w:eastAsia="zh-CN"/>
        </w:rPr>
        <w:t>山东豪瑞恩制药有限公</w:t>
      </w:r>
      <w:r>
        <w:rPr>
          <w:rFonts w:hint="default" w:ascii="Times New Roman" w:hAnsi="Times New Roman" w:eastAsia="宋体" w:cs="Times New Roman"/>
          <w:sz w:val="28"/>
          <w:lang w:val="en-US" w:eastAsia="zh-CN"/>
        </w:rPr>
        <w:t>司</w:t>
      </w:r>
    </w:p>
    <w:p>
      <w:pPr>
        <w:spacing w:line="360" w:lineRule="auto"/>
        <w:jc w:val="left"/>
        <w:rPr>
          <w:rFonts w:hint="default" w:ascii="Times New Roman" w:hAnsi="Times New Roman" w:eastAsia="宋体" w:cs="Times New Roman"/>
          <w:sz w:val="28"/>
          <w:lang w:eastAsia="zh-CN"/>
        </w:rPr>
      </w:pPr>
      <w:r>
        <w:rPr>
          <w:rFonts w:hint="default" w:ascii="Times New Roman" w:hAnsi="Times New Roman" w:eastAsia="宋体" w:cs="Times New Roman"/>
          <w:sz w:val="28"/>
          <w:lang w:eastAsia="zh-CN"/>
        </w:rPr>
        <w:t>编制单位：</w:t>
      </w:r>
      <w:r>
        <w:rPr>
          <w:rFonts w:hint="eastAsia" w:ascii="Times New Roman" w:hAnsi="Times New Roman" w:eastAsia="宋体" w:cs="Times New Roman"/>
          <w:sz w:val="28"/>
          <w:lang w:val="en-US" w:eastAsia="zh-CN"/>
        </w:rPr>
        <w:t>山东豪瑞恩制药有限公</w:t>
      </w:r>
      <w:r>
        <w:rPr>
          <w:rFonts w:hint="default" w:ascii="Times New Roman" w:hAnsi="Times New Roman" w:eastAsia="宋体" w:cs="Times New Roman"/>
          <w:sz w:val="28"/>
          <w:lang w:val="en-US" w:eastAsia="zh-CN"/>
        </w:rPr>
        <w:t>司</w:t>
      </w:r>
    </w:p>
    <w:p>
      <w:pPr>
        <w:keepNext w:val="0"/>
        <w:keepLines w:val="0"/>
        <w:widowControl/>
        <w:suppressLineNumbers w:val="0"/>
        <w:jc w:val="left"/>
        <w:rPr>
          <w:rFonts w:hint="default" w:ascii="Times New Roman" w:hAnsi="Times New Roman" w:eastAsia="宋体" w:cs="Times New Roman"/>
          <w:lang w:val="en-US"/>
        </w:rPr>
      </w:pPr>
      <w:r>
        <w:rPr>
          <w:rFonts w:hint="default" w:ascii="Times New Roman" w:hAnsi="Times New Roman" w:eastAsia="宋体" w:cs="Times New Roman"/>
          <w:sz w:val="28"/>
        </w:rPr>
        <w:t>电</w:t>
      </w:r>
      <w:r>
        <w:rPr>
          <w:rFonts w:hint="default" w:ascii="Times New Roman" w:hAnsi="Times New Roman" w:eastAsia="宋体" w:cs="Times New Roman"/>
          <w:sz w:val="28"/>
          <w:lang w:eastAsia="zh-CN"/>
        </w:rPr>
        <w:t>话</w:t>
      </w:r>
      <w:r>
        <w:rPr>
          <w:rFonts w:hint="eastAsia" w:ascii="Times New Roman" w:hAnsi="Times New Roman" w:eastAsia="宋体" w:cs="Times New Roman"/>
          <w:sz w:val="28"/>
          <w:lang w:eastAsia="zh-CN"/>
        </w:rPr>
        <w:t>：</w:t>
      </w:r>
      <w:r>
        <w:rPr>
          <w:rFonts w:hint="eastAsia" w:ascii="Times New Roman" w:hAnsi="Times New Roman" w:eastAsia="宋体" w:cs="Times New Roman"/>
          <w:sz w:val="28"/>
          <w:lang w:val="en-US" w:eastAsia="zh-CN"/>
        </w:rPr>
        <w:t>17806060077</w:t>
      </w:r>
    </w:p>
    <w:p>
      <w:pPr>
        <w:spacing w:line="360" w:lineRule="auto"/>
        <w:jc w:val="left"/>
        <w:rPr>
          <w:rFonts w:hint="default" w:ascii="Times New Roman" w:hAnsi="Times New Roman" w:eastAsia="宋体" w:cs="Times New Roman"/>
          <w:sz w:val="28"/>
          <w:lang w:val="en-US" w:eastAsia="zh-CN"/>
        </w:rPr>
      </w:pPr>
      <w:r>
        <w:rPr>
          <w:rFonts w:hint="default" w:ascii="Times New Roman" w:hAnsi="Times New Roman" w:eastAsia="宋体" w:cs="Times New Roman"/>
          <w:sz w:val="28"/>
        </w:rPr>
        <w:t>邮编</w:t>
      </w:r>
      <w:r>
        <w:rPr>
          <w:rFonts w:hint="eastAsia" w:ascii="Times New Roman" w:hAnsi="Times New Roman" w:eastAsia="宋体" w:cs="Times New Roman"/>
          <w:sz w:val="28"/>
          <w:lang w:eastAsia="zh-CN"/>
        </w:rPr>
        <w:t>：</w:t>
      </w:r>
      <w:r>
        <w:rPr>
          <w:rFonts w:hint="default" w:ascii="Times New Roman" w:hAnsi="Times New Roman" w:eastAsia="宋体" w:cs="Times New Roman"/>
          <w:sz w:val="28"/>
        </w:rPr>
        <w:fldChar w:fldCharType="begin"/>
      </w:r>
      <w:r>
        <w:rPr>
          <w:rFonts w:hint="default" w:ascii="Times New Roman" w:hAnsi="Times New Roman" w:eastAsia="宋体" w:cs="Times New Roman"/>
          <w:sz w:val="28"/>
        </w:rPr>
        <w:instrText xml:space="preserve"> HYPERLINK "https://map.360.cn/zt/postcode.html?cityid=371700&amp;src=onebox-map_new_youbian" \t "https://www.so.com/_blank" </w:instrText>
      </w:r>
      <w:r>
        <w:rPr>
          <w:rFonts w:hint="default" w:ascii="Times New Roman" w:hAnsi="Times New Roman" w:eastAsia="宋体" w:cs="Times New Roman"/>
          <w:sz w:val="28"/>
        </w:rPr>
        <w:fldChar w:fldCharType="separate"/>
      </w:r>
      <w:r>
        <w:rPr>
          <w:rFonts w:hint="default" w:ascii="Times New Roman" w:hAnsi="Times New Roman" w:eastAsia="宋体" w:cs="Times New Roman"/>
          <w:sz w:val="28"/>
        </w:rPr>
        <w:t>274000</w:t>
      </w:r>
      <w:r>
        <w:rPr>
          <w:rFonts w:hint="default" w:ascii="Times New Roman" w:hAnsi="Times New Roman" w:eastAsia="宋体" w:cs="Times New Roman"/>
          <w:sz w:val="28"/>
        </w:rPr>
        <w:fldChar w:fldCharType="end"/>
      </w:r>
    </w:p>
    <w:p>
      <w:pPr>
        <w:spacing w:line="360" w:lineRule="auto"/>
        <w:rPr>
          <w:rFonts w:hint="default" w:ascii="Times New Roman" w:hAnsi="Times New Roman" w:eastAsia="宋体" w:cs="Times New Roman"/>
          <w:sz w:val="28"/>
          <w:lang w:eastAsia="zh-CN"/>
        </w:rPr>
      </w:pPr>
      <w:r>
        <w:rPr>
          <w:rFonts w:hint="default" w:ascii="Times New Roman" w:hAnsi="Times New Roman" w:eastAsia="宋体" w:cs="Times New Roman"/>
          <w:sz w:val="28"/>
          <w:lang w:eastAsia="zh-CN"/>
        </w:rPr>
        <w:t>地址</w:t>
      </w:r>
      <w:r>
        <w:rPr>
          <w:rFonts w:hint="eastAsia" w:ascii="Times New Roman" w:hAnsi="Times New Roman" w:eastAsia="宋体" w:cs="Times New Roman"/>
          <w:sz w:val="28"/>
          <w:lang w:eastAsia="zh-CN"/>
        </w:rPr>
        <w:t>：</w:t>
      </w:r>
      <w:r>
        <w:rPr>
          <w:rFonts w:hint="eastAsia" w:ascii="Times New Roman" w:hAnsi="Times New Roman" w:eastAsia="宋体" w:cs="Times New Roman"/>
          <w:sz w:val="28"/>
          <w:lang w:val="en-US" w:eastAsia="zh-CN"/>
        </w:rPr>
        <w:t>山东省菏泽市高新区北环路2999号</w:t>
      </w:r>
    </w:p>
    <w:p>
      <w:pPr>
        <w:spacing w:line="360" w:lineRule="auto"/>
        <w:rPr>
          <w:rFonts w:hint="default" w:ascii="Times New Roman" w:hAnsi="Times New Roman" w:eastAsia="宋体" w:cs="Times New Roman"/>
          <w:sz w:val="28"/>
          <w:lang w:eastAsia="zh-CN"/>
        </w:rPr>
        <w:sectPr>
          <w:headerReference r:id="rId3" w:type="default"/>
          <w:footerReference r:id="rId4" w:type="default"/>
          <w:footerReference r:id="rId5" w:type="even"/>
          <w:pgSz w:w="11906" w:h="16838"/>
          <w:pgMar w:top="1440" w:right="1800" w:bottom="1440" w:left="1800" w:header="851" w:footer="992" w:gutter="0"/>
          <w:pgBorders>
            <w:top w:val="none" w:sz="0" w:space="0"/>
            <w:left w:val="none" w:sz="0" w:space="0"/>
            <w:bottom w:val="none" w:sz="0" w:space="0"/>
            <w:right w:val="none" w:sz="0" w:space="0"/>
          </w:pgBorders>
          <w:pgNumType w:fmt="numberInDash" w:start="1"/>
          <w:cols w:space="720" w:num="1"/>
          <w:docGrid w:type="lines" w:linePitch="312" w:charSpace="0"/>
        </w:sectPr>
      </w:pPr>
    </w:p>
    <w:sdt>
      <w:sdtPr>
        <w:rPr>
          <w:rFonts w:hint="default" w:ascii="Times New Roman" w:hAnsi="Times New Roman" w:eastAsia="宋体" w:cs="Times New Roman"/>
          <w:color w:val="auto"/>
          <w:kern w:val="2"/>
          <w:sz w:val="44"/>
          <w:szCs w:val="44"/>
          <w:lang w:val="zh-CN"/>
        </w:rPr>
        <w:id w:val="1108552957"/>
        <w:docPartObj>
          <w:docPartGallery w:val="Table of Contents"/>
          <w:docPartUnique/>
        </w:docPartObj>
      </w:sdtPr>
      <w:sdtEndPr>
        <w:rPr>
          <w:rFonts w:hint="default" w:ascii="Times New Roman" w:hAnsi="Times New Roman" w:eastAsia="宋体" w:cs="Times New Roman"/>
          <w:b/>
          <w:bCs/>
          <w:color w:val="auto"/>
          <w:kern w:val="2"/>
          <w:sz w:val="24"/>
          <w:szCs w:val="24"/>
          <w:lang w:val="zh-CN"/>
        </w:rPr>
      </w:sdtEndPr>
      <w:sdtContent>
        <w:p>
          <w:pPr>
            <w:pStyle w:val="42"/>
            <w:jc w:val="center"/>
            <w:rPr>
              <w:rFonts w:hint="default" w:ascii="Times New Roman" w:hAnsi="Times New Roman" w:eastAsia="宋体" w:cs="Times New Roman"/>
              <w:color w:val="auto"/>
              <w:sz w:val="44"/>
              <w:szCs w:val="44"/>
            </w:rPr>
          </w:pPr>
          <w:r>
            <w:rPr>
              <w:rFonts w:hint="default" w:ascii="Times New Roman" w:hAnsi="Times New Roman" w:eastAsia="宋体" w:cs="Times New Roman"/>
              <w:b/>
              <w:bCs/>
              <w:color w:val="auto"/>
              <w:sz w:val="44"/>
              <w:szCs w:val="44"/>
              <w:lang w:val="zh-CN"/>
            </w:rPr>
            <w:t>目录</w:t>
          </w:r>
        </w:p>
        <w:p>
          <w:pPr>
            <w:pStyle w:val="18"/>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
              <w:bCs/>
              <w:sz w:val="24"/>
              <w:szCs w:val="24"/>
            </w:rPr>
            <w:fldChar w:fldCharType="begin"/>
          </w:r>
          <w:r>
            <w:rPr>
              <w:rFonts w:hint="default" w:ascii="Times New Roman" w:hAnsi="Times New Roman" w:eastAsia="宋体" w:cs="Times New Roman"/>
              <w:b/>
              <w:bCs/>
              <w:sz w:val="24"/>
              <w:szCs w:val="24"/>
            </w:rPr>
            <w:instrText xml:space="preserve"> TOC \o "1-3" \h \z \u </w:instrText>
          </w:r>
          <w:r>
            <w:rPr>
              <w:rFonts w:hint="default" w:ascii="Times New Roman" w:hAnsi="Times New Roman" w:eastAsia="宋体" w:cs="Times New Roman"/>
              <w:b/>
              <w:bCs/>
              <w:sz w:val="24"/>
              <w:szCs w:val="24"/>
            </w:rPr>
            <w:fldChar w:fldCharType="separate"/>
          </w: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_Toc12059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1、验收项目概况</w:t>
          </w:r>
          <w:r>
            <w:rPr>
              <w:sz w:val="24"/>
              <w:szCs w:val="24"/>
            </w:rPr>
            <w:tab/>
          </w:r>
          <w:r>
            <w:rPr>
              <w:sz w:val="24"/>
              <w:szCs w:val="24"/>
            </w:rPr>
            <w:fldChar w:fldCharType="begin"/>
          </w:r>
          <w:r>
            <w:rPr>
              <w:sz w:val="24"/>
              <w:szCs w:val="24"/>
            </w:rPr>
            <w:instrText xml:space="preserve"> PAGEREF _Toc12059 \h </w:instrText>
          </w:r>
          <w:r>
            <w:rPr>
              <w:sz w:val="24"/>
              <w:szCs w:val="24"/>
            </w:rPr>
            <w:fldChar w:fldCharType="separate"/>
          </w:r>
          <w:r>
            <w:rPr>
              <w:sz w:val="24"/>
              <w:szCs w:val="24"/>
            </w:rPr>
            <w:t>1</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_Toc32516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1.1验收项目基本情况</w:t>
          </w:r>
          <w:r>
            <w:rPr>
              <w:sz w:val="24"/>
              <w:szCs w:val="24"/>
            </w:rPr>
            <w:tab/>
          </w:r>
          <w:r>
            <w:rPr>
              <w:sz w:val="24"/>
              <w:szCs w:val="24"/>
            </w:rPr>
            <w:fldChar w:fldCharType="begin"/>
          </w:r>
          <w:r>
            <w:rPr>
              <w:sz w:val="24"/>
              <w:szCs w:val="24"/>
            </w:rPr>
            <w:instrText xml:space="preserve"> PAGEREF _Toc32516 \h </w:instrText>
          </w:r>
          <w:r>
            <w:rPr>
              <w:sz w:val="24"/>
              <w:szCs w:val="24"/>
            </w:rPr>
            <w:fldChar w:fldCharType="separate"/>
          </w:r>
          <w:r>
            <w:rPr>
              <w:sz w:val="24"/>
              <w:szCs w:val="24"/>
            </w:rPr>
            <w:t>1</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_Toc21642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1.2验收内容及目的</w:t>
          </w:r>
          <w:r>
            <w:rPr>
              <w:sz w:val="24"/>
              <w:szCs w:val="24"/>
            </w:rPr>
            <w:tab/>
          </w:r>
          <w:r>
            <w:rPr>
              <w:sz w:val="24"/>
              <w:szCs w:val="24"/>
            </w:rPr>
            <w:fldChar w:fldCharType="begin"/>
          </w:r>
          <w:r>
            <w:rPr>
              <w:sz w:val="24"/>
              <w:szCs w:val="24"/>
            </w:rPr>
            <w:instrText xml:space="preserve"> PAGEREF _Toc21642 \h </w:instrText>
          </w:r>
          <w:r>
            <w:rPr>
              <w:sz w:val="24"/>
              <w:szCs w:val="24"/>
            </w:rPr>
            <w:fldChar w:fldCharType="separate"/>
          </w:r>
          <w:r>
            <w:rPr>
              <w:sz w:val="24"/>
              <w:szCs w:val="24"/>
            </w:rPr>
            <w:t>2</w:t>
          </w:r>
          <w:r>
            <w:rPr>
              <w:sz w:val="24"/>
              <w:szCs w:val="24"/>
            </w:rPr>
            <w:fldChar w:fldCharType="end"/>
          </w:r>
          <w:r>
            <w:rPr>
              <w:rFonts w:hint="default" w:ascii="Times New Roman" w:hAnsi="Times New Roman" w:eastAsia="宋体" w:cs="Times New Roman"/>
              <w:bCs/>
              <w:sz w:val="24"/>
              <w:szCs w:val="24"/>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_Toc20515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2、验收依据</w:t>
          </w:r>
          <w:r>
            <w:rPr>
              <w:sz w:val="24"/>
              <w:szCs w:val="24"/>
            </w:rPr>
            <w:tab/>
          </w:r>
          <w:r>
            <w:rPr>
              <w:sz w:val="24"/>
              <w:szCs w:val="24"/>
            </w:rPr>
            <w:fldChar w:fldCharType="begin"/>
          </w:r>
          <w:r>
            <w:rPr>
              <w:sz w:val="24"/>
              <w:szCs w:val="24"/>
            </w:rPr>
            <w:instrText xml:space="preserve"> PAGEREF _Toc20515 \h </w:instrText>
          </w:r>
          <w:r>
            <w:rPr>
              <w:sz w:val="24"/>
              <w:szCs w:val="24"/>
            </w:rPr>
            <w:fldChar w:fldCharType="separate"/>
          </w:r>
          <w:r>
            <w:rPr>
              <w:sz w:val="24"/>
              <w:szCs w:val="24"/>
            </w:rPr>
            <w:t>4</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_Toc17677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2.1法律依据</w:t>
          </w:r>
          <w:r>
            <w:rPr>
              <w:sz w:val="24"/>
              <w:szCs w:val="24"/>
            </w:rPr>
            <w:tab/>
          </w:r>
          <w:r>
            <w:rPr>
              <w:sz w:val="24"/>
              <w:szCs w:val="24"/>
            </w:rPr>
            <w:fldChar w:fldCharType="begin"/>
          </w:r>
          <w:r>
            <w:rPr>
              <w:sz w:val="24"/>
              <w:szCs w:val="24"/>
            </w:rPr>
            <w:instrText xml:space="preserve"> PAGEREF _Toc17677 \h </w:instrText>
          </w:r>
          <w:r>
            <w:rPr>
              <w:sz w:val="24"/>
              <w:szCs w:val="24"/>
            </w:rPr>
            <w:fldChar w:fldCharType="separate"/>
          </w:r>
          <w:r>
            <w:rPr>
              <w:sz w:val="24"/>
              <w:szCs w:val="24"/>
            </w:rPr>
            <w:t>4</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_Toc23203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2.2验收技术规范</w:t>
          </w:r>
          <w:r>
            <w:rPr>
              <w:sz w:val="24"/>
              <w:szCs w:val="24"/>
            </w:rPr>
            <w:tab/>
          </w:r>
          <w:r>
            <w:rPr>
              <w:sz w:val="24"/>
              <w:szCs w:val="24"/>
            </w:rPr>
            <w:fldChar w:fldCharType="begin"/>
          </w:r>
          <w:r>
            <w:rPr>
              <w:sz w:val="24"/>
              <w:szCs w:val="24"/>
            </w:rPr>
            <w:instrText xml:space="preserve"> PAGEREF _Toc23203 \h </w:instrText>
          </w:r>
          <w:r>
            <w:rPr>
              <w:sz w:val="24"/>
              <w:szCs w:val="24"/>
            </w:rPr>
            <w:fldChar w:fldCharType="separate"/>
          </w:r>
          <w:r>
            <w:rPr>
              <w:sz w:val="24"/>
              <w:szCs w:val="24"/>
            </w:rPr>
            <w:t>4</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_Toc31381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2.2其他法规、条例</w:t>
          </w:r>
          <w:r>
            <w:rPr>
              <w:sz w:val="24"/>
              <w:szCs w:val="24"/>
            </w:rPr>
            <w:tab/>
          </w:r>
          <w:r>
            <w:rPr>
              <w:sz w:val="24"/>
              <w:szCs w:val="24"/>
            </w:rPr>
            <w:fldChar w:fldCharType="begin"/>
          </w:r>
          <w:r>
            <w:rPr>
              <w:sz w:val="24"/>
              <w:szCs w:val="24"/>
            </w:rPr>
            <w:instrText xml:space="preserve"> PAGEREF _Toc31381 \h </w:instrText>
          </w:r>
          <w:r>
            <w:rPr>
              <w:sz w:val="24"/>
              <w:szCs w:val="24"/>
            </w:rPr>
            <w:fldChar w:fldCharType="separate"/>
          </w:r>
          <w:r>
            <w:rPr>
              <w:sz w:val="24"/>
              <w:szCs w:val="24"/>
            </w:rPr>
            <w:t>5</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_Toc32656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2.3技术文件依据</w:t>
          </w:r>
          <w:r>
            <w:rPr>
              <w:sz w:val="24"/>
              <w:szCs w:val="24"/>
            </w:rPr>
            <w:tab/>
          </w:r>
          <w:r>
            <w:rPr>
              <w:sz w:val="24"/>
              <w:szCs w:val="24"/>
            </w:rPr>
            <w:fldChar w:fldCharType="begin"/>
          </w:r>
          <w:r>
            <w:rPr>
              <w:sz w:val="24"/>
              <w:szCs w:val="24"/>
            </w:rPr>
            <w:instrText xml:space="preserve"> PAGEREF _Toc32656 \h </w:instrText>
          </w:r>
          <w:r>
            <w:rPr>
              <w:sz w:val="24"/>
              <w:szCs w:val="24"/>
            </w:rPr>
            <w:fldChar w:fldCharType="separate"/>
          </w:r>
          <w:r>
            <w:rPr>
              <w:sz w:val="24"/>
              <w:szCs w:val="24"/>
            </w:rPr>
            <w:t>5</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_Toc27996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2.4验收监测评价标准</w:t>
          </w:r>
          <w:r>
            <w:rPr>
              <w:sz w:val="24"/>
              <w:szCs w:val="24"/>
            </w:rPr>
            <w:tab/>
          </w:r>
          <w:r>
            <w:rPr>
              <w:sz w:val="24"/>
              <w:szCs w:val="24"/>
            </w:rPr>
            <w:fldChar w:fldCharType="begin"/>
          </w:r>
          <w:r>
            <w:rPr>
              <w:sz w:val="24"/>
              <w:szCs w:val="24"/>
            </w:rPr>
            <w:instrText xml:space="preserve"> PAGEREF _Toc27996 \h </w:instrText>
          </w:r>
          <w:r>
            <w:rPr>
              <w:sz w:val="24"/>
              <w:szCs w:val="24"/>
            </w:rPr>
            <w:fldChar w:fldCharType="separate"/>
          </w:r>
          <w:r>
            <w:rPr>
              <w:sz w:val="24"/>
              <w:szCs w:val="24"/>
            </w:rPr>
            <w:t>6</w:t>
          </w:r>
          <w:r>
            <w:rPr>
              <w:sz w:val="24"/>
              <w:szCs w:val="24"/>
            </w:rPr>
            <w:fldChar w:fldCharType="end"/>
          </w:r>
          <w:r>
            <w:rPr>
              <w:rFonts w:hint="default" w:ascii="Times New Roman" w:hAnsi="Times New Roman" w:eastAsia="宋体" w:cs="Times New Roman"/>
              <w:bCs/>
              <w:sz w:val="24"/>
              <w:szCs w:val="24"/>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_Toc27697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3、工程建设情况</w:t>
          </w:r>
          <w:r>
            <w:rPr>
              <w:sz w:val="24"/>
              <w:szCs w:val="24"/>
            </w:rPr>
            <w:tab/>
          </w:r>
          <w:r>
            <w:rPr>
              <w:sz w:val="24"/>
              <w:szCs w:val="24"/>
            </w:rPr>
            <w:fldChar w:fldCharType="begin"/>
          </w:r>
          <w:r>
            <w:rPr>
              <w:sz w:val="24"/>
              <w:szCs w:val="24"/>
            </w:rPr>
            <w:instrText xml:space="preserve"> PAGEREF _Toc27697 \h </w:instrText>
          </w:r>
          <w:r>
            <w:rPr>
              <w:sz w:val="24"/>
              <w:szCs w:val="24"/>
            </w:rPr>
            <w:fldChar w:fldCharType="separate"/>
          </w:r>
          <w:r>
            <w:rPr>
              <w:sz w:val="24"/>
              <w:szCs w:val="24"/>
            </w:rPr>
            <w:t>7</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_Toc7093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3.1地理位置及平面布置</w:t>
          </w:r>
          <w:r>
            <w:rPr>
              <w:sz w:val="24"/>
              <w:szCs w:val="24"/>
            </w:rPr>
            <w:tab/>
          </w:r>
          <w:r>
            <w:rPr>
              <w:sz w:val="24"/>
              <w:szCs w:val="24"/>
            </w:rPr>
            <w:fldChar w:fldCharType="begin"/>
          </w:r>
          <w:r>
            <w:rPr>
              <w:sz w:val="24"/>
              <w:szCs w:val="24"/>
            </w:rPr>
            <w:instrText xml:space="preserve"> PAGEREF _Toc7093 \h </w:instrText>
          </w:r>
          <w:r>
            <w:rPr>
              <w:sz w:val="24"/>
              <w:szCs w:val="24"/>
            </w:rPr>
            <w:fldChar w:fldCharType="separate"/>
          </w:r>
          <w:r>
            <w:rPr>
              <w:sz w:val="24"/>
              <w:szCs w:val="24"/>
            </w:rPr>
            <w:t>7</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_Toc15119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3.2建设内容</w:t>
          </w:r>
          <w:r>
            <w:rPr>
              <w:sz w:val="24"/>
              <w:szCs w:val="24"/>
            </w:rPr>
            <w:tab/>
          </w:r>
          <w:r>
            <w:rPr>
              <w:sz w:val="24"/>
              <w:szCs w:val="24"/>
            </w:rPr>
            <w:fldChar w:fldCharType="begin"/>
          </w:r>
          <w:r>
            <w:rPr>
              <w:sz w:val="24"/>
              <w:szCs w:val="24"/>
            </w:rPr>
            <w:instrText xml:space="preserve"> PAGEREF _Toc15119 \h </w:instrText>
          </w:r>
          <w:r>
            <w:rPr>
              <w:sz w:val="24"/>
              <w:szCs w:val="24"/>
            </w:rPr>
            <w:fldChar w:fldCharType="separate"/>
          </w:r>
          <w:r>
            <w:rPr>
              <w:sz w:val="24"/>
              <w:szCs w:val="24"/>
            </w:rPr>
            <w:t>9</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_Toc32131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3.3主要原辅材料及生产设备</w:t>
          </w:r>
          <w:r>
            <w:rPr>
              <w:sz w:val="24"/>
              <w:szCs w:val="24"/>
            </w:rPr>
            <w:tab/>
          </w:r>
          <w:r>
            <w:rPr>
              <w:sz w:val="24"/>
              <w:szCs w:val="24"/>
            </w:rPr>
            <w:fldChar w:fldCharType="begin"/>
          </w:r>
          <w:r>
            <w:rPr>
              <w:sz w:val="24"/>
              <w:szCs w:val="24"/>
            </w:rPr>
            <w:instrText xml:space="preserve"> PAGEREF _Toc32131 \h </w:instrText>
          </w:r>
          <w:r>
            <w:rPr>
              <w:sz w:val="24"/>
              <w:szCs w:val="24"/>
            </w:rPr>
            <w:fldChar w:fldCharType="separate"/>
          </w:r>
          <w:r>
            <w:rPr>
              <w:sz w:val="24"/>
              <w:szCs w:val="24"/>
            </w:rPr>
            <w:t>12</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_Toc5648 </w:instrText>
          </w:r>
          <w:r>
            <w:rPr>
              <w:rFonts w:hint="default" w:ascii="Times New Roman" w:hAnsi="Times New Roman" w:eastAsia="宋体" w:cs="Times New Roman"/>
              <w:bCs/>
              <w:sz w:val="24"/>
              <w:szCs w:val="24"/>
            </w:rPr>
            <w:fldChar w:fldCharType="separate"/>
          </w:r>
          <w:r>
            <w:rPr>
              <w:rFonts w:hint="eastAsia" w:ascii="Times New Roman" w:hAnsi="Times New Roman" w:eastAsia="宋体" w:cs="Times New Roman"/>
              <w:sz w:val="24"/>
              <w:szCs w:val="24"/>
              <w:lang w:val="en-US" w:eastAsia="zh-CN"/>
            </w:rPr>
            <w:t>3.4</w:t>
          </w:r>
          <w:r>
            <w:rPr>
              <w:rFonts w:hint="default" w:ascii="Times New Roman" w:hAnsi="Times New Roman" w:eastAsia="宋体" w:cs="Times New Roman"/>
              <w:bCs/>
              <w:sz w:val="24"/>
              <w:szCs w:val="24"/>
            </w:rPr>
            <w:t>供暖及制冷</w:t>
          </w:r>
          <w:r>
            <w:rPr>
              <w:sz w:val="24"/>
              <w:szCs w:val="24"/>
            </w:rPr>
            <w:tab/>
          </w:r>
          <w:r>
            <w:rPr>
              <w:sz w:val="24"/>
              <w:szCs w:val="24"/>
            </w:rPr>
            <w:fldChar w:fldCharType="begin"/>
          </w:r>
          <w:r>
            <w:rPr>
              <w:sz w:val="24"/>
              <w:szCs w:val="24"/>
            </w:rPr>
            <w:instrText xml:space="preserve"> PAGEREF _Toc5648 \h </w:instrText>
          </w:r>
          <w:r>
            <w:rPr>
              <w:sz w:val="24"/>
              <w:szCs w:val="24"/>
            </w:rPr>
            <w:fldChar w:fldCharType="separate"/>
          </w:r>
          <w:r>
            <w:rPr>
              <w:sz w:val="24"/>
              <w:szCs w:val="24"/>
            </w:rPr>
            <w:t>21</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_Toc10328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3.</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水源及水平衡</w:t>
          </w:r>
          <w:r>
            <w:rPr>
              <w:sz w:val="24"/>
              <w:szCs w:val="24"/>
            </w:rPr>
            <w:tab/>
          </w:r>
          <w:r>
            <w:rPr>
              <w:sz w:val="24"/>
              <w:szCs w:val="24"/>
            </w:rPr>
            <w:fldChar w:fldCharType="begin"/>
          </w:r>
          <w:r>
            <w:rPr>
              <w:sz w:val="24"/>
              <w:szCs w:val="24"/>
            </w:rPr>
            <w:instrText xml:space="preserve"> PAGEREF _Toc10328 \h </w:instrText>
          </w:r>
          <w:r>
            <w:rPr>
              <w:sz w:val="24"/>
              <w:szCs w:val="24"/>
            </w:rPr>
            <w:fldChar w:fldCharType="separate"/>
          </w:r>
          <w:r>
            <w:rPr>
              <w:sz w:val="24"/>
              <w:szCs w:val="24"/>
            </w:rPr>
            <w:t>21</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_Toc10917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3.</w:t>
          </w:r>
          <w:r>
            <w:rPr>
              <w:rFonts w:hint="eastAsia"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rPr>
            <w:t>生产工艺</w:t>
          </w:r>
          <w:r>
            <w:rPr>
              <w:sz w:val="24"/>
              <w:szCs w:val="24"/>
            </w:rPr>
            <w:tab/>
          </w:r>
          <w:r>
            <w:rPr>
              <w:sz w:val="24"/>
              <w:szCs w:val="24"/>
            </w:rPr>
            <w:fldChar w:fldCharType="begin"/>
          </w:r>
          <w:r>
            <w:rPr>
              <w:sz w:val="24"/>
              <w:szCs w:val="24"/>
            </w:rPr>
            <w:instrText xml:space="preserve"> PAGEREF _Toc10917 \h </w:instrText>
          </w:r>
          <w:r>
            <w:rPr>
              <w:sz w:val="24"/>
              <w:szCs w:val="24"/>
            </w:rPr>
            <w:fldChar w:fldCharType="separate"/>
          </w:r>
          <w:r>
            <w:rPr>
              <w:sz w:val="24"/>
              <w:szCs w:val="24"/>
            </w:rPr>
            <w:t>25</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_Toc20866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3.</w:t>
          </w:r>
          <w:r>
            <w:rPr>
              <w:rFonts w:hint="eastAsia" w:ascii="Times New Roman" w:hAnsi="Times New Roman" w:eastAsia="宋体" w:cs="Times New Roman"/>
              <w:sz w:val="24"/>
              <w:szCs w:val="24"/>
              <w:lang w:val="en-US" w:eastAsia="zh-CN"/>
            </w:rPr>
            <w:t>7</w:t>
          </w:r>
          <w:r>
            <w:rPr>
              <w:rFonts w:hint="default" w:ascii="Times New Roman" w:hAnsi="Times New Roman" w:eastAsia="宋体" w:cs="Times New Roman"/>
              <w:sz w:val="24"/>
              <w:szCs w:val="24"/>
            </w:rPr>
            <w:t>项目变动情况</w:t>
          </w:r>
          <w:r>
            <w:rPr>
              <w:sz w:val="24"/>
              <w:szCs w:val="24"/>
            </w:rPr>
            <w:tab/>
          </w:r>
          <w:r>
            <w:rPr>
              <w:sz w:val="24"/>
              <w:szCs w:val="24"/>
            </w:rPr>
            <w:fldChar w:fldCharType="begin"/>
          </w:r>
          <w:r>
            <w:rPr>
              <w:sz w:val="24"/>
              <w:szCs w:val="24"/>
            </w:rPr>
            <w:instrText xml:space="preserve"> PAGEREF _Toc20866 \h </w:instrText>
          </w:r>
          <w:r>
            <w:rPr>
              <w:sz w:val="24"/>
              <w:szCs w:val="24"/>
            </w:rPr>
            <w:fldChar w:fldCharType="separate"/>
          </w:r>
          <w:r>
            <w:rPr>
              <w:sz w:val="24"/>
              <w:szCs w:val="24"/>
            </w:rPr>
            <w:t>33</w:t>
          </w:r>
          <w:r>
            <w:rPr>
              <w:sz w:val="24"/>
              <w:szCs w:val="24"/>
            </w:rPr>
            <w:fldChar w:fldCharType="end"/>
          </w:r>
          <w:r>
            <w:rPr>
              <w:rFonts w:hint="default" w:ascii="Times New Roman" w:hAnsi="Times New Roman" w:eastAsia="宋体" w:cs="Times New Roman"/>
              <w:bCs/>
              <w:sz w:val="24"/>
              <w:szCs w:val="24"/>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_Toc2068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4、环境保护设施</w:t>
          </w:r>
          <w:r>
            <w:rPr>
              <w:sz w:val="24"/>
              <w:szCs w:val="24"/>
            </w:rPr>
            <w:tab/>
          </w:r>
          <w:r>
            <w:rPr>
              <w:sz w:val="24"/>
              <w:szCs w:val="24"/>
            </w:rPr>
            <w:fldChar w:fldCharType="begin"/>
          </w:r>
          <w:r>
            <w:rPr>
              <w:sz w:val="24"/>
              <w:szCs w:val="24"/>
            </w:rPr>
            <w:instrText xml:space="preserve"> PAGEREF _Toc2068 \h </w:instrText>
          </w:r>
          <w:r>
            <w:rPr>
              <w:sz w:val="24"/>
              <w:szCs w:val="24"/>
            </w:rPr>
            <w:fldChar w:fldCharType="separate"/>
          </w:r>
          <w:r>
            <w:rPr>
              <w:sz w:val="24"/>
              <w:szCs w:val="24"/>
            </w:rPr>
            <w:t>36</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_Toc1427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4.1污染物治理/处置设施</w:t>
          </w:r>
          <w:r>
            <w:rPr>
              <w:sz w:val="24"/>
              <w:szCs w:val="24"/>
            </w:rPr>
            <w:tab/>
          </w:r>
          <w:r>
            <w:rPr>
              <w:sz w:val="24"/>
              <w:szCs w:val="24"/>
            </w:rPr>
            <w:fldChar w:fldCharType="begin"/>
          </w:r>
          <w:r>
            <w:rPr>
              <w:sz w:val="24"/>
              <w:szCs w:val="24"/>
            </w:rPr>
            <w:instrText xml:space="preserve"> PAGEREF _Toc1427 \h </w:instrText>
          </w:r>
          <w:r>
            <w:rPr>
              <w:sz w:val="24"/>
              <w:szCs w:val="24"/>
            </w:rPr>
            <w:fldChar w:fldCharType="separate"/>
          </w:r>
          <w:r>
            <w:rPr>
              <w:sz w:val="24"/>
              <w:szCs w:val="24"/>
            </w:rPr>
            <w:t>36</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_Toc357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4.2其他环保设施</w:t>
          </w:r>
          <w:r>
            <w:rPr>
              <w:sz w:val="24"/>
              <w:szCs w:val="24"/>
            </w:rPr>
            <w:tab/>
          </w:r>
          <w:r>
            <w:rPr>
              <w:sz w:val="24"/>
              <w:szCs w:val="24"/>
            </w:rPr>
            <w:fldChar w:fldCharType="begin"/>
          </w:r>
          <w:r>
            <w:rPr>
              <w:sz w:val="24"/>
              <w:szCs w:val="24"/>
            </w:rPr>
            <w:instrText xml:space="preserve"> PAGEREF _Toc357 \h </w:instrText>
          </w:r>
          <w:r>
            <w:rPr>
              <w:sz w:val="24"/>
              <w:szCs w:val="24"/>
            </w:rPr>
            <w:fldChar w:fldCharType="separate"/>
          </w:r>
          <w:r>
            <w:rPr>
              <w:sz w:val="24"/>
              <w:szCs w:val="24"/>
            </w:rPr>
            <w:t>41</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_Toc26926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4.3环保设施投资及“三同时”落实情况</w:t>
          </w:r>
          <w:r>
            <w:rPr>
              <w:sz w:val="24"/>
              <w:szCs w:val="24"/>
            </w:rPr>
            <w:tab/>
          </w:r>
          <w:r>
            <w:rPr>
              <w:sz w:val="24"/>
              <w:szCs w:val="24"/>
            </w:rPr>
            <w:fldChar w:fldCharType="begin"/>
          </w:r>
          <w:r>
            <w:rPr>
              <w:sz w:val="24"/>
              <w:szCs w:val="24"/>
            </w:rPr>
            <w:instrText xml:space="preserve"> PAGEREF _Toc26926 \h </w:instrText>
          </w:r>
          <w:r>
            <w:rPr>
              <w:sz w:val="24"/>
              <w:szCs w:val="24"/>
            </w:rPr>
            <w:fldChar w:fldCharType="separate"/>
          </w:r>
          <w:r>
            <w:rPr>
              <w:sz w:val="24"/>
              <w:szCs w:val="24"/>
            </w:rPr>
            <w:t>44</w:t>
          </w:r>
          <w:r>
            <w:rPr>
              <w:sz w:val="24"/>
              <w:szCs w:val="24"/>
            </w:rPr>
            <w:fldChar w:fldCharType="end"/>
          </w:r>
          <w:r>
            <w:rPr>
              <w:rFonts w:hint="default" w:ascii="Times New Roman" w:hAnsi="Times New Roman" w:eastAsia="宋体" w:cs="Times New Roman"/>
              <w:bCs/>
              <w:sz w:val="24"/>
              <w:szCs w:val="24"/>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_Toc14215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5、建设项目环评报告表的主要结论与建议及审批部门审批决定</w:t>
          </w:r>
          <w:r>
            <w:rPr>
              <w:sz w:val="24"/>
              <w:szCs w:val="24"/>
            </w:rPr>
            <w:tab/>
          </w:r>
          <w:r>
            <w:rPr>
              <w:sz w:val="24"/>
              <w:szCs w:val="24"/>
            </w:rPr>
            <w:fldChar w:fldCharType="begin"/>
          </w:r>
          <w:r>
            <w:rPr>
              <w:sz w:val="24"/>
              <w:szCs w:val="24"/>
            </w:rPr>
            <w:instrText xml:space="preserve"> PAGEREF _Toc14215 \h </w:instrText>
          </w:r>
          <w:r>
            <w:rPr>
              <w:sz w:val="24"/>
              <w:szCs w:val="24"/>
            </w:rPr>
            <w:fldChar w:fldCharType="separate"/>
          </w:r>
          <w:r>
            <w:rPr>
              <w:sz w:val="24"/>
              <w:szCs w:val="24"/>
            </w:rPr>
            <w:t>49</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_Toc13588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5.1建设项目环评报告书表的主要结论与建议</w:t>
          </w:r>
          <w:r>
            <w:rPr>
              <w:sz w:val="24"/>
              <w:szCs w:val="24"/>
            </w:rPr>
            <w:tab/>
          </w:r>
          <w:r>
            <w:rPr>
              <w:sz w:val="24"/>
              <w:szCs w:val="24"/>
            </w:rPr>
            <w:fldChar w:fldCharType="begin"/>
          </w:r>
          <w:r>
            <w:rPr>
              <w:sz w:val="24"/>
              <w:szCs w:val="24"/>
            </w:rPr>
            <w:instrText xml:space="preserve"> PAGEREF _Toc13588 \h </w:instrText>
          </w:r>
          <w:r>
            <w:rPr>
              <w:sz w:val="24"/>
              <w:szCs w:val="24"/>
            </w:rPr>
            <w:fldChar w:fldCharType="separate"/>
          </w:r>
          <w:r>
            <w:rPr>
              <w:sz w:val="24"/>
              <w:szCs w:val="24"/>
            </w:rPr>
            <w:t>49</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_Toc21908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5.2审批部门审批决定</w:t>
          </w:r>
          <w:r>
            <w:rPr>
              <w:sz w:val="24"/>
              <w:szCs w:val="24"/>
            </w:rPr>
            <w:tab/>
          </w:r>
          <w:r>
            <w:rPr>
              <w:sz w:val="24"/>
              <w:szCs w:val="24"/>
            </w:rPr>
            <w:fldChar w:fldCharType="begin"/>
          </w:r>
          <w:r>
            <w:rPr>
              <w:sz w:val="24"/>
              <w:szCs w:val="24"/>
            </w:rPr>
            <w:instrText xml:space="preserve"> PAGEREF _Toc21908 \h </w:instrText>
          </w:r>
          <w:r>
            <w:rPr>
              <w:sz w:val="24"/>
              <w:szCs w:val="24"/>
            </w:rPr>
            <w:fldChar w:fldCharType="separate"/>
          </w:r>
          <w:r>
            <w:rPr>
              <w:sz w:val="24"/>
              <w:szCs w:val="24"/>
            </w:rPr>
            <w:t>50</w:t>
          </w:r>
          <w:r>
            <w:rPr>
              <w:sz w:val="24"/>
              <w:szCs w:val="24"/>
            </w:rPr>
            <w:fldChar w:fldCharType="end"/>
          </w:r>
          <w:r>
            <w:rPr>
              <w:rFonts w:hint="default" w:ascii="Times New Roman" w:hAnsi="Times New Roman" w:eastAsia="宋体" w:cs="Times New Roman"/>
              <w:bCs/>
              <w:sz w:val="24"/>
              <w:szCs w:val="24"/>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_Toc28619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6、验收执行标准</w:t>
          </w:r>
          <w:r>
            <w:rPr>
              <w:sz w:val="24"/>
              <w:szCs w:val="24"/>
            </w:rPr>
            <w:tab/>
          </w:r>
          <w:r>
            <w:rPr>
              <w:sz w:val="24"/>
              <w:szCs w:val="24"/>
            </w:rPr>
            <w:fldChar w:fldCharType="begin"/>
          </w:r>
          <w:r>
            <w:rPr>
              <w:sz w:val="24"/>
              <w:szCs w:val="24"/>
            </w:rPr>
            <w:instrText xml:space="preserve"> PAGEREF _Toc28619 \h </w:instrText>
          </w:r>
          <w:r>
            <w:rPr>
              <w:sz w:val="24"/>
              <w:szCs w:val="24"/>
            </w:rPr>
            <w:fldChar w:fldCharType="separate"/>
          </w:r>
          <w:r>
            <w:rPr>
              <w:sz w:val="24"/>
              <w:szCs w:val="24"/>
            </w:rPr>
            <w:t>54</w:t>
          </w:r>
          <w:r>
            <w:rPr>
              <w:sz w:val="24"/>
              <w:szCs w:val="24"/>
            </w:rPr>
            <w:fldChar w:fldCharType="end"/>
          </w:r>
          <w:r>
            <w:rPr>
              <w:rFonts w:hint="default" w:ascii="Times New Roman" w:hAnsi="Times New Roman" w:eastAsia="宋体" w:cs="Times New Roman"/>
              <w:bCs/>
              <w:sz w:val="24"/>
              <w:szCs w:val="24"/>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_Toc6256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7、验收监测内容</w:t>
          </w:r>
          <w:r>
            <w:rPr>
              <w:sz w:val="24"/>
              <w:szCs w:val="24"/>
            </w:rPr>
            <w:tab/>
          </w:r>
          <w:r>
            <w:rPr>
              <w:sz w:val="24"/>
              <w:szCs w:val="24"/>
            </w:rPr>
            <w:fldChar w:fldCharType="begin"/>
          </w:r>
          <w:r>
            <w:rPr>
              <w:sz w:val="24"/>
              <w:szCs w:val="24"/>
            </w:rPr>
            <w:instrText xml:space="preserve"> PAGEREF _Toc6256 \h </w:instrText>
          </w:r>
          <w:r>
            <w:rPr>
              <w:sz w:val="24"/>
              <w:szCs w:val="24"/>
            </w:rPr>
            <w:fldChar w:fldCharType="separate"/>
          </w:r>
          <w:r>
            <w:rPr>
              <w:sz w:val="24"/>
              <w:szCs w:val="24"/>
            </w:rPr>
            <w:t>55</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_Toc14680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7.1环境保护设施调试效果</w:t>
          </w:r>
          <w:r>
            <w:rPr>
              <w:sz w:val="24"/>
              <w:szCs w:val="24"/>
            </w:rPr>
            <w:tab/>
          </w:r>
          <w:r>
            <w:rPr>
              <w:sz w:val="24"/>
              <w:szCs w:val="24"/>
            </w:rPr>
            <w:fldChar w:fldCharType="begin"/>
          </w:r>
          <w:r>
            <w:rPr>
              <w:sz w:val="24"/>
              <w:szCs w:val="24"/>
            </w:rPr>
            <w:instrText xml:space="preserve"> PAGEREF _Toc14680 \h </w:instrText>
          </w:r>
          <w:r>
            <w:rPr>
              <w:sz w:val="24"/>
              <w:szCs w:val="24"/>
            </w:rPr>
            <w:fldChar w:fldCharType="separate"/>
          </w:r>
          <w:r>
            <w:rPr>
              <w:sz w:val="24"/>
              <w:szCs w:val="24"/>
            </w:rPr>
            <w:t>55</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_Toc17420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7.2环境质量监测</w:t>
          </w:r>
          <w:r>
            <w:rPr>
              <w:sz w:val="24"/>
              <w:szCs w:val="24"/>
            </w:rPr>
            <w:tab/>
          </w:r>
          <w:r>
            <w:rPr>
              <w:sz w:val="24"/>
              <w:szCs w:val="24"/>
            </w:rPr>
            <w:fldChar w:fldCharType="begin"/>
          </w:r>
          <w:r>
            <w:rPr>
              <w:sz w:val="24"/>
              <w:szCs w:val="24"/>
            </w:rPr>
            <w:instrText xml:space="preserve"> PAGEREF _Toc17420 \h </w:instrText>
          </w:r>
          <w:r>
            <w:rPr>
              <w:sz w:val="24"/>
              <w:szCs w:val="24"/>
            </w:rPr>
            <w:fldChar w:fldCharType="separate"/>
          </w:r>
          <w:r>
            <w:rPr>
              <w:sz w:val="24"/>
              <w:szCs w:val="24"/>
            </w:rPr>
            <w:t>59</w:t>
          </w:r>
          <w:r>
            <w:rPr>
              <w:sz w:val="24"/>
              <w:szCs w:val="24"/>
            </w:rPr>
            <w:fldChar w:fldCharType="end"/>
          </w:r>
          <w:r>
            <w:rPr>
              <w:rFonts w:hint="default" w:ascii="Times New Roman" w:hAnsi="Times New Roman" w:eastAsia="宋体" w:cs="Times New Roman"/>
              <w:bCs/>
              <w:sz w:val="24"/>
              <w:szCs w:val="24"/>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_Toc25052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8、质量保证及质量控制</w:t>
          </w:r>
          <w:r>
            <w:rPr>
              <w:sz w:val="24"/>
              <w:szCs w:val="24"/>
            </w:rPr>
            <w:tab/>
          </w:r>
          <w:r>
            <w:rPr>
              <w:sz w:val="24"/>
              <w:szCs w:val="24"/>
            </w:rPr>
            <w:fldChar w:fldCharType="begin"/>
          </w:r>
          <w:r>
            <w:rPr>
              <w:sz w:val="24"/>
              <w:szCs w:val="24"/>
            </w:rPr>
            <w:instrText xml:space="preserve"> PAGEREF _Toc25052 \h </w:instrText>
          </w:r>
          <w:r>
            <w:rPr>
              <w:sz w:val="24"/>
              <w:szCs w:val="24"/>
            </w:rPr>
            <w:fldChar w:fldCharType="separate"/>
          </w:r>
          <w:r>
            <w:rPr>
              <w:sz w:val="24"/>
              <w:szCs w:val="24"/>
            </w:rPr>
            <w:t>60</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_Toc31764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8.1监测分析方法及监测仪器</w:t>
          </w:r>
          <w:r>
            <w:rPr>
              <w:sz w:val="24"/>
              <w:szCs w:val="24"/>
            </w:rPr>
            <w:tab/>
          </w:r>
          <w:r>
            <w:rPr>
              <w:sz w:val="24"/>
              <w:szCs w:val="24"/>
            </w:rPr>
            <w:fldChar w:fldCharType="begin"/>
          </w:r>
          <w:r>
            <w:rPr>
              <w:sz w:val="24"/>
              <w:szCs w:val="24"/>
            </w:rPr>
            <w:instrText xml:space="preserve"> PAGEREF _Toc31764 \h </w:instrText>
          </w:r>
          <w:r>
            <w:rPr>
              <w:sz w:val="24"/>
              <w:szCs w:val="24"/>
            </w:rPr>
            <w:fldChar w:fldCharType="separate"/>
          </w:r>
          <w:r>
            <w:rPr>
              <w:sz w:val="24"/>
              <w:szCs w:val="24"/>
            </w:rPr>
            <w:t>60</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_Toc2590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8.2人员资质</w:t>
          </w:r>
          <w:r>
            <w:rPr>
              <w:sz w:val="24"/>
              <w:szCs w:val="24"/>
            </w:rPr>
            <w:tab/>
          </w:r>
          <w:r>
            <w:rPr>
              <w:sz w:val="24"/>
              <w:szCs w:val="24"/>
            </w:rPr>
            <w:fldChar w:fldCharType="begin"/>
          </w:r>
          <w:r>
            <w:rPr>
              <w:sz w:val="24"/>
              <w:szCs w:val="24"/>
            </w:rPr>
            <w:instrText xml:space="preserve"> PAGEREF _Toc2590 \h </w:instrText>
          </w:r>
          <w:r>
            <w:rPr>
              <w:sz w:val="24"/>
              <w:szCs w:val="24"/>
            </w:rPr>
            <w:fldChar w:fldCharType="separate"/>
          </w:r>
          <w:r>
            <w:rPr>
              <w:sz w:val="24"/>
              <w:szCs w:val="24"/>
            </w:rPr>
            <w:t>61</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_Toc25310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8.3水质监测分析过程中的质量保证和质量控制</w:t>
          </w:r>
          <w:r>
            <w:rPr>
              <w:sz w:val="24"/>
              <w:szCs w:val="24"/>
            </w:rPr>
            <w:tab/>
          </w:r>
          <w:r>
            <w:rPr>
              <w:sz w:val="24"/>
              <w:szCs w:val="24"/>
            </w:rPr>
            <w:fldChar w:fldCharType="begin"/>
          </w:r>
          <w:r>
            <w:rPr>
              <w:sz w:val="24"/>
              <w:szCs w:val="24"/>
            </w:rPr>
            <w:instrText xml:space="preserve"> PAGEREF _Toc25310 \h </w:instrText>
          </w:r>
          <w:r>
            <w:rPr>
              <w:sz w:val="24"/>
              <w:szCs w:val="24"/>
            </w:rPr>
            <w:fldChar w:fldCharType="separate"/>
          </w:r>
          <w:r>
            <w:rPr>
              <w:sz w:val="24"/>
              <w:szCs w:val="24"/>
            </w:rPr>
            <w:t>62</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_Toc17722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8.4气体监测分析过程中的质量保证和质量控制</w:t>
          </w:r>
          <w:r>
            <w:rPr>
              <w:sz w:val="24"/>
              <w:szCs w:val="24"/>
            </w:rPr>
            <w:tab/>
          </w:r>
          <w:r>
            <w:rPr>
              <w:sz w:val="24"/>
              <w:szCs w:val="24"/>
            </w:rPr>
            <w:fldChar w:fldCharType="begin"/>
          </w:r>
          <w:r>
            <w:rPr>
              <w:sz w:val="24"/>
              <w:szCs w:val="24"/>
            </w:rPr>
            <w:instrText xml:space="preserve"> PAGEREF _Toc17722 \h </w:instrText>
          </w:r>
          <w:r>
            <w:rPr>
              <w:sz w:val="24"/>
              <w:szCs w:val="24"/>
            </w:rPr>
            <w:fldChar w:fldCharType="separate"/>
          </w:r>
          <w:r>
            <w:rPr>
              <w:sz w:val="24"/>
              <w:szCs w:val="24"/>
            </w:rPr>
            <w:t>62</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_Toc14526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8.5噪声监测分析过程中的质量保证和质量控制</w:t>
          </w:r>
          <w:r>
            <w:rPr>
              <w:sz w:val="24"/>
              <w:szCs w:val="24"/>
            </w:rPr>
            <w:tab/>
          </w:r>
          <w:r>
            <w:rPr>
              <w:sz w:val="24"/>
              <w:szCs w:val="24"/>
            </w:rPr>
            <w:fldChar w:fldCharType="begin"/>
          </w:r>
          <w:r>
            <w:rPr>
              <w:sz w:val="24"/>
              <w:szCs w:val="24"/>
            </w:rPr>
            <w:instrText xml:space="preserve"> PAGEREF _Toc14526 \h </w:instrText>
          </w:r>
          <w:r>
            <w:rPr>
              <w:sz w:val="24"/>
              <w:szCs w:val="24"/>
            </w:rPr>
            <w:fldChar w:fldCharType="separate"/>
          </w:r>
          <w:r>
            <w:rPr>
              <w:sz w:val="24"/>
              <w:szCs w:val="24"/>
            </w:rPr>
            <w:t>62</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_Toc11547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8.6固体废物监测分析过程中的质量保证和质量控制</w:t>
          </w:r>
          <w:r>
            <w:rPr>
              <w:sz w:val="24"/>
              <w:szCs w:val="24"/>
            </w:rPr>
            <w:tab/>
          </w:r>
          <w:r>
            <w:rPr>
              <w:sz w:val="24"/>
              <w:szCs w:val="24"/>
            </w:rPr>
            <w:fldChar w:fldCharType="begin"/>
          </w:r>
          <w:r>
            <w:rPr>
              <w:sz w:val="24"/>
              <w:szCs w:val="24"/>
            </w:rPr>
            <w:instrText xml:space="preserve"> PAGEREF _Toc11547 \h </w:instrText>
          </w:r>
          <w:r>
            <w:rPr>
              <w:sz w:val="24"/>
              <w:szCs w:val="24"/>
            </w:rPr>
            <w:fldChar w:fldCharType="separate"/>
          </w:r>
          <w:r>
            <w:rPr>
              <w:sz w:val="24"/>
              <w:szCs w:val="24"/>
            </w:rPr>
            <w:t>63</w:t>
          </w:r>
          <w:r>
            <w:rPr>
              <w:sz w:val="24"/>
              <w:szCs w:val="24"/>
            </w:rPr>
            <w:fldChar w:fldCharType="end"/>
          </w:r>
          <w:r>
            <w:rPr>
              <w:rFonts w:hint="default" w:ascii="Times New Roman" w:hAnsi="Times New Roman" w:eastAsia="宋体" w:cs="Times New Roman"/>
              <w:bCs/>
              <w:sz w:val="24"/>
              <w:szCs w:val="24"/>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_Toc18235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9、验收监测结果</w:t>
          </w:r>
          <w:r>
            <w:rPr>
              <w:sz w:val="24"/>
              <w:szCs w:val="24"/>
            </w:rPr>
            <w:tab/>
          </w:r>
          <w:r>
            <w:rPr>
              <w:sz w:val="24"/>
              <w:szCs w:val="24"/>
            </w:rPr>
            <w:fldChar w:fldCharType="begin"/>
          </w:r>
          <w:r>
            <w:rPr>
              <w:sz w:val="24"/>
              <w:szCs w:val="24"/>
            </w:rPr>
            <w:instrText xml:space="preserve"> PAGEREF _Toc18235 \h </w:instrText>
          </w:r>
          <w:r>
            <w:rPr>
              <w:sz w:val="24"/>
              <w:szCs w:val="24"/>
            </w:rPr>
            <w:fldChar w:fldCharType="separate"/>
          </w:r>
          <w:r>
            <w:rPr>
              <w:sz w:val="24"/>
              <w:szCs w:val="24"/>
            </w:rPr>
            <w:t>64</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_Toc10084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9.1生产工况</w:t>
          </w:r>
          <w:r>
            <w:rPr>
              <w:sz w:val="24"/>
              <w:szCs w:val="24"/>
            </w:rPr>
            <w:tab/>
          </w:r>
          <w:r>
            <w:rPr>
              <w:sz w:val="24"/>
              <w:szCs w:val="24"/>
            </w:rPr>
            <w:fldChar w:fldCharType="begin"/>
          </w:r>
          <w:r>
            <w:rPr>
              <w:sz w:val="24"/>
              <w:szCs w:val="24"/>
            </w:rPr>
            <w:instrText xml:space="preserve"> PAGEREF _Toc10084 \h </w:instrText>
          </w:r>
          <w:r>
            <w:rPr>
              <w:sz w:val="24"/>
              <w:szCs w:val="24"/>
            </w:rPr>
            <w:fldChar w:fldCharType="separate"/>
          </w:r>
          <w:r>
            <w:rPr>
              <w:sz w:val="24"/>
              <w:szCs w:val="24"/>
            </w:rPr>
            <w:t>64</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_Toc32444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9.2环保设施调试运行效果</w:t>
          </w:r>
          <w:r>
            <w:rPr>
              <w:sz w:val="24"/>
              <w:szCs w:val="24"/>
            </w:rPr>
            <w:tab/>
          </w:r>
          <w:r>
            <w:rPr>
              <w:sz w:val="24"/>
              <w:szCs w:val="24"/>
            </w:rPr>
            <w:fldChar w:fldCharType="begin"/>
          </w:r>
          <w:r>
            <w:rPr>
              <w:sz w:val="24"/>
              <w:szCs w:val="24"/>
            </w:rPr>
            <w:instrText xml:space="preserve"> PAGEREF _Toc32444 \h </w:instrText>
          </w:r>
          <w:r>
            <w:rPr>
              <w:sz w:val="24"/>
              <w:szCs w:val="24"/>
            </w:rPr>
            <w:fldChar w:fldCharType="separate"/>
          </w:r>
          <w:r>
            <w:rPr>
              <w:sz w:val="24"/>
              <w:szCs w:val="24"/>
            </w:rPr>
            <w:t>65</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_Toc18159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9.3工程建设对环境的影响</w:t>
          </w:r>
          <w:r>
            <w:rPr>
              <w:sz w:val="24"/>
              <w:szCs w:val="24"/>
            </w:rPr>
            <w:tab/>
          </w:r>
          <w:r>
            <w:rPr>
              <w:sz w:val="24"/>
              <w:szCs w:val="24"/>
            </w:rPr>
            <w:fldChar w:fldCharType="begin"/>
          </w:r>
          <w:r>
            <w:rPr>
              <w:sz w:val="24"/>
              <w:szCs w:val="24"/>
            </w:rPr>
            <w:instrText xml:space="preserve"> PAGEREF _Toc18159 \h </w:instrText>
          </w:r>
          <w:r>
            <w:rPr>
              <w:sz w:val="24"/>
              <w:szCs w:val="24"/>
            </w:rPr>
            <w:fldChar w:fldCharType="separate"/>
          </w:r>
          <w:r>
            <w:rPr>
              <w:sz w:val="24"/>
              <w:szCs w:val="24"/>
            </w:rPr>
            <w:t>76</w:t>
          </w:r>
          <w:r>
            <w:rPr>
              <w:sz w:val="24"/>
              <w:szCs w:val="24"/>
            </w:rPr>
            <w:fldChar w:fldCharType="end"/>
          </w:r>
          <w:r>
            <w:rPr>
              <w:rFonts w:hint="default" w:ascii="Times New Roman" w:hAnsi="Times New Roman" w:eastAsia="宋体" w:cs="Times New Roman"/>
              <w:bCs/>
              <w:sz w:val="24"/>
              <w:szCs w:val="24"/>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_Toc8853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10、验收监测结论</w:t>
          </w:r>
          <w:r>
            <w:rPr>
              <w:sz w:val="24"/>
              <w:szCs w:val="24"/>
            </w:rPr>
            <w:tab/>
          </w:r>
          <w:r>
            <w:rPr>
              <w:sz w:val="24"/>
              <w:szCs w:val="24"/>
            </w:rPr>
            <w:fldChar w:fldCharType="begin"/>
          </w:r>
          <w:r>
            <w:rPr>
              <w:sz w:val="24"/>
              <w:szCs w:val="24"/>
            </w:rPr>
            <w:instrText xml:space="preserve"> PAGEREF _Toc8853 \h </w:instrText>
          </w:r>
          <w:r>
            <w:rPr>
              <w:sz w:val="24"/>
              <w:szCs w:val="24"/>
            </w:rPr>
            <w:fldChar w:fldCharType="separate"/>
          </w:r>
          <w:r>
            <w:rPr>
              <w:sz w:val="24"/>
              <w:szCs w:val="24"/>
            </w:rPr>
            <w:t>77</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_Toc22038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10.1环境保护设施调试效果</w:t>
          </w:r>
          <w:r>
            <w:rPr>
              <w:sz w:val="24"/>
              <w:szCs w:val="24"/>
            </w:rPr>
            <w:tab/>
          </w:r>
          <w:r>
            <w:rPr>
              <w:sz w:val="24"/>
              <w:szCs w:val="24"/>
            </w:rPr>
            <w:fldChar w:fldCharType="begin"/>
          </w:r>
          <w:r>
            <w:rPr>
              <w:sz w:val="24"/>
              <w:szCs w:val="24"/>
            </w:rPr>
            <w:instrText xml:space="preserve"> PAGEREF _Toc22038 \h </w:instrText>
          </w:r>
          <w:r>
            <w:rPr>
              <w:sz w:val="24"/>
              <w:szCs w:val="24"/>
            </w:rPr>
            <w:fldChar w:fldCharType="separate"/>
          </w:r>
          <w:r>
            <w:rPr>
              <w:sz w:val="24"/>
              <w:szCs w:val="24"/>
            </w:rPr>
            <w:t>77</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_Toc32426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10.2建议</w:t>
          </w:r>
          <w:r>
            <w:rPr>
              <w:sz w:val="24"/>
              <w:szCs w:val="24"/>
            </w:rPr>
            <w:tab/>
          </w:r>
          <w:r>
            <w:rPr>
              <w:sz w:val="24"/>
              <w:szCs w:val="24"/>
            </w:rPr>
            <w:fldChar w:fldCharType="begin"/>
          </w:r>
          <w:r>
            <w:rPr>
              <w:sz w:val="24"/>
              <w:szCs w:val="24"/>
            </w:rPr>
            <w:instrText xml:space="preserve"> PAGEREF _Toc32426 \h </w:instrText>
          </w:r>
          <w:r>
            <w:rPr>
              <w:sz w:val="24"/>
              <w:szCs w:val="24"/>
            </w:rPr>
            <w:fldChar w:fldCharType="separate"/>
          </w:r>
          <w:r>
            <w:rPr>
              <w:sz w:val="24"/>
              <w:szCs w:val="24"/>
            </w:rPr>
            <w:t>78</w:t>
          </w:r>
          <w:r>
            <w:rPr>
              <w:sz w:val="24"/>
              <w:szCs w:val="24"/>
            </w:rPr>
            <w:fldChar w:fldCharType="end"/>
          </w:r>
          <w:r>
            <w:rPr>
              <w:rFonts w:hint="default" w:ascii="Times New Roman" w:hAnsi="Times New Roman" w:eastAsia="宋体" w:cs="Times New Roman"/>
              <w:bCs/>
              <w:sz w:val="24"/>
              <w:szCs w:val="24"/>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_Toc14424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11、建设项目竣工环境保护“三同时”验收登记表</w:t>
          </w:r>
          <w:r>
            <w:rPr>
              <w:sz w:val="24"/>
              <w:szCs w:val="24"/>
            </w:rPr>
            <w:tab/>
          </w:r>
          <w:r>
            <w:rPr>
              <w:sz w:val="24"/>
              <w:szCs w:val="24"/>
            </w:rPr>
            <w:fldChar w:fldCharType="begin"/>
          </w:r>
          <w:r>
            <w:rPr>
              <w:sz w:val="24"/>
              <w:szCs w:val="24"/>
            </w:rPr>
            <w:instrText xml:space="preserve"> PAGEREF _Toc14424 \h </w:instrText>
          </w:r>
          <w:r>
            <w:rPr>
              <w:sz w:val="24"/>
              <w:szCs w:val="24"/>
            </w:rPr>
            <w:fldChar w:fldCharType="separate"/>
          </w:r>
          <w:r>
            <w:rPr>
              <w:sz w:val="24"/>
              <w:szCs w:val="24"/>
            </w:rPr>
            <w:t>79</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_Toc15105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附件1：</w:t>
          </w:r>
          <w:r>
            <w:rPr>
              <w:rFonts w:hint="eastAsia" w:ascii="Times New Roman" w:hAnsi="Times New Roman" w:eastAsia="宋体" w:cs="Times New Roman"/>
              <w:sz w:val="24"/>
              <w:szCs w:val="24"/>
              <w:lang w:val="en-US" w:eastAsia="zh-CN"/>
            </w:rPr>
            <w:t>委托书</w:t>
          </w:r>
          <w:r>
            <w:rPr>
              <w:sz w:val="24"/>
              <w:szCs w:val="24"/>
            </w:rPr>
            <w:tab/>
          </w:r>
          <w:r>
            <w:rPr>
              <w:sz w:val="24"/>
              <w:szCs w:val="24"/>
            </w:rPr>
            <w:fldChar w:fldCharType="begin"/>
          </w:r>
          <w:r>
            <w:rPr>
              <w:sz w:val="24"/>
              <w:szCs w:val="24"/>
            </w:rPr>
            <w:instrText xml:space="preserve"> PAGEREF _Toc15105 \h </w:instrText>
          </w:r>
          <w:r>
            <w:rPr>
              <w:sz w:val="24"/>
              <w:szCs w:val="24"/>
            </w:rPr>
            <w:fldChar w:fldCharType="separate"/>
          </w:r>
          <w:r>
            <w:rPr>
              <w:sz w:val="24"/>
              <w:szCs w:val="24"/>
            </w:rPr>
            <w:t>81</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_Toc1565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附件</w:t>
          </w: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rPr>
            <w:t>：营业执照</w:t>
          </w:r>
          <w:r>
            <w:rPr>
              <w:sz w:val="24"/>
              <w:szCs w:val="24"/>
            </w:rPr>
            <w:tab/>
          </w:r>
          <w:r>
            <w:rPr>
              <w:sz w:val="24"/>
              <w:szCs w:val="24"/>
            </w:rPr>
            <w:fldChar w:fldCharType="begin"/>
          </w:r>
          <w:r>
            <w:rPr>
              <w:sz w:val="24"/>
              <w:szCs w:val="24"/>
            </w:rPr>
            <w:instrText xml:space="preserve"> PAGEREF _Toc1565 \h </w:instrText>
          </w:r>
          <w:r>
            <w:rPr>
              <w:sz w:val="24"/>
              <w:szCs w:val="24"/>
            </w:rPr>
            <w:fldChar w:fldCharType="separate"/>
          </w:r>
          <w:r>
            <w:rPr>
              <w:sz w:val="24"/>
              <w:szCs w:val="24"/>
            </w:rPr>
            <w:t>82</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_Toc17651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附件</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总量确认书</w:t>
          </w:r>
          <w:r>
            <w:rPr>
              <w:sz w:val="24"/>
              <w:szCs w:val="24"/>
            </w:rPr>
            <w:tab/>
          </w:r>
          <w:r>
            <w:rPr>
              <w:sz w:val="24"/>
              <w:szCs w:val="24"/>
            </w:rPr>
            <w:fldChar w:fldCharType="begin"/>
          </w:r>
          <w:r>
            <w:rPr>
              <w:sz w:val="24"/>
              <w:szCs w:val="24"/>
            </w:rPr>
            <w:instrText xml:space="preserve"> PAGEREF _Toc17651 \h </w:instrText>
          </w:r>
          <w:r>
            <w:rPr>
              <w:sz w:val="24"/>
              <w:szCs w:val="24"/>
            </w:rPr>
            <w:fldChar w:fldCharType="separate"/>
          </w:r>
          <w:r>
            <w:rPr>
              <w:sz w:val="24"/>
              <w:szCs w:val="24"/>
            </w:rPr>
            <w:t>83</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_Toc7077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附件</w:t>
          </w:r>
          <w:r>
            <w:rPr>
              <w:rFonts w:hint="eastAsia"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总量确认书</w:t>
          </w:r>
          <w:r>
            <w:rPr>
              <w:rFonts w:hint="default" w:ascii="Times New Roman" w:hAnsi="Times New Roman" w:eastAsia="宋体" w:cs="Times New Roman"/>
              <w:sz w:val="24"/>
              <w:szCs w:val="24"/>
            </w:rPr>
            <w:t>环评批复</w:t>
          </w:r>
          <w:r>
            <w:rPr>
              <w:sz w:val="24"/>
              <w:szCs w:val="24"/>
            </w:rPr>
            <w:tab/>
          </w:r>
          <w:r>
            <w:rPr>
              <w:sz w:val="24"/>
              <w:szCs w:val="24"/>
            </w:rPr>
            <w:fldChar w:fldCharType="begin"/>
          </w:r>
          <w:r>
            <w:rPr>
              <w:sz w:val="24"/>
              <w:szCs w:val="24"/>
            </w:rPr>
            <w:instrText xml:space="preserve"> PAGEREF _Toc7077 \h </w:instrText>
          </w:r>
          <w:r>
            <w:rPr>
              <w:sz w:val="24"/>
              <w:szCs w:val="24"/>
            </w:rPr>
            <w:fldChar w:fldCharType="separate"/>
          </w:r>
          <w:r>
            <w:rPr>
              <w:sz w:val="24"/>
              <w:szCs w:val="24"/>
            </w:rPr>
            <w:t>88</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_Toc17120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附件</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备案证明</w:t>
          </w:r>
          <w:r>
            <w:rPr>
              <w:sz w:val="24"/>
              <w:szCs w:val="24"/>
            </w:rPr>
            <w:tab/>
          </w:r>
          <w:r>
            <w:rPr>
              <w:sz w:val="24"/>
              <w:szCs w:val="24"/>
            </w:rPr>
            <w:fldChar w:fldCharType="begin"/>
          </w:r>
          <w:r>
            <w:rPr>
              <w:sz w:val="24"/>
              <w:szCs w:val="24"/>
            </w:rPr>
            <w:instrText xml:space="preserve"> PAGEREF _Toc17120 \h </w:instrText>
          </w:r>
          <w:r>
            <w:rPr>
              <w:sz w:val="24"/>
              <w:szCs w:val="24"/>
            </w:rPr>
            <w:fldChar w:fldCharType="separate"/>
          </w:r>
          <w:r>
            <w:rPr>
              <w:sz w:val="24"/>
              <w:szCs w:val="24"/>
            </w:rPr>
            <w:t>93</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_Toc23657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附件</w:t>
          </w:r>
          <w:r>
            <w:rPr>
              <w:rFonts w:hint="eastAsia"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应急预案备案表</w:t>
          </w:r>
          <w:r>
            <w:rPr>
              <w:sz w:val="24"/>
              <w:szCs w:val="24"/>
            </w:rPr>
            <w:tab/>
          </w:r>
          <w:r>
            <w:rPr>
              <w:sz w:val="24"/>
              <w:szCs w:val="24"/>
            </w:rPr>
            <w:fldChar w:fldCharType="begin"/>
          </w:r>
          <w:r>
            <w:rPr>
              <w:sz w:val="24"/>
              <w:szCs w:val="24"/>
            </w:rPr>
            <w:instrText xml:space="preserve"> PAGEREF _Toc23657 \h </w:instrText>
          </w:r>
          <w:r>
            <w:rPr>
              <w:sz w:val="24"/>
              <w:szCs w:val="24"/>
            </w:rPr>
            <w:fldChar w:fldCharType="separate"/>
          </w:r>
          <w:r>
            <w:rPr>
              <w:sz w:val="24"/>
              <w:szCs w:val="24"/>
            </w:rPr>
            <w:t>94</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_Toc28308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附件</w:t>
          </w:r>
          <w:r>
            <w:rPr>
              <w:rFonts w:hint="eastAsia" w:ascii="Times New Roman" w:hAnsi="Times New Roman" w:eastAsia="宋体" w:cs="Times New Roman"/>
              <w:sz w:val="24"/>
              <w:szCs w:val="24"/>
              <w:lang w:val="en-US" w:eastAsia="zh-CN"/>
            </w:rPr>
            <w:t>7</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排污许可证</w:t>
          </w:r>
          <w:r>
            <w:rPr>
              <w:sz w:val="24"/>
              <w:szCs w:val="24"/>
            </w:rPr>
            <w:tab/>
          </w:r>
          <w:r>
            <w:rPr>
              <w:sz w:val="24"/>
              <w:szCs w:val="24"/>
            </w:rPr>
            <w:fldChar w:fldCharType="begin"/>
          </w:r>
          <w:r>
            <w:rPr>
              <w:sz w:val="24"/>
              <w:szCs w:val="24"/>
            </w:rPr>
            <w:instrText xml:space="preserve"> PAGEREF _Toc28308 \h </w:instrText>
          </w:r>
          <w:r>
            <w:rPr>
              <w:sz w:val="24"/>
              <w:szCs w:val="24"/>
            </w:rPr>
            <w:fldChar w:fldCharType="separate"/>
          </w:r>
          <w:r>
            <w:rPr>
              <w:sz w:val="24"/>
              <w:szCs w:val="24"/>
            </w:rPr>
            <w:t>96</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_Toc13934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附件</w:t>
          </w:r>
          <w:r>
            <w:rPr>
              <w:rFonts w:hint="eastAsia" w:ascii="Times New Roman" w:hAnsi="Times New Roman" w:eastAsia="宋体" w:cs="Times New Roman"/>
              <w:sz w:val="24"/>
              <w:szCs w:val="24"/>
              <w:lang w:val="en-US" w:eastAsia="zh-CN"/>
            </w:rPr>
            <w:t>8</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危废转运协议</w:t>
          </w:r>
          <w:r>
            <w:rPr>
              <w:sz w:val="24"/>
              <w:szCs w:val="24"/>
            </w:rPr>
            <w:tab/>
          </w:r>
          <w:r>
            <w:rPr>
              <w:sz w:val="24"/>
              <w:szCs w:val="24"/>
            </w:rPr>
            <w:fldChar w:fldCharType="begin"/>
          </w:r>
          <w:r>
            <w:rPr>
              <w:sz w:val="24"/>
              <w:szCs w:val="24"/>
            </w:rPr>
            <w:instrText xml:space="preserve"> PAGEREF _Toc13934 \h </w:instrText>
          </w:r>
          <w:r>
            <w:rPr>
              <w:sz w:val="24"/>
              <w:szCs w:val="24"/>
            </w:rPr>
            <w:fldChar w:fldCharType="separate"/>
          </w:r>
          <w:r>
            <w:rPr>
              <w:sz w:val="24"/>
              <w:szCs w:val="24"/>
            </w:rPr>
            <w:t>97</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_Toc21438 </w:instrText>
          </w:r>
          <w:r>
            <w:rPr>
              <w:rFonts w:hint="default" w:ascii="Times New Roman" w:hAnsi="Times New Roman" w:eastAsia="宋体" w:cs="Times New Roman"/>
              <w:bCs/>
              <w:sz w:val="24"/>
              <w:szCs w:val="24"/>
            </w:rPr>
            <w:fldChar w:fldCharType="separate"/>
          </w:r>
          <w:r>
            <w:rPr>
              <w:rFonts w:hint="eastAsia" w:ascii="Times New Roman" w:hAnsi="Times New Roman" w:eastAsia="宋体" w:cs="Times New Roman"/>
              <w:sz w:val="24"/>
              <w:szCs w:val="24"/>
              <w:lang w:val="en-US" w:eastAsia="zh-CN"/>
            </w:rPr>
            <w:t>附件9：污水接纳处理协议</w:t>
          </w:r>
          <w:r>
            <w:rPr>
              <w:sz w:val="24"/>
              <w:szCs w:val="24"/>
            </w:rPr>
            <w:tab/>
          </w:r>
          <w:r>
            <w:rPr>
              <w:sz w:val="24"/>
              <w:szCs w:val="24"/>
            </w:rPr>
            <w:fldChar w:fldCharType="begin"/>
          </w:r>
          <w:r>
            <w:rPr>
              <w:sz w:val="24"/>
              <w:szCs w:val="24"/>
            </w:rPr>
            <w:instrText xml:space="preserve"> PAGEREF _Toc21438 \h </w:instrText>
          </w:r>
          <w:r>
            <w:rPr>
              <w:sz w:val="24"/>
              <w:szCs w:val="24"/>
            </w:rPr>
            <w:fldChar w:fldCharType="separate"/>
          </w:r>
          <w:r>
            <w:rPr>
              <w:sz w:val="24"/>
              <w:szCs w:val="24"/>
            </w:rPr>
            <w:t>104</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_Toc3428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lang w:val="en-US" w:eastAsia="zh-CN"/>
            </w:rPr>
            <w:t>附件</w:t>
          </w:r>
          <w:r>
            <w:rPr>
              <w:rFonts w:hint="eastAsia" w:ascii="Times New Roman" w:hAnsi="Times New Roman" w:eastAsia="宋体" w:cs="Times New Roman"/>
              <w:sz w:val="24"/>
              <w:szCs w:val="24"/>
              <w:lang w:val="en-US" w:eastAsia="zh-CN"/>
            </w:rPr>
            <w:t>10</w:t>
          </w:r>
          <w:r>
            <w:rPr>
              <w:rFonts w:hint="default" w:ascii="Times New Roman" w:hAnsi="Times New Roman" w:eastAsia="宋体" w:cs="Times New Roman"/>
              <w:sz w:val="24"/>
              <w:szCs w:val="24"/>
              <w:lang w:val="en-US" w:eastAsia="zh-CN"/>
            </w:rPr>
            <w:t>：监测报告</w:t>
          </w:r>
          <w:r>
            <w:rPr>
              <w:sz w:val="24"/>
              <w:szCs w:val="24"/>
            </w:rPr>
            <w:tab/>
          </w:r>
          <w:r>
            <w:rPr>
              <w:sz w:val="24"/>
              <w:szCs w:val="24"/>
            </w:rPr>
            <w:fldChar w:fldCharType="begin"/>
          </w:r>
          <w:r>
            <w:rPr>
              <w:sz w:val="24"/>
              <w:szCs w:val="24"/>
            </w:rPr>
            <w:instrText xml:space="preserve"> PAGEREF _Toc3428 \h </w:instrText>
          </w:r>
          <w:r>
            <w:rPr>
              <w:sz w:val="24"/>
              <w:szCs w:val="24"/>
            </w:rPr>
            <w:fldChar w:fldCharType="separate"/>
          </w:r>
          <w:r>
            <w:rPr>
              <w:sz w:val="24"/>
              <w:szCs w:val="24"/>
            </w:rPr>
            <w:t>112</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_Toc6947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附件</w:t>
          </w:r>
          <w:r>
            <w:rPr>
              <w:rFonts w:hint="eastAsia" w:ascii="Times New Roman" w:hAnsi="Times New Roman" w:eastAsia="宋体" w:cs="Times New Roman"/>
              <w:sz w:val="24"/>
              <w:szCs w:val="24"/>
              <w:lang w:val="en-US" w:eastAsia="zh-CN"/>
            </w:rPr>
            <w:t>11</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环保设施竣工公示</w:t>
          </w:r>
          <w:r>
            <w:rPr>
              <w:sz w:val="24"/>
              <w:szCs w:val="24"/>
            </w:rPr>
            <w:tab/>
          </w:r>
          <w:r>
            <w:rPr>
              <w:sz w:val="24"/>
              <w:szCs w:val="24"/>
            </w:rPr>
            <w:fldChar w:fldCharType="begin"/>
          </w:r>
          <w:r>
            <w:rPr>
              <w:sz w:val="24"/>
              <w:szCs w:val="24"/>
            </w:rPr>
            <w:instrText xml:space="preserve"> PAGEREF _Toc6947 \h </w:instrText>
          </w:r>
          <w:r>
            <w:rPr>
              <w:sz w:val="24"/>
              <w:szCs w:val="24"/>
            </w:rPr>
            <w:fldChar w:fldCharType="separate"/>
          </w:r>
          <w:r>
            <w:rPr>
              <w:sz w:val="24"/>
              <w:szCs w:val="24"/>
            </w:rPr>
            <w:t>130</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306"/>
            </w:tabs>
            <w:kinsoku/>
            <w:wordWrap/>
            <w:overflowPunct/>
            <w:topLinePunct w:val="0"/>
            <w:autoSpaceDE/>
            <w:autoSpaceDN/>
            <w:bidi w:val="0"/>
            <w:adjustRightInd/>
            <w:ind w:left="0" w:leftChars="0"/>
            <w:textAlignment w:val="auto"/>
            <w:rPr>
              <w:sz w:val="24"/>
              <w:szCs w:val="24"/>
            </w:rPr>
          </w:pPr>
          <w:r>
            <w:rPr>
              <w:rFonts w:hint="default" w:ascii="Times New Roman" w:hAnsi="Times New Roman" w:eastAsia="宋体" w:cs="Times New Roman"/>
              <w:bCs/>
              <w:sz w:val="24"/>
              <w:szCs w:val="24"/>
            </w:rPr>
            <w:fldChar w:fldCharType="begin"/>
          </w:r>
          <w:r>
            <w:rPr>
              <w:rFonts w:hint="default" w:ascii="Times New Roman" w:hAnsi="Times New Roman" w:eastAsia="宋体" w:cs="Times New Roman"/>
              <w:bCs/>
              <w:sz w:val="24"/>
              <w:szCs w:val="24"/>
            </w:rPr>
            <w:instrText xml:space="preserve"> HYPERLINK \l _Toc13187 </w:instrText>
          </w:r>
          <w:r>
            <w:rPr>
              <w:rFonts w:hint="default" w:ascii="Times New Roman" w:hAnsi="Times New Roman" w:eastAsia="宋体" w:cs="Times New Roman"/>
              <w:bCs/>
              <w:sz w:val="24"/>
              <w:szCs w:val="24"/>
            </w:rPr>
            <w:fldChar w:fldCharType="separate"/>
          </w:r>
          <w:r>
            <w:rPr>
              <w:rFonts w:hint="default" w:ascii="Times New Roman" w:hAnsi="Times New Roman" w:eastAsia="宋体" w:cs="Times New Roman"/>
              <w:sz w:val="24"/>
              <w:szCs w:val="24"/>
            </w:rPr>
            <w:t>附件</w:t>
          </w:r>
          <w:r>
            <w:rPr>
              <w:rFonts w:hint="eastAsia" w:ascii="Times New Roman" w:hAnsi="Times New Roman" w:eastAsia="宋体" w:cs="Times New Roman"/>
              <w:sz w:val="24"/>
              <w:szCs w:val="24"/>
              <w:lang w:val="en-US" w:eastAsia="zh-CN"/>
            </w:rPr>
            <w:t>12</w:t>
          </w:r>
          <w:r>
            <w:rPr>
              <w:rFonts w:hint="default" w:ascii="Times New Roman" w:hAnsi="Times New Roman" w:eastAsia="宋体" w:cs="Times New Roman"/>
              <w:sz w:val="24"/>
              <w:szCs w:val="24"/>
            </w:rPr>
            <w:t>：</w:t>
          </w:r>
          <w:r>
            <w:rPr>
              <w:rFonts w:hint="eastAsia" w:ascii="Times New Roman" w:hAnsi="Times New Roman" w:eastAsia="宋体" w:cs="Times New Roman"/>
              <w:sz w:val="24"/>
              <w:szCs w:val="24"/>
              <w:lang w:val="en-US" w:eastAsia="zh-CN"/>
            </w:rPr>
            <w:t>环保设施调试公示</w:t>
          </w:r>
          <w:r>
            <w:rPr>
              <w:sz w:val="24"/>
              <w:szCs w:val="24"/>
            </w:rPr>
            <w:tab/>
          </w:r>
          <w:r>
            <w:rPr>
              <w:sz w:val="24"/>
              <w:szCs w:val="24"/>
            </w:rPr>
            <w:fldChar w:fldCharType="begin"/>
          </w:r>
          <w:r>
            <w:rPr>
              <w:sz w:val="24"/>
              <w:szCs w:val="24"/>
            </w:rPr>
            <w:instrText xml:space="preserve"> PAGEREF _Toc13187 \h </w:instrText>
          </w:r>
          <w:r>
            <w:rPr>
              <w:sz w:val="24"/>
              <w:szCs w:val="24"/>
            </w:rPr>
            <w:fldChar w:fldCharType="separate"/>
          </w:r>
          <w:r>
            <w:rPr>
              <w:sz w:val="24"/>
              <w:szCs w:val="24"/>
            </w:rPr>
            <w:t>131</w:t>
          </w:r>
          <w:r>
            <w:rPr>
              <w:sz w:val="24"/>
              <w:szCs w:val="24"/>
            </w:rPr>
            <w:fldChar w:fldCharType="end"/>
          </w:r>
          <w:r>
            <w:rPr>
              <w:rFonts w:hint="default" w:ascii="Times New Roman" w:hAnsi="Times New Roman" w:eastAsia="宋体" w:cs="Times New Roman"/>
              <w:bCs/>
              <w:sz w:val="24"/>
              <w:szCs w:val="24"/>
            </w:rPr>
            <w:fldChar w:fldCharType="end"/>
          </w:r>
        </w:p>
        <w:p>
          <w:pPr>
            <w:pStyle w:val="22"/>
            <w:keepNext w:val="0"/>
            <w:keepLines w:val="0"/>
            <w:pageBreakBefore w:val="0"/>
            <w:widowControl w:val="0"/>
            <w:tabs>
              <w:tab w:val="right" w:leader="dot" w:pos="8610"/>
            </w:tabs>
            <w:kinsoku/>
            <w:wordWrap/>
            <w:overflowPunct/>
            <w:topLinePunct w:val="0"/>
            <w:autoSpaceDE/>
            <w:autoSpaceDN/>
            <w:bidi w:val="0"/>
            <w:adjustRightInd/>
            <w:snapToGrid w:val="0"/>
            <w:spacing w:line="240" w:lineRule="auto"/>
            <w:ind w:left="0" w:leftChars="0"/>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Cs/>
              <w:sz w:val="24"/>
              <w:szCs w:val="24"/>
            </w:rPr>
            <w:fldChar w:fldCharType="end"/>
          </w:r>
        </w:p>
      </w:sdtContent>
    </w:sdt>
    <w:p>
      <w:pPr>
        <w:spacing w:line="360" w:lineRule="auto"/>
        <w:rPr>
          <w:rFonts w:hint="default" w:ascii="Times New Roman" w:hAnsi="Times New Roman" w:eastAsia="宋体" w:cs="Times New Roman"/>
          <w:b/>
          <w:bCs/>
          <w:sz w:val="24"/>
          <w:szCs w:val="24"/>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pPr>
        <w:pStyle w:val="38"/>
        <w:spacing w:line="360" w:lineRule="auto"/>
        <w:ind w:left="-210" w:leftChars="-100" w:firstLine="0" w:firstLineChars="0"/>
        <w:jc w:val="center"/>
        <w:outlineLvl w:val="0"/>
        <w:rPr>
          <w:rFonts w:hint="default" w:ascii="Times New Roman" w:hAnsi="Times New Roman" w:eastAsia="宋体" w:cs="Times New Roman"/>
          <w:b/>
          <w:sz w:val="32"/>
          <w:szCs w:val="32"/>
        </w:rPr>
      </w:pPr>
      <w:bookmarkStart w:id="0" w:name="_Toc12059"/>
      <w:r>
        <w:rPr>
          <w:rFonts w:hint="default" w:ascii="Times New Roman" w:hAnsi="Times New Roman" w:eastAsia="宋体" w:cs="Times New Roman"/>
          <w:b/>
          <w:sz w:val="32"/>
          <w:szCs w:val="32"/>
        </w:rPr>
        <w:t>1、验收项目概况</w:t>
      </w:r>
      <w:bookmarkEnd w:id="0"/>
    </w:p>
    <w:p>
      <w:pPr>
        <w:pStyle w:val="38"/>
        <w:spacing w:line="360" w:lineRule="auto"/>
        <w:ind w:firstLine="0" w:firstLineChars="0"/>
        <w:jc w:val="both"/>
        <w:outlineLvl w:val="1"/>
        <w:rPr>
          <w:rFonts w:hint="default" w:ascii="Times New Roman" w:hAnsi="Times New Roman" w:eastAsia="宋体" w:cs="Times New Roman"/>
          <w:b/>
          <w:sz w:val="28"/>
          <w:szCs w:val="32"/>
        </w:rPr>
      </w:pPr>
      <w:bookmarkStart w:id="1" w:name="_Toc32516"/>
      <w:r>
        <w:rPr>
          <w:rFonts w:hint="default" w:ascii="Times New Roman" w:hAnsi="Times New Roman" w:eastAsia="宋体" w:cs="Times New Roman"/>
          <w:b/>
          <w:sz w:val="28"/>
          <w:szCs w:val="32"/>
        </w:rPr>
        <w:t>1.1验收项目基本情况</w:t>
      </w:r>
      <w:bookmarkEnd w:id="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8"/>
          <w:lang w:val="en-US" w:eastAsia="zh-CN"/>
        </w:rPr>
      </w:pPr>
      <w:r>
        <w:rPr>
          <w:rFonts w:hint="default" w:ascii="Times New Roman" w:hAnsi="Times New Roman" w:eastAsia="宋体" w:cs="Times New Roman"/>
          <w:sz w:val="24"/>
          <w:szCs w:val="28"/>
        </w:rPr>
        <w:t>项</w:t>
      </w:r>
      <w:r>
        <w:rPr>
          <w:rFonts w:hint="default" w:ascii="Times New Roman" w:hAnsi="Times New Roman" w:eastAsia="宋体" w:cs="Times New Roman"/>
          <w:sz w:val="24"/>
          <w:szCs w:val="28"/>
          <w:lang w:val="en-US" w:eastAsia="zh-CN"/>
        </w:rPr>
        <w:t>目名称：</w:t>
      </w:r>
      <w:r>
        <w:rPr>
          <w:rFonts w:hint="eastAsia" w:ascii="Times New Roman" w:hAnsi="Times New Roman" w:eastAsia="宋体" w:cs="Times New Roman"/>
          <w:sz w:val="24"/>
          <w:szCs w:val="28"/>
          <w:lang w:val="en-US" w:eastAsia="zh-CN"/>
        </w:rPr>
        <w:t>山东豪瑞恩全球高端制剂项目（一期）</w:t>
      </w:r>
      <w:r>
        <w:rPr>
          <w:rFonts w:hint="default" w:ascii="Times New Roman" w:hAnsi="Times New Roman" w:eastAsia="宋体" w:cs="Times New Roman"/>
          <w:sz w:val="24"/>
          <w:szCs w:val="28"/>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8"/>
          <w:lang w:val="en-US" w:eastAsia="zh-CN"/>
        </w:rPr>
      </w:pPr>
      <w:r>
        <w:rPr>
          <w:rFonts w:hint="default" w:ascii="Times New Roman" w:hAnsi="Times New Roman" w:eastAsia="宋体" w:cs="Times New Roman"/>
          <w:sz w:val="24"/>
          <w:szCs w:val="28"/>
          <w:lang w:val="en-US" w:eastAsia="zh-CN"/>
        </w:rPr>
        <w:t>建设单位：</w:t>
      </w:r>
      <w:r>
        <w:rPr>
          <w:rFonts w:hint="eastAsia" w:ascii="Times New Roman" w:hAnsi="Times New Roman" w:eastAsia="宋体" w:cs="Times New Roman"/>
          <w:sz w:val="24"/>
          <w:szCs w:val="28"/>
          <w:lang w:val="en-US" w:eastAsia="zh-CN"/>
        </w:rPr>
        <w:t>山东豪瑞恩制药有限公司</w:t>
      </w:r>
      <w:r>
        <w:rPr>
          <w:rFonts w:hint="default" w:ascii="Times New Roman" w:hAnsi="Times New Roman" w:eastAsia="宋体" w:cs="Times New Roman"/>
          <w:sz w:val="24"/>
          <w:szCs w:val="28"/>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建设地点</w:t>
      </w:r>
      <w:r>
        <w:rPr>
          <w:rFonts w:hint="default" w:ascii="Times New Roman" w:hAnsi="Times New Roman" w:eastAsia="宋体" w:cs="Times New Roman"/>
          <w:sz w:val="24"/>
          <w:szCs w:val="28"/>
          <w:lang w:val="en-US" w:eastAsia="zh-CN"/>
        </w:rPr>
        <w:t>：</w:t>
      </w:r>
      <w:r>
        <w:rPr>
          <w:rFonts w:hint="eastAsia" w:ascii="Times New Roman" w:hAnsi="Times New Roman" w:eastAsia="宋体" w:cs="Times New Roman"/>
          <w:sz w:val="24"/>
          <w:szCs w:val="28"/>
          <w:lang w:val="en-US" w:eastAsia="zh-CN"/>
        </w:rPr>
        <w:t>山东省菏泽市高新区北环路2999号</w:t>
      </w:r>
      <w:r>
        <w:rPr>
          <w:rFonts w:hint="default" w:ascii="Times New Roman" w:hAnsi="Times New Roman" w:eastAsia="宋体" w:cs="Times New Roman"/>
          <w:sz w:val="24"/>
          <w:szCs w:val="28"/>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8"/>
          <w:lang w:val="en-US" w:eastAsia="zh-CN"/>
        </w:rPr>
      </w:pPr>
      <w:r>
        <w:rPr>
          <w:rFonts w:hint="default" w:ascii="Times New Roman" w:hAnsi="Times New Roman" w:eastAsia="宋体" w:cs="Times New Roman"/>
          <w:sz w:val="24"/>
          <w:szCs w:val="28"/>
          <w:lang w:val="en-US" w:eastAsia="zh-CN"/>
        </w:rPr>
        <w:t>建设内容：</w:t>
      </w:r>
      <w:r>
        <w:rPr>
          <w:rFonts w:hint="eastAsia" w:ascii="Times New Roman" w:hAnsi="Times New Roman" w:eastAsia="宋体" w:cs="Times New Roman"/>
          <w:sz w:val="24"/>
          <w:szCs w:val="28"/>
          <w:lang w:val="en-US" w:eastAsia="zh-CN"/>
        </w:rPr>
        <w:t>G1小容量注射剂</w:t>
      </w:r>
      <w:r>
        <w:rPr>
          <w:rFonts w:hint="eastAsia" w:ascii="Times New Roman" w:hAnsi="Times New Roman" w:eastAsia="宋体" w:cs="Times New Roman"/>
          <w:kern w:val="2"/>
          <w:sz w:val="24"/>
          <w:szCs w:val="22"/>
          <w:lang w:val="en-US" w:eastAsia="zh-CN" w:bidi="zh-CN"/>
        </w:rPr>
        <w:t>（安瓿瓶、西林瓶）车间</w:t>
      </w:r>
      <w:r>
        <w:rPr>
          <w:rFonts w:hint="eastAsia" w:ascii="Times New Roman" w:hAnsi="Times New Roman" w:eastAsia="宋体" w:cs="Times New Roman"/>
          <w:sz w:val="24"/>
          <w:szCs w:val="28"/>
          <w:lang w:val="en-US" w:eastAsia="zh-CN"/>
        </w:rPr>
        <w:t>、</w:t>
      </w:r>
      <w:r>
        <w:rPr>
          <w:rFonts w:hint="default" w:ascii="Times New Roman" w:hAnsi="Times New Roman" w:eastAsia="宋体" w:cs="Times New Roman"/>
          <w:kern w:val="2"/>
          <w:sz w:val="24"/>
          <w:szCs w:val="22"/>
          <w:lang w:val="en-US" w:eastAsia="zh-CN" w:bidi="zh-CN"/>
        </w:rPr>
        <w:t>综合仓库</w:t>
      </w:r>
      <w:r>
        <w:rPr>
          <w:rFonts w:hint="eastAsia" w:ascii="Times New Roman" w:hAnsi="Times New Roman" w:eastAsia="宋体" w:cs="Times New Roman"/>
          <w:kern w:val="2"/>
          <w:sz w:val="24"/>
          <w:szCs w:val="22"/>
          <w:lang w:val="en-US" w:eastAsia="zh-CN" w:bidi="zh-CN"/>
        </w:rPr>
        <w:t>、</w:t>
      </w:r>
      <w:r>
        <w:rPr>
          <w:rFonts w:hint="default" w:ascii="Times New Roman" w:hAnsi="Times New Roman" w:eastAsia="宋体" w:cs="Times New Roman"/>
          <w:kern w:val="2"/>
          <w:sz w:val="24"/>
          <w:szCs w:val="22"/>
          <w:lang w:val="en-US" w:eastAsia="zh-CN" w:bidi="zh-CN"/>
        </w:rPr>
        <w:t>成品仓库</w:t>
      </w:r>
      <w:r>
        <w:rPr>
          <w:rFonts w:hint="eastAsia" w:ascii="Times New Roman" w:hAnsi="Times New Roman" w:eastAsia="宋体" w:cs="Times New Roman"/>
          <w:kern w:val="2"/>
          <w:sz w:val="24"/>
          <w:szCs w:val="22"/>
          <w:lang w:val="en-US" w:eastAsia="zh-CN" w:bidi="zh-CN"/>
        </w:rPr>
        <w:t>、化验中心、办公室</w:t>
      </w:r>
      <w:r>
        <w:rPr>
          <w:rFonts w:hint="eastAsia" w:ascii="Times New Roman" w:hAnsi="Times New Roman" w:eastAsia="宋体" w:cs="Times New Roman"/>
          <w:sz w:val="24"/>
          <w:szCs w:val="28"/>
          <w:lang w:val="en-US" w:eastAsia="zh-CN"/>
        </w:rPr>
        <w:t>、一般固废暂存间和危废暂存间</w:t>
      </w:r>
      <w:r>
        <w:rPr>
          <w:rFonts w:hint="default" w:ascii="Times New Roman" w:hAnsi="Times New Roman" w:eastAsia="宋体" w:cs="Times New Roman"/>
          <w:sz w:val="24"/>
          <w:szCs w:val="28"/>
          <w:lang w:val="en-US" w:eastAsia="zh-CN"/>
        </w:rPr>
        <w:t>等。</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生产规模：</w:t>
      </w:r>
      <w:r>
        <w:rPr>
          <w:rFonts w:hint="eastAsia" w:ascii="Times New Roman" w:hAnsi="Times New Roman" w:eastAsia="宋体" w:cs="Times New Roman"/>
          <w:sz w:val="24"/>
          <w:szCs w:val="24"/>
          <w:lang w:val="en-US" w:eastAsia="zh-CN"/>
        </w:rPr>
        <w:t>项目环评设计年产大容量（软袋）注射剂产品：左氧氟沙星氯化钠注射液3250万袋、氟康</w:t>
      </w:r>
      <w:r>
        <w:rPr>
          <w:rFonts w:hint="default" w:ascii="Times New Roman" w:hAnsi="Times New Roman" w:eastAsia="宋体" w:cs="Times New Roman"/>
          <w:sz w:val="24"/>
          <w:szCs w:val="24"/>
          <w:lang w:val="en-US" w:eastAsia="zh-CN"/>
        </w:rPr>
        <w:t>唑</w:t>
      </w:r>
      <w:r>
        <w:rPr>
          <w:rFonts w:hint="eastAsia" w:ascii="Times New Roman" w:hAnsi="Times New Roman" w:eastAsia="宋体" w:cs="Times New Roman"/>
          <w:sz w:val="24"/>
          <w:szCs w:val="24"/>
          <w:lang w:val="en-US" w:eastAsia="zh-CN"/>
        </w:rPr>
        <w:t>氯化钠注射液64万袋、米力农葡萄糖注射液200万袋、复方氨基酸注射液（18AA-SF））800万袋，共计4314万袋；大容量（玻璃瓶）注射剂产品：</w:t>
      </w:r>
      <w:r>
        <w:rPr>
          <w:rFonts w:hint="default" w:ascii="Times New Roman" w:hAnsi="Times New Roman" w:eastAsia="宋体" w:cs="Times New Roman"/>
          <w:b w:val="0"/>
          <w:bCs/>
          <w:kern w:val="0"/>
          <w:sz w:val="24"/>
          <w:szCs w:val="24"/>
          <w:lang w:val="en-US" w:eastAsia="zh-CN"/>
        </w:rPr>
        <w:t>丙氨酰谷氨酰胺注射液</w:t>
      </w:r>
      <w:r>
        <w:rPr>
          <w:rFonts w:hint="eastAsia" w:ascii="Times New Roman" w:hAnsi="Times New Roman" w:eastAsia="宋体" w:cs="Times New Roman"/>
          <w:sz w:val="24"/>
          <w:szCs w:val="24"/>
          <w:lang w:val="en-US" w:eastAsia="zh-CN"/>
        </w:rPr>
        <w:t>200万瓶、复方氨基酸注射液（18AA）150万瓶、复方氨基酸注射液（18AA--VII）850万瓶、复方氨基酸注射液（14AA）500万瓶、复方氨基酸注射液（14AA-SF））800万瓶，共计2500万瓶；小容量（安瓿瓶）注射剂产品：氨甲环酸注射液1000万支、胞磷胆碱钠注射液10000万支、维生素C注射液10000万支、维生素B6注射液500万支、钠钾镁钙注射用浓溶液500万支，共计2.23亿支；小容量（西林瓶）冻干注射剂产品：</w:t>
      </w:r>
      <w:r>
        <w:rPr>
          <w:rFonts w:hint="default" w:ascii="Times New Roman" w:hAnsi="Times New Roman" w:eastAsia="宋体" w:cs="Times New Roman"/>
          <w:b w:val="0"/>
          <w:bCs/>
          <w:kern w:val="0"/>
          <w:sz w:val="24"/>
          <w:szCs w:val="24"/>
          <w:lang w:val="en-US" w:eastAsia="zh-CN"/>
        </w:rPr>
        <w:t>注射用奥美拉唑钠</w:t>
      </w:r>
      <w:r>
        <w:rPr>
          <w:rFonts w:hint="eastAsia" w:ascii="Times New Roman" w:hAnsi="Times New Roman" w:eastAsia="宋体" w:cs="Times New Roman"/>
          <w:sz w:val="24"/>
          <w:szCs w:val="24"/>
          <w:lang w:val="en-US" w:eastAsia="zh-CN"/>
        </w:rPr>
        <w:t>1000万支、注射用盐酸罗沙替丁醋酸酯300万支、注射用地尔硫卓300万支，共计1600万支。项目分期验收，本次验收范围为年产小容量（安瓿瓶）注射剂产品：维生素B6注射液500万支、钠钾镁钙注射用浓溶液800万支，共计1300万支；小容量（西林瓶）冻干注射剂产品：注射用盐酸罗沙替丁醋酸酯80万支、注射用地尔硫卓80万支，共计160万支；其余产品的生产尚未建设与剩余机加工生产设备，作为二期建设内容</w:t>
      </w:r>
      <w:r>
        <w:rPr>
          <w:rFonts w:hint="default" w:ascii="Times New Roman" w:hAnsi="Times New Roman" w:eastAsia="宋体"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项目</w:t>
      </w:r>
      <w:r>
        <w:rPr>
          <w:rFonts w:hint="default" w:ascii="Times New Roman" w:hAnsi="Times New Roman" w:eastAsia="宋体" w:cs="Times New Roman"/>
          <w:sz w:val="24"/>
          <w:szCs w:val="28"/>
          <w:lang w:val="en-US" w:eastAsia="zh-CN"/>
        </w:rPr>
        <w:t>投资：</w:t>
      </w:r>
      <w:r>
        <w:rPr>
          <w:rFonts w:hint="default" w:ascii="Times New Roman" w:hAnsi="Times New Roman" w:eastAsia="宋体" w:cs="Times New Roman"/>
          <w:sz w:val="24"/>
          <w:szCs w:val="28"/>
        </w:rPr>
        <w:t>项目总投资</w:t>
      </w:r>
      <w:r>
        <w:rPr>
          <w:rFonts w:hint="eastAsia" w:ascii="Times New Roman" w:hAnsi="Times New Roman" w:eastAsia="宋体" w:cs="Times New Roman"/>
          <w:sz w:val="24"/>
          <w:szCs w:val="28"/>
          <w:lang w:val="en-US" w:eastAsia="zh-CN"/>
        </w:rPr>
        <w:t>120000</w:t>
      </w:r>
      <w:r>
        <w:rPr>
          <w:rFonts w:hint="default" w:ascii="Times New Roman" w:hAnsi="Times New Roman" w:eastAsia="宋体" w:cs="Times New Roman"/>
          <w:sz w:val="24"/>
          <w:szCs w:val="28"/>
          <w:lang w:eastAsia="zh-CN"/>
        </w:rPr>
        <w:t>万</w:t>
      </w:r>
      <w:r>
        <w:rPr>
          <w:rFonts w:hint="default" w:ascii="Times New Roman" w:hAnsi="Times New Roman" w:eastAsia="宋体" w:cs="Times New Roman"/>
          <w:sz w:val="24"/>
          <w:szCs w:val="28"/>
        </w:rPr>
        <w:t>元</w:t>
      </w:r>
      <w:r>
        <w:rPr>
          <w:rFonts w:hint="eastAsia" w:ascii="Times New Roman" w:hAnsi="Times New Roman" w:eastAsia="宋体" w:cs="Times New Roman"/>
          <w:sz w:val="24"/>
          <w:szCs w:val="28"/>
          <w:lang w:val="en-US" w:eastAsia="zh-CN"/>
        </w:rPr>
        <w:t>，一期实际</w:t>
      </w:r>
      <w:r>
        <w:rPr>
          <w:rFonts w:hint="eastAsia" w:ascii="Times New Roman" w:hAnsi="Times New Roman" w:eastAsia="宋体" w:cs="Times New Roman"/>
          <w:sz w:val="24"/>
          <w:szCs w:val="28"/>
          <w:lang w:eastAsia="zh-CN"/>
        </w:rPr>
        <w:t>总投资</w:t>
      </w:r>
      <w:r>
        <w:rPr>
          <w:rFonts w:hint="eastAsia" w:ascii="Times New Roman" w:hAnsi="Times New Roman" w:eastAsia="宋体" w:cs="Times New Roman"/>
          <w:sz w:val="24"/>
          <w:szCs w:val="28"/>
          <w:lang w:val="en-US" w:eastAsia="zh-CN"/>
        </w:rPr>
        <w:t>10100</w:t>
      </w:r>
      <w:r>
        <w:rPr>
          <w:rFonts w:hint="eastAsia" w:ascii="Times New Roman" w:hAnsi="Times New Roman" w:eastAsia="宋体" w:cs="Times New Roman"/>
          <w:sz w:val="24"/>
          <w:szCs w:val="28"/>
          <w:lang w:eastAsia="zh-CN"/>
        </w:rPr>
        <w:t>万元，其中环保投资</w:t>
      </w:r>
      <w:r>
        <w:rPr>
          <w:rFonts w:hint="eastAsia" w:ascii="Times New Roman" w:hAnsi="Times New Roman" w:eastAsia="宋体" w:cs="Times New Roman"/>
          <w:sz w:val="24"/>
          <w:szCs w:val="28"/>
          <w:lang w:val="en-US" w:eastAsia="zh-CN"/>
        </w:rPr>
        <w:t>150</w:t>
      </w:r>
      <w:r>
        <w:rPr>
          <w:rFonts w:hint="eastAsia" w:ascii="Times New Roman" w:hAnsi="Times New Roman" w:eastAsia="宋体" w:cs="Times New Roman"/>
          <w:sz w:val="24"/>
          <w:szCs w:val="28"/>
          <w:lang w:eastAsia="zh-CN"/>
        </w:rPr>
        <w:t>万元。</w:t>
      </w:r>
      <w:r>
        <w:rPr>
          <w:rFonts w:hint="eastAsia" w:ascii="Times New Roman" w:hAnsi="Times New Roman" w:eastAsia="宋体" w:cs="Times New Roman"/>
          <w:sz w:val="24"/>
          <w:szCs w:val="28"/>
          <w:lang w:val="en-US" w:eastAsia="zh-CN"/>
        </w:rPr>
        <w:t>一期</w:t>
      </w:r>
      <w:r>
        <w:rPr>
          <w:rFonts w:hint="default" w:ascii="Times New Roman" w:hAnsi="Times New Roman" w:eastAsia="宋体" w:cs="Times New Roman"/>
          <w:sz w:val="24"/>
          <w:szCs w:val="28"/>
          <w:lang w:val="en-US" w:eastAsia="zh-CN"/>
        </w:rPr>
        <w:t>实际</w:t>
      </w:r>
      <w:r>
        <w:rPr>
          <w:rFonts w:hint="eastAsia" w:ascii="Times New Roman" w:hAnsi="Times New Roman" w:eastAsia="宋体" w:cs="Times New Roman"/>
          <w:sz w:val="24"/>
          <w:szCs w:val="28"/>
          <w:lang w:val="en-US" w:eastAsia="zh-CN"/>
        </w:rPr>
        <w:t>投资</w:t>
      </w:r>
      <w:r>
        <w:rPr>
          <w:rFonts w:hint="eastAsia" w:ascii="Times New Roman" w:hAnsi="Times New Roman" w:eastAsia="宋体" w:cs="Times New Roman"/>
          <w:sz w:val="24"/>
          <w:szCs w:val="28"/>
          <w:lang w:eastAsia="zh-CN"/>
        </w:rPr>
        <w:t>占</w:t>
      </w:r>
      <w:r>
        <w:rPr>
          <w:rFonts w:hint="default" w:ascii="Times New Roman" w:hAnsi="Times New Roman" w:eastAsia="宋体" w:cs="Times New Roman"/>
          <w:sz w:val="24"/>
          <w:szCs w:val="28"/>
        </w:rPr>
        <w:t>总投资</w:t>
      </w:r>
      <w:r>
        <w:rPr>
          <w:rFonts w:hint="eastAsia" w:ascii="Times New Roman" w:hAnsi="Times New Roman" w:eastAsia="宋体" w:cs="Times New Roman"/>
          <w:sz w:val="24"/>
          <w:szCs w:val="28"/>
          <w:lang w:eastAsia="zh-CN"/>
        </w:rPr>
        <w:t>的</w:t>
      </w:r>
      <w:r>
        <w:rPr>
          <w:rFonts w:hint="eastAsia" w:ascii="Times New Roman" w:hAnsi="Times New Roman" w:eastAsia="宋体" w:cs="Times New Roman"/>
          <w:sz w:val="24"/>
          <w:szCs w:val="28"/>
          <w:lang w:val="en-US" w:eastAsia="zh-CN"/>
        </w:rPr>
        <w:t>8.4</w:t>
      </w:r>
      <w:r>
        <w:rPr>
          <w:rFonts w:hint="eastAsia" w:ascii="Times New Roman" w:hAnsi="Times New Roman" w:eastAsia="宋体" w:cs="Times New Roman"/>
          <w:sz w:val="24"/>
          <w:szCs w:val="28"/>
          <w:lang w:eastAsia="zh-CN"/>
        </w:rPr>
        <w:t>%，</w:t>
      </w:r>
      <w:r>
        <w:rPr>
          <w:rFonts w:hint="eastAsia" w:ascii="Times New Roman" w:hAnsi="Times New Roman" w:eastAsia="宋体" w:cs="Times New Roman"/>
          <w:sz w:val="24"/>
          <w:szCs w:val="28"/>
          <w:lang w:val="en-US" w:eastAsia="zh-CN"/>
        </w:rPr>
        <w:t>一期环保投资</w:t>
      </w:r>
      <w:r>
        <w:rPr>
          <w:rFonts w:hint="eastAsia" w:ascii="Times New Roman" w:hAnsi="Times New Roman" w:eastAsia="宋体" w:cs="Times New Roman"/>
          <w:sz w:val="24"/>
          <w:szCs w:val="28"/>
          <w:lang w:eastAsia="zh-CN"/>
        </w:rPr>
        <w:t>占</w:t>
      </w:r>
      <w:r>
        <w:rPr>
          <w:rFonts w:hint="eastAsia" w:ascii="Times New Roman" w:hAnsi="Times New Roman" w:eastAsia="宋体" w:cs="Times New Roman"/>
          <w:sz w:val="24"/>
          <w:szCs w:val="28"/>
          <w:lang w:val="en-US" w:eastAsia="zh-CN"/>
        </w:rPr>
        <w:t>一期</w:t>
      </w:r>
      <w:r>
        <w:rPr>
          <w:rFonts w:hint="default" w:ascii="Times New Roman" w:hAnsi="Times New Roman" w:eastAsia="宋体" w:cs="Times New Roman"/>
          <w:sz w:val="24"/>
          <w:szCs w:val="28"/>
          <w:lang w:val="en-US" w:eastAsia="zh-CN"/>
        </w:rPr>
        <w:t>实际</w:t>
      </w:r>
      <w:r>
        <w:rPr>
          <w:rFonts w:hint="default" w:ascii="Times New Roman" w:hAnsi="Times New Roman" w:eastAsia="宋体" w:cs="Times New Roman"/>
          <w:sz w:val="24"/>
          <w:szCs w:val="28"/>
        </w:rPr>
        <w:t>总投资</w:t>
      </w:r>
      <w:r>
        <w:rPr>
          <w:rFonts w:hint="eastAsia" w:ascii="Times New Roman" w:hAnsi="Times New Roman" w:eastAsia="宋体" w:cs="Times New Roman"/>
          <w:sz w:val="24"/>
          <w:szCs w:val="28"/>
          <w:lang w:eastAsia="zh-CN"/>
        </w:rPr>
        <w:t>的</w:t>
      </w:r>
      <w:r>
        <w:rPr>
          <w:rFonts w:hint="eastAsia" w:ascii="Times New Roman" w:hAnsi="Times New Roman" w:eastAsia="宋体" w:cs="Times New Roman"/>
          <w:sz w:val="24"/>
          <w:szCs w:val="28"/>
          <w:lang w:val="en-US" w:eastAsia="zh-CN"/>
        </w:rPr>
        <w:t>1.5</w:t>
      </w:r>
      <w:r>
        <w:rPr>
          <w:rFonts w:hint="eastAsia" w:ascii="Times New Roman" w:hAnsi="Times New Roman" w:eastAsia="宋体" w:cs="Times New Roman"/>
          <w:sz w:val="24"/>
          <w:szCs w:val="28"/>
          <w:lang w:eastAsia="zh-CN"/>
        </w:rPr>
        <w:t>%</w:t>
      </w:r>
      <w:r>
        <w:rPr>
          <w:rFonts w:hint="default" w:ascii="Times New Roman" w:hAnsi="Times New Roman" w:eastAsia="宋体" w:cs="Times New Roman"/>
          <w:sz w:val="24"/>
          <w:szCs w:val="28"/>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竣工投产时间：202</w:t>
      </w:r>
      <w:r>
        <w:rPr>
          <w:rFonts w:hint="eastAsia" w:ascii="Times New Roman" w:hAnsi="Times New Roman" w:eastAsia="宋体" w:cs="Times New Roman"/>
          <w:sz w:val="24"/>
          <w:szCs w:val="24"/>
          <w:lang w:val="en-US" w:eastAsia="zh-CN"/>
        </w:rPr>
        <w:t>3</w:t>
      </w:r>
      <w:r>
        <w:rPr>
          <w:rFonts w:hint="default" w:ascii="Times New Roman" w:hAnsi="Times New Roman" w:eastAsia="宋体" w:cs="Times New Roman"/>
          <w:sz w:val="24"/>
          <w:szCs w:val="24"/>
        </w:rPr>
        <w:t>年</w:t>
      </w:r>
      <w:r>
        <w:rPr>
          <w:rFonts w:hint="eastAsia" w:ascii="Times New Roman" w:hAnsi="Times New Roman" w:eastAsia="宋体" w:cs="Times New Roman"/>
          <w:sz w:val="24"/>
          <w:szCs w:val="24"/>
          <w:lang w:val="en-US" w:eastAsia="zh-CN"/>
        </w:rPr>
        <w:t>12</w:t>
      </w:r>
      <w:r>
        <w:rPr>
          <w:rFonts w:hint="default" w:ascii="Times New Roman" w:hAnsi="Times New Roman" w:eastAsia="宋体" w:cs="Times New Roman"/>
          <w:sz w:val="24"/>
          <w:szCs w:val="24"/>
        </w:rPr>
        <w:t>月</w:t>
      </w:r>
      <w:r>
        <w:rPr>
          <w:rFonts w:hint="default" w:ascii="Times New Roman" w:hAnsi="Times New Roman" w:eastAsia="宋体" w:cs="Times New Roman"/>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sz w:val="24"/>
          <w:szCs w:val="28"/>
        </w:rPr>
        <w:t>环评情况：</w:t>
      </w:r>
      <w:bookmarkStart w:id="2" w:name="_Hlk74757292"/>
      <w:r>
        <w:rPr>
          <w:rFonts w:hint="default" w:ascii="Times New Roman" w:hAnsi="Times New Roman" w:eastAsia="宋体" w:cs="Times New Roman"/>
          <w:sz w:val="24"/>
          <w:szCs w:val="28"/>
        </w:rPr>
        <w:t>本项目《</w:t>
      </w:r>
      <w:r>
        <w:rPr>
          <w:rFonts w:hint="eastAsia" w:ascii="Times New Roman" w:hAnsi="Times New Roman" w:eastAsia="宋体" w:cs="Times New Roman"/>
          <w:sz w:val="24"/>
          <w:szCs w:val="28"/>
          <w:lang w:val="en-US" w:eastAsia="zh-CN"/>
        </w:rPr>
        <w:t>山东豪瑞恩全球高端制剂项目</w:t>
      </w:r>
      <w:r>
        <w:rPr>
          <w:rFonts w:hint="default" w:ascii="Times New Roman" w:hAnsi="Times New Roman" w:eastAsia="宋体" w:cs="Times New Roman"/>
          <w:sz w:val="24"/>
          <w:szCs w:val="28"/>
        </w:rPr>
        <w:t>环境影响报告表》由</w:t>
      </w:r>
      <w:r>
        <w:rPr>
          <w:rFonts w:hint="default" w:ascii="Times New Roman" w:hAnsi="Times New Roman" w:eastAsia="宋体" w:cs="Times New Roman"/>
          <w:sz w:val="24"/>
          <w:szCs w:val="28"/>
          <w:lang w:val="en-US" w:eastAsia="zh-CN"/>
        </w:rPr>
        <w:t>山东国润环境科技有限公司</w:t>
      </w:r>
      <w:r>
        <w:rPr>
          <w:rFonts w:hint="default" w:ascii="Times New Roman" w:hAnsi="Times New Roman" w:eastAsia="宋体" w:cs="Times New Roman"/>
          <w:sz w:val="24"/>
          <w:szCs w:val="28"/>
        </w:rPr>
        <w:t>编制，并于</w:t>
      </w:r>
      <w:r>
        <w:rPr>
          <w:rFonts w:hint="default" w:ascii="Times New Roman" w:hAnsi="Times New Roman" w:eastAsia="宋体" w:cs="Times New Roman"/>
          <w:color w:val="000000" w:themeColor="text1"/>
          <w:sz w:val="24"/>
          <w:szCs w:val="28"/>
          <w14:textFill>
            <w14:solidFill>
              <w14:schemeClr w14:val="tx1"/>
            </w14:solidFill>
          </w14:textFill>
        </w:rPr>
        <w:t>20</w:t>
      </w:r>
      <w:r>
        <w:rPr>
          <w:rFonts w:hint="default" w:ascii="Times New Roman" w:hAnsi="Times New Roman" w:eastAsia="宋体" w:cs="Times New Roman"/>
          <w:color w:val="000000" w:themeColor="text1"/>
          <w:sz w:val="24"/>
          <w:szCs w:val="28"/>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8"/>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8"/>
          <w14:textFill>
            <w14:solidFill>
              <w14:schemeClr w14:val="tx1"/>
            </w14:solidFill>
          </w14:textFill>
        </w:rPr>
        <w:t>年</w:t>
      </w:r>
      <w:r>
        <w:rPr>
          <w:rFonts w:hint="eastAsia" w:ascii="Times New Roman" w:hAnsi="Times New Roman" w:eastAsia="宋体" w:cs="Times New Roman"/>
          <w:color w:val="000000" w:themeColor="text1"/>
          <w:sz w:val="24"/>
          <w:szCs w:val="28"/>
          <w:lang w:val="en-US" w:eastAsia="zh-CN"/>
          <w14:textFill>
            <w14:solidFill>
              <w14:schemeClr w14:val="tx1"/>
            </w14:solidFill>
          </w14:textFill>
        </w:rPr>
        <w:t>11</w:t>
      </w:r>
      <w:r>
        <w:rPr>
          <w:rFonts w:hint="default" w:ascii="Times New Roman" w:hAnsi="Times New Roman" w:eastAsia="宋体" w:cs="Times New Roman"/>
          <w:color w:val="000000" w:themeColor="text1"/>
          <w:sz w:val="24"/>
          <w:szCs w:val="28"/>
          <w14:textFill>
            <w14:solidFill>
              <w14:schemeClr w14:val="tx1"/>
            </w14:solidFill>
          </w14:textFill>
        </w:rPr>
        <w:t>月</w:t>
      </w:r>
      <w:r>
        <w:rPr>
          <w:rFonts w:hint="eastAsia" w:ascii="Times New Roman" w:hAnsi="Times New Roman" w:eastAsia="宋体" w:cs="Times New Roman"/>
          <w:color w:val="000000" w:themeColor="text1"/>
          <w:sz w:val="24"/>
          <w:szCs w:val="28"/>
          <w:lang w:val="en-US" w:eastAsia="zh-CN"/>
          <w14:textFill>
            <w14:solidFill>
              <w14:schemeClr w14:val="tx1"/>
            </w14:solidFill>
          </w14:textFill>
        </w:rPr>
        <w:t>17</w:t>
      </w:r>
      <w:r>
        <w:rPr>
          <w:rFonts w:hint="default" w:ascii="Times New Roman" w:hAnsi="Times New Roman" w:eastAsia="宋体" w:cs="Times New Roman"/>
          <w:color w:val="000000" w:themeColor="text1"/>
          <w:sz w:val="24"/>
          <w:szCs w:val="28"/>
          <w14:textFill>
            <w14:solidFill>
              <w14:schemeClr w14:val="tx1"/>
            </w14:solidFill>
          </w14:textFill>
        </w:rPr>
        <w:t>日取</w:t>
      </w:r>
      <w:r>
        <w:rPr>
          <w:rFonts w:hint="default" w:ascii="Times New Roman" w:hAnsi="Times New Roman" w:eastAsia="宋体" w:cs="Times New Roman"/>
          <w:sz w:val="24"/>
          <w:szCs w:val="28"/>
        </w:rPr>
        <w:t>得</w:t>
      </w:r>
      <w:r>
        <w:rPr>
          <w:rFonts w:hint="default" w:ascii="Times New Roman" w:hAnsi="Times New Roman" w:eastAsia="宋体" w:cs="Times New Roman"/>
          <w:sz w:val="24"/>
          <w:szCs w:val="28"/>
          <w:lang w:eastAsia="zh-CN"/>
        </w:rPr>
        <w:t>菏泽市</w:t>
      </w:r>
      <w:r>
        <w:rPr>
          <w:rFonts w:hint="eastAsia" w:ascii="Times New Roman" w:hAnsi="Times New Roman" w:eastAsia="宋体" w:cs="Times New Roman"/>
          <w:sz w:val="24"/>
          <w:szCs w:val="28"/>
          <w:lang w:val="en-US" w:eastAsia="zh-CN"/>
        </w:rPr>
        <w:t>鲁西新区行政审</w:t>
      </w:r>
      <w:r>
        <w:rPr>
          <w:rFonts w:hint="eastAsia" w:ascii="Times New Roman" w:hAnsi="Times New Roman" w:eastAsia="宋体" w:cs="Times New Roman"/>
          <w:color w:val="000000"/>
          <w:sz w:val="24"/>
          <w:szCs w:val="28"/>
          <w:lang w:val="en-US" w:eastAsia="zh-CN"/>
        </w:rPr>
        <w:t>批服务局</w:t>
      </w:r>
      <w:r>
        <w:rPr>
          <w:rFonts w:hint="default" w:ascii="Times New Roman" w:hAnsi="Times New Roman" w:eastAsia="宋体" w:cs="Times New Roman"/>
          <w:color w:val="000000"/>
          <w:sz w:val="24"/>
          <w:szCs w:val="28"/>
        </w:rPr>
        <w:t>对该项目的审批意见《关于</w:t>
      </w:r>
      <w:r>
        <w:rPr>
          <w:rFonts w:hint="eastAsia" w:ascii="Times New Roman" w:hAnsi="Times New Roman" w:eastAsia="宋体" w:cs="Times New Roman"/>
          <w:color w:val="000000"/>
          <w:sz w:val="24"/>
          <w:szCs w:val="28"/>
          <w:lang w:val="en-US" w:eastAsia="zh-CN"/>
        </w:rPr>
        <w:t>山东豪瑞恩全球高端制剂项目</w:t>
      </w:r>
      <w:r>
        <w:rPr>
          <w:rFonts w:hint="default" w:ascii="Times New Roman" w:hAnsi="Times New Roman" w:eastAsia="宋体" w:cs="Times New Roman"/>
          <w:color w:val="000000"/>
          <w:sz w:val="24"/>
          <w:szCs w:val="28"/>
        </w:rPr>
        <w:t>环境影响报告表环境影响报告表的批复》（</w:t>
      </w:r>
      <w:r>
        <w:rPr>
          <w:rFonts w:hint="eastAsia" w:ascii="Times New Roman" w:hAnsi="Times New Roman" w:eastAsia="宋体" w:cs="Times New Roman"/>
          <w:color w:val="000000"/>
          <w:sz w:val="24"/>
          <w:szCs w:val="28"/>
          <w:lang w:val="en-US" w:eastAsia="zh-CN"/>
        </w:rPr>
        <w:t>菏新行</w:t>
      </w:r>
      <w:r>
        <w:rPr>
          <w:rFonts w:hint="default" w:ascii="Times New Roman" w:hAnsi="Times New Roman" w:eastAsia="宋体" w:cs="Times New Roman"/>
          <w:color w:val="000000"/>
          <w:sz w:val="24"/>
          <w:szCs w:val="28"/>
          <w:lang w:eastAsia="zh-CN"/>
        </w:rPr>
        <w:t>审【202</w:t>
      </w:r>
      <w:r>
        <w:rPr>
          <w:rFonts w:hint="eastAsia" w:ascii="Times New Roman" w:hAnsi="Times New Roman" w:eastAsia="宋体" w:cs="Times New Roman"/>
          <w:color w:val="000000"/>
          <w:sz w:val="24"/>
          <w:szCs w:val="28"/>
          <w:lang w:val="en-US" w:eastAsia="zh-CN"/>
        </w:rPr>
        <w:t>3</w:t>
      </w:r>
      <w:r>
        <w:rPr>
          <w:rFonts w:hint="default" w:ascii="Times New Roman" w:hAnsi="Times New Roman" w:eastAsia="宋体" w:cs="Times New Roman"/>
          <w:color w:val="000000"/>
          <w:sz w:val="24"/>
          <w:szCs w:val="28"/>
          <w:lang w:eastAsia="zh-CN"/>
        </w:rPr>
        <w:t>】</w:t>
      </w:r>
      <w:r>
        <w:rPr>
          <w:rFonts w:hint="eastAsia" w:ascii="Times New Roman" w:hAnsi="Times New Roman" w:eastAsia="宋体" w:cs="Times New Roman"/>
          <w:color w:val="000000"/>
          <w:sz w:val="24"/>
          <w:szCs w:val="28"/>
          <w:lang w:val="en-US" w:eastAsia="zh-CN"/>
        </w:rPr>
        <w:t>22</w:t>
      </w:r>
      <w:r>
        <w:rPr>
          <w:rFonts w:hint="default" w:ascii="Times New Roman" w:hAnsi="Times New Roman" w:eastAsia="宋体" w:cs="Times New Roman"/>
          <w:color w:val="000000"/>
          <w:sz w:val="24"/>
          <w:szCs w:val="28"/>
          <w:lang w:eastAsia="zh-CN"/>
        </w:rPr>
        <w:t>号</w:t>
      </w:r>
      <w:r>
        <w:rPr>
          <w:rFonts w:hint="default" w:ascii="Times New Roman" w:hAnsi="Times New Roman" w:eastAsia="宋体" w:cs="Times New Roman"/>
          <w:color w:val="000000"/>
          <w:sz w:val="24"/>
          <w:szCs w:val="28"/>
        </w:rPr>
        <w:t>）。</w:t>
      </w:r>
      <w:bookmarkEnd w:id="2"/>
      <w:r>
        <w:rPr>
          <w:rFonts w:hint="default" w:ascii="Times New Roman" w:hAnsi="Times New Roman" w:eastAsia="宋体" w:cs="Times New Roman"/>
          <w:color w:val="000000"/>
          <w:sz w:val="24"/>
          <w:szCs w:val="28"/>
        </w:rPr>
        <w:t>202</w:t>
      </w:r>
      <w:r>
        <w:rPr>
          <w:rFonts w:hint="eastAsia" w:ascii="Times New Roman" w:hAnsi="Times New Roman" w:eastAsia="宋体" w:cs="Times New Roman"/>
          <w:color w:val="000000"/>
          <w:sz w:val="24"/>
          <w:szCs w:val="28"/>
          <w:lang w:val="en-US" w:eastAsia="zh-CN"/>
        </w:rPr>
        <w:t>3</w:t>
      </w:r>
      <w:r>
        <w:rPr>
          <w:rFonts w:hint="default" w:ascii="Times New Roman" w:hAnsi="Times New Roman" w:eastAsia="宋体" w:cs="Times New Roman"/>
          <w:color w:val="000000"/>
          <w:sz w:val="24"/>
          <w:szCs w:val="28"/>
        </w:rPr>
        <w:t>年</w:t>
      </w:r>
      <w:r>
        <w:rPr>
          <w:rFonts w:hint="eastAsia" w:ascii="Times New Roman" w:hAnsi="Times New Roman" w:eastAsia="宋体" w:cs="Times New Roman"/>
          <w:color w:val="000000"/>
          <w:sz w:val="24"/>
          <w:szCs w:val="28"/>
          <w:lang w:val="en-US" w:eastAsia="zh-CN"/>
        </w:rPr>
        <w:t>12</w:t>
      </w:r>
      <w:r>
        <w:rPr>
          <w:rFonts w:hint="default" w:ascii="Times New Roman" w:hAnsi="Times New Roman" w:eastAsia="宋体" w:cs="Times New Roman"/>
          <w:color w:val="000000"/>
          <w:sz w:val="24"/>
          <w:szCs w:val="28"/>
        </w:rPr>
        <w:t>月，该项目按环评意见及环评批复整改完成，</w:t>
      </w:r>
      <w:r>
        <w:rPr>
          <w:rFonts w:hint="eastAsia" w:ascii="Times New Roman" w:hAnsi="Times New Roman" w:eastAsia="宋体" w:cs="Times New Roman"/>
          <w:color w:val="000000"/>
          <w:sz w:val="24"/>
          <w:szCs w:val="28"/>
          <w:lang w:val="en-US" w:eastAsia="zh-CN"/>
        </w:rPr>
        <w:t>于2023年12月1日进行了</w:t>
      </w:r>
      <w:r>
        <w:rPr>
          <w:rFonts w:hint="default" w:ascii="Times New Roman" w:hAnsi="Times New Roman" w:eastAsia="宋体" w:cs="Times New Roman"/>
          <w:color w:val="000000"/>
          <w:sz w:val="24"/>
          <w:szCs w:val="28"/>
        </w:rPr>
        <w:t>《</w:t>
      </w:r>
      <w:r>
        <w:rPr>
          <w:rFonts w:hint="eastAsia" w:ascii="Times New Roman" w:hAnsi="Times New Roman" w:eastAsia="宋体" w:cs="Times New Roman"/>
          <w:color w:val="000000"/>
          <w:sz w:val="24"/>
          <w:szCs w:val="28"/>
          <w:lang w:val="en-US" w:eastAsia="zh-CN"/>
        </w:rPr>
        <w:t>山东豪瑞恩制药有限公司山东豪瑞恩全球高端制剂项目环保设施竣工公示</w:t>
      </w:r>
      <w:r>
        <w:rPr>
          <w:rFonts w:hint="default" w:ascii="Times New Roman" w:hAnsi="Times New Roman" w:eastAsia="宋体" w:cs="Times New Roman"/>
          <w:color w:val="000000"/>
          <w:sz w:val="24"/>
          <w:szCs w:val="28"/>
        </w:rPr>
        <w:t>》</w:t>
      </w:r>
      <w:r>
        <w:rPr>
          <w:rFonts w:hint="eastAsia" w:ascii="Times New Roman" w:hAnsi="Times New Roman" w:eastAsia="宋体" w:cs="Times New Roman"/>
          <w:color w:val="000000"/>
          <w:sz w:val="24"/>
          <w:szCs w:val="28"/>
          <w:lang w:eastAsia="zh-CN"/>
        </w:rPr>
        <w:t>，</w:t>
      </w:r>
      <w:r>
        <w:rPr>
          <w:rFonts w:hint="eastAsia" w:ascii="Times New Roman" w:hAnsi="Times New Roman" w:eastAsia="宋体" w:cs="Times New Roman"/>
          <w:color w:val="000000"/>
          <w:sz w:val="24"/>
          <w:szCs w:val="28"/>
          <w:lang w:val="en-US" w:eastAsia="zh-CN"/>
        </w:rPr>
        <w:t>2023年12月5日申请了排污许可证。登记编号：913717005793562082001X，并于。</w:t>
      </w:r>
      <w:r>
        <w:rPr>
          <w:rFonts w:hint="default" w:ascii="Times New Roman" w:hAnsi="Times New Roman" w:eastAsia="宋体" w:cs="Times New Roman"/>
          <w:color w:val="000000"/>
          <w:sz w:val="24"/>
          <w:szCs w:val="28"/>
        </w:rPr>
        <w:t>目前</w:t>
      </w:r>
      <w:r>
        <w:rPr>
          <w:rFonts w:hint="eastAsia" w:ascii="Times New Roman" w:hAnsi="Times New Roman" w:eastAsia="宋体" w:cs="Times New Roman"/>
          <w:color w:val="000000"/>
          <w:sz w:val="24"/>
          <w:szCs w:val="28"/>
          <w:lang w:val="en-US" w:eastAsia="zh-CN"/>
        </w:rPr>
        <w:t>2023年12月5日进行了</w:t>
      </w:r>
      <w:r>
        <w:rPr>
          <w:rFonts w:hint="default" w:ascii="Times New Roman" w:hAnsi="Times New Roman" w:eastAsia="宋体" w:cs="Times New Roman"/>
          <w:color w:val="000000"/>
          <w:sz w:val="24"/>
          <w:szCs w:val="28"/>
        </w:rPr>
        <w:t>《</w:t>
      </w:r>
      <w:r>
        <w:rPr>
          <w:rFonts w:hint="eastAsia" w:ascii="Times New Roman" w:hAnsi="Times New Roman" w:eastAsia="宋体" w:cs="Times New Roman"/>
          <w:color w:val="000000"/>
          <w:sz w:val="24"/>
          <w:szCs w:val="28"/>
          <w:lang w:val="en-US" w:eastAsia="zh-CN"/>
        </w:rPr>
        <w:t>山东豪瑞恩制药有限公司山东豪瑞恩全球高端制剂项目环保设施调试公示</w:t>
      </w:r>
      <w:r>
        <w:rPr>
          <w:rFonts w:hint="default" w:ascii="Times New Roman" w:hAnsi="Times New Roman" w:eastAsia="宋体" w:cs="Times New Roman"/>
          <w:color w:val="000000"/>
          <w:sz w:val="24"/>
          <w:szCs w:val="28"/>
        </w:rPr>
        <w:t>》，</w:t>
      </w:r>
      <w:r>
        <w:rPr>
          <w:rFonts w:hint="eastAsia" w:ascii="Times New Roman" w:hAnsi="Times New Roman" w:eastAsia="宋体" w:cs="Times New Roman"/>
          <w:color w:val="000000"/>
          <w:sz w:val="24"/>
          <w:szCs w:val="28"/>
          <w:lang w:val="en-US" w:eastAsia="zh-CN"/>
        </w:rPr>
        <w:t>现</w:t>
      </w:r>
      <w:r>
        <w:rPr>
          <w:rFonts w:hint="default" w:ascii="Times New Roman" w:hAnsi="Times New Roman" w:eastAsia="宋体" w:cs="Times New Roman"/>
          <w:color w:val="000000"/>
          <w:sz w:val="24"/>
          <w:szCs w:val="28"/>
        </w:rPr>
        <w:t>该工程已按要求建成，具备了验收监测的条件。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lang w:eastAsia="zh-CN"/>
        </w:rPr>
      </w:pPr>
      <w:r>
        <w:rPr>
          <w:rFonts w:hint="default" w:ascii="Times New Roman" w:hAnsi="Times New Roman" w:eastAsia="宋体" w:cs="Times New Roman"/>
          <w:color w:val="000000"/>
          <w:sz w:val="24"/>
          <w:szCs w:val="28"/>
        </w:rPr>
        <w:t>受</w:t>
      </w:r>
      <w:r>
        <w:rPr>
          <w:rFonts w:hint="eastAsia" w:ascii="Times New Roman" w:hAnsi="Times New Roman" w:eastAsia="宋体" w:cs="Times New Roman"/>
          <w:sz w:val="24"/>
          <w:szCs w:val="28"/>
          <w:lang w:val="en-US" w:eastAsia="zh-CN"/>
        </w:rPr>
        <w:t>山东豪瑞恩制药有限公司</w:t>
      </w:r>
      <w:r>
        <w:rPr>
          <w:rFonts w:hint="default" w:ascii="Times New Roman" w:hAnsi="Times New Roman" w:eastAsia="宋体" w:cs="Times New Roman"/>
          <w:color w:val="000000"/>
          <w:sz w:val="24"/>
          <w:szCs w:val="28"/>
        </w:rPr>
        <w:t>的委托，</w:t>
      </w:r>
      <w:r>
        <w:rPr>
          <w:rFonts w:hint="eastAsia" w:ascii="Times New Roman" w:hAnsi="Times New Roman" w:eastAsia="宋体" w:cs="Times New Roman"/>
          <w:color w:val="000000"/>
          <w:sz w:val="24"/>
          <w:szCs w:val="28"/>
          <w:lang w:val="en-US" w:eastAsia="zh-CN"/>
        </w:rPr>
        <w:t>山东汇成</w:t>
      </w:r>
      <w:r>
        <w:rPr>
          <w:rFonts w:hint="eastAsia" w:ascii="Times New Roman" w:hAnsi="Times New Roman" w:eastAsia="宋体" w:cs="Times New Roman"/>
          <w:color w:val="000000"/>
          <w:sz w:val="24"/>
          <w:szCs w:val="28"/>
        </w:rPr>
        <w:t>检测</w:t>
      </w:r>
      <w:r>
        <w:rPr>
          <w:rFonts w:hint="eastAsia" w:ascii="Times New Roman" w:hAnsi="Times New Roman" w:eastAsia="宋体" w:cs="Times New Roman"/>
          <w:color w:val="000000"/>
          <w:sz w:val="24"/>
          <w:szCs w:val="28"/>
          <w:lang w:val="en-US" w:eastAsia="zh-CN"/>
        </w:rPr>
        <w:t>科技</w:t>
      </w:r>
      <w:r>
        <w:rPr>
          <w:rFonts w:hint="eastAsia" w:ascii="Times New Roman" w:hAnsi="Times New Roman" w:eastAsia="宋体" w:cs="Times New Roman"/>
          <w:color w:val="000000"/>
          <w:sz w:val="24"/>
          <w:szCs w:val="28"/>
        </w:rPr>
        <w:t>有限公司</w:t>
      </w:r>
      <w:r>
        <w:rPr>
          <w:rFonts w:hint="default" w:ascii="Times New Roman" w:hAnsi="Times New Roman" w:eastAsia="宋体" w:cs="Times New Roman"/>
          <w:color w:val="000000"/>
          <w:sz w:val="24"/>
          <w:szCs w:val="28"/>
        </w:rPr>
        <w:t>承担该项目的竣工检测工作。根据国家有关法律法规的要求，202</w:t>
      </w:r>
      <w:r>
        <w:rPr>
          <w:rFonts w:hint="eastAsia" w:ascii="Times New Roman" w:hAnsi="Times New Roman" w:eastAsia="宋体" w:cs="Times New Roman"/>
          <w:color w:val="000000"/>
          <w:sz w:val="24"/>
          <w:szCs w:val="28"/>
          <w:lang w:val="en-US" w:eastAsia="zh-CN"/>
        </w:rPr>
        <w:t>4</w:t>
      </w:r>
      <w:r>
        <w:rPr>
          <w:rFonts w:hint="default" w:ascii="Times New Roman" w:hAnsi="Times New Roman" w:eastAsia="宋体" w:cs="Times New Roman"/>
          <w:color w:val="000000"/>
          <w:sz w:val="24"/>
          <w:szCs w:val="28"/>
        </w:rPr>
        <w:t>年</w:t>
      </w:r>
      <w:r>
        <w:rPr>
          <w:rFonts w:hint="eastAsia" w:ascii="Times New Roman" w:hAnsi="Times New Roman" w:eastAsia="宋体" w:cs="Times New Roman"/>
          <w:color w:val="000000"/>
          <w:sz w:val="24"/>
          <w:szCs w:val="28"/>
          <w:lang w:val="en-US" w:eastAsia="zh-CN"/>
        </w:rPr>
        <w:t>01</w:t>
      </w:r>
      <w:r>
        <w:rPr>
          <w:rFonts w:hint="default" w:ascii="Times New Roman" w:hAnsi="Times New Roman" w:eastAsia="宋体" w:cs="Times New Roman"/>
          <w:color w:val="000000"/>
          <w:sz w:val="24"/>
          <w:szCs w:val="28"/>
        </w:rPr>
        <w:t>月</w:t>
      </w:r>
      <w:r>
        <w:rPr>
          <w:rFonts w:hint="eastAsia" w:ascii="Times New Roman" w:hAnsi="Times New Roman" w:eastAsia="宋体" w:cs="Times New Roman"/>
          <w:color w:val="000000"/>
          <w:sz w:val="24"/>
          <w:szCs w:val="28"/>
          <w:lang w:val="en-US" w:eastAsia="zh-CN"/>
        </w:rPr>
        <w:t>03</w:t>
      </w:r>
      <w:r>
        <w:rPr>
          <w:rFonts w:hint="default" w:ascii="Times New Roman" w:hAnsi="Times New Roman" w:eastAsia="宋体" w:cs="Times New Roman"/>
          <w:color w:val="000000"/>
          <w:sz w:val="24"/>
          <w:szCs w:val="28"/>
        </w:rPr>
        <w:t>日，</w:t>
      </w:r>
      <w:r>
        <w:rPr>
          <w:rFonts w:hint="eastAsia" w:ascii="Times New Roman" w:hAnsi="Times New Roman" w:eastAsia="宋体" w:cs="Times New Roman"/>
          <w:color w:val="000000"/>
          <w:sz w:val="24"/>
          <w:szCs w:val="28"/>
          <w:lang w:val="en-US" w:eastAsia="zh-CN"/>
        </w:rPr>
        <w:t>山东汇成</w:t>
      </w:r>
      <w:r>
        <w:rPr>
          <w:rFonts w:hint="eastAsia" w:ascii="Times New Roman" w:hAnsi="Times New Roman" w:eastAsia="宋体" w:cs="Times New Roman"/>
          <w:color w:val="000000"/>
          <w:sz w:val="24"/>
          <w:szCs w:val="28"/>
        </w:rPr>
        <w:t>检测</w:t>
      </w:r>
      <w:r>
        <w:rPr>
          <w:rFonts w:hint="eastAsia" w:ascii="Times New Roman" w:hAnsi="Times New Roman" w:eastAsia="宋体" w:cs="Times New Roman"/>
          <w:color w:val="000000"/>
          <w:sz w:val="24"/>
          <w:szCs w:val="28"/>
          <w:lang w:val="en-US" w:eastAsia="zh-CN"/>
        </w:rPr>
        <w:t>科技</w:t>
      </w:r>
      <w:r>
        <w:rPr>
          <w:rFonts w:hint="eastAsia" w:ascii="Times New Roman" w:hAnsi="Times New Roman" w:eastAsia="宋体" w:cs="Times New Roman"/>
          <w:color w:val="000000"/>
          <w:sz w:val="24"/>
          <w:szCs w:val="28"/>
        </w:rPr>
        <w:t>有限公司</w:t>
      </w:r>
      <w:r>
        <w:rPr>
          <w:rFonts w:hint="default" w:ascii="Times New Roman" w:hAnsi="Times New Roman" w:eastAsia="宋体" w:cs="Times New Roman"/>
          <w:color w:val="000000"/>
          <w:sz w:val="24"/>
          <w:szCs w:val="28"/>
        </w:rPr>
        <w:t>安排专业技术人员对项目区域进行了现场勘察和资料收集，查阅有关文件和技术资料，查看污染物治理及排放、环保措施的落实情况，在此基础上编制《</w:t>
      </w:r>
      <w:r>
        <w:rPr>
          <w:rFonts w:hint="eastAsia" w:ascii="Times New Roman" w:hAnsi="Times New Roman" w:eastAsia="宋体" w:cs="Times New Roman"/>
          <w:sz w:val="24"/>
          <w:szCs w:val="28"/>
          <w:lang w:val="en-US" w:eastAsia="zh-CN"/>
        </w:rPr>
        <w:t>山东豪瑞恩全球高端制剂项目</w:t>
      </w:r>
      <w:r>
        <w:rPr>
          <w:rFonts w:hint="eastAsia" w:ascii="Times New Roman" w:hAnsi="Times New Roman" w:eastAsia="宋体" w:cs="Times New Roman"/>
          <w:color w:val="000000"/>
          <w:sz w:val="24"/>
          <w:szCs w:val="28"/>
          <w:lang w:eastAsia="zh-CN"/>
        </w:rPr>
        <w:t>（</w:t>
      </w:r>
      <w:r>
        <w:rPr>
          <w:rFonts w:hint="eastAsia" w:ascii="Times New Roman" w:hAnsi="Times New Roman" w:eastAsia="宋体" w:cs="Times New Roman"/>
          <w:color w:val="000000"/>
          <w:sz w:val="24"/>
          <w:szCs w:val="28"/>
          <w:lang w:val="en-US" w:eastAsia="zh-CN"/>
        </w:rPr>
        <w:t>一期</w:t>
      </w:r>
      <w:r>
        <w:rPr>
          <w:rFonts w:hint="eastAsia"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rPr>
        <w:t>验收监测方案》，确定竣工验收监测内容。并</w:t>
      </w:r>
      <w:r>
        <w:rPr>
          <w:rFonts w:hint="default" w:ascii="Times New Roman" w:hAnsi="Times New Roman" w:eastAsia="宋体" w:cs="Times New Roman"/>
          <w:color w:val="000000"/>
          <w:sz w:val="24"/>
          <w:szCs w:val="28"/>
          <w:lang w:val="en-US" w:eastAsia="zh-CN"/>
        </w:rPr>
        <w:t>于202</w:t>
      </w:r>
      <w:r>
        <w:rPr>
          <w:rFonts w:hint="eastAsia" w:ascii="Times New Roman" w:hAnsi="Times New Roman" w:eastAsia="宋体" w:cs="Times New Roman"/>
          <w:color w:val="000000"/>
          <w:sz w:val="24"/>
          <w:szCs w:val="28"/>
          <w:lang w:val="en-US" w:eastAsia="zh-CN"/>
        </w:rPr>
        <w:t>4</w:t>
      </w:r>
      <w:r>
        <w:rPr>
          <w:rFonts w:hint="default" w:ascii="Times New Roman" w:hAnsi="Times New Roman" w:eastAsia="宋体" w:cs="Times New Roman"/>
          <w:color w:val="000000"/>
          <w:sz w:val="24"/>
          <w:szCs w:val="28"/>
          <w:lang w:val="en-US" w:eastAsia="zh-CN"/>
        </w:rPr>
        <w:t>年</w:t>
      </w:r>
      <w:r>
        <w:rPr>
          <w:rFonts w:hint="eastAsia" w:ascii="Times New Roman" w:hAnsi="Times New Roman" w:eastAsia="宋体" w:cs="Times New Roman"/>
          <w:color w:val="000000"/>
          <w:sz w:val="24"/>
          <w:szCs w:val="28"/>
          <w:lang w:val="en-US" w:eastAsia="zh-CN"/>
        </w:rPr>
        <w:t>01</w:t>
      </w:r>
      <w:r>
        <w:rPr>
          <w:rFonts w:hint="default" w:ascii="Times New Roman" w:hAnsi="Times New Roman" w:eastAsia="宋体" w:cs="Times New Roman"/>
          <w:color w:val="000000"/>
          <w:sz w:val="24"/>
          <w:szCs w:val="28"/>
          <w:lang w:val="en-US" w:eastAsia="zh-CN"/>
        </w:rPr>
        <w:t>月</w:t>
      </w:r>
      <w:r>
        <w:rPr>
          <w:rFonts w:hint="eastAsia" w:ascii="Times New Roman" w:hAnsi="Times New Roman" w:eastAsia="宋体" w:cs="Times New Roman"/>
          <w:color w:val="000000"/>
          <w:sz w:val="24"/>
          <w:szCs w:val="28"/>
          <w:lang w:val="en-US" w:eastAsia="zh-CN"/>
        </w:rPr>
        <w:t>04</w:t>
      </w:r>
      <w:r>
        <w:rPr>
          <w:rFonts w:hint="default" w:ascii="Times New Roman" w:hAnsi="Times New Roman" w:eastAsia="宋体" w:cs="Times New Roman"/>
          <w:color w:val="000000"/>
          <w:sz w:val="24"/>
          <w:szCs w:val="28"/>
          <w:lang w:val="en-US" w:eastAsia="zh-CN"/>
        </w:rPr>
        <w:t>日</w:t>
      </w:r>
      <w:r>
        <w:rPr>
          <w:rFonts w:hint="eastAsia" w:ascii="Times New Roman" w:hAnsi="Times New Roman" w:eastAsia="宋体" w:cs="Times New Roman"/>
          <w:color w:val="000000"/>
          <w:sz w:val="24"/>
          <w:szCs w:val="28"/>
          <w:lang w:val="en-US" w:eastAsia="zh-CN"/>
        </w:rPr>
        <w:t>、</w:t>
      </w:r>
      <w:r>
        <w:rPr>
          <w:rFonts w:hint="default" w:ascii="Times New Roman" w:hAnsi="Times New Roman" w:eastAsia="宋体" w:cs="Times New Roman"/>
          <w:color w:val="000000"/>
          <w:sz w:val="24"/>
          <w:szCs w:val="28"/>
          <w:lang w:val="en-US" w:eastAsia="zh-CN"/>
        </w:rPr>
        <w:t>202</w:t>
      </w:r>
      <w:r>
        <w:rPr>
          <w:rFonts w:hint="eastAsia" w:ascii="Times New Roman" w:hAnsi="Times New Roman" w:eastAsia="宋体" w:cs="Times New Roman"/>
          <w:color w:val="000000"/>
          <w:sz w:val="24"/>
          <w:szCs w:val="28"/>
          <w:lang w:val="en-US" w:eastAsia="zh-CN"/>
        </w:rPr>
        <w:t>4</w:t>
      </w:r>
      <w:r>
        <w:rPr>
          <w:rFonts w:hint="default" w:ascii="Times New Roman" w:hAnsi="Times New Roman" w:eastAsia="宋体" w:cs="Times New Roman"/>
          <w:color w:val="000000"/>
          <w:sz w:val="24"/>
          <w:szCs w:val="28"/>
          <w:lang w:val="en-US" w:eastAsia="zh-CN"/>
        </w:rPr>
        <w:t>年</w:t>
      </w:r>
      <w:r>
        <w:rPr>
          <w:rFonts w:hint="eastAsia" w:ascii="Times New Roman" w:hAnsi="Times New Roman" w:eastAsia="宋体" w:cs="Times New Roman"/>
          <w:color w:val="000000"/>
          <w:sz w:val="24"/>
          <w:szCs w:val="28"/>
          <w:lang w:val="en-US" w:eastAsia="zh-CN"/>
        </w:rPr>
        <w:t>01</w:t>
      </w:r>
      <w:r>
        <w:rPr>
          <w:rFonts w:hint="default" w:ascii="Times New Roman" w:hAnsi="Times New Roman" w:eastAsia="宋体" w:cs="Times New Roman"/>
          <w:color w:val="000000"/>
          <w:sz w:val="24"/>
          <w:szCs w:val="28"/>
          <w:lang w:val="en-US" w:eastAsia="zh-CN"/>
        </w:rPr>
        <w:t>月</w:t>
      </w:r>
      <w:r>
        <w:rPr>
          <w:rFonts w:hint="eastAsia" w:ascii="Times New Roman" w:hAnsi="Times New Roman" w:eastAsia="宋体" w:cs="Times New Roman"/>
          <w:color w:val="000000"/>
          <w:sz w:val="24"/>
          <w:szCs w:val="28"/>
          <w:lang w:val="en-US" w:eastAsia="zh-CN"/>
        </w:rPr>
        <w:t>05</w:t>
      </w:r>
      <w:r>
        <w:rPr>
          <w:rFonts w:hint="default" w:ascii="Times New Roman" w:hAnsi="Times New Roman" w:eastAsia="宋体" w:cs="Times New Roman"/>
          <w:color w:val="000000"/>
          <w:sz w:val="24"/>
          <w:szCs w:val="28"/>
          <w:lang w:val="en-US" w:eastAsia="zh-CN"/>
        </w:rPr>
        <w:t>日依据验</w:t>
      </w:r>
      <w:r>
        <w:rPr>
          <w:rFonts w:hint="default" w:ascii="Times New Roman" w:hAnsi="Times New Roman" w:eastAsia="宋体" w:cs="Times New Roman"/>
          <w:color w:val="000000"/>
          <w:sz w:val="24"/>
          <w:szCs w:val="28"/>
        </w:rPr>
        <w:t>收监测方案确定的内容进行现场监测且对照该项目的环境影响报告表和环评批复进行了环境管理检查，</w:t>
      </w:r>
      <w:r>
        <w:rPr>
          <w:rFonts w:hint="eastAsia" w:ascii="Times New Roman" w:hAnsi="Times New Roman" w:eastAsia="宋体" w:cs="Times New Roman"/>
          <w:sz w:val="24"/>
          <w:szCs w:val="28"/>
          <w:lang w:val="en-US" w:eastAsia="zh-CN"/>
        </w:rPr>
        <w:t>山东豪瑞恩制药有限公司</w:t>
      </w:r>
      <w:r>
        <w:rPr>
          <w:rFonts w:hint="default" w:ascii="Times New Roman" w:hAnsi="Times New Roman" w:eastAsia="宋体" w:cs="Times New Roman"/>
          <w:color w:val="000000"/>
          <w:sz w:val="24"/>
          <w:szCs w:val="28"/>
        </w:rPr>
        <w:t>根据验收监测结果和现场检查情况编制了《</w:t>
      </w:r>
      <w:r>
        <w:rPr>
          <w:rFonts w:hint="eastAsia" w:ascii="Times New Roman" w:hAnsi="Times New Roman" w:eastAsia="宋体" w:cs="Times New Roman"/>
          <w:sz w:val="24"/>
          <w:szCs w:val="28"/>
          <w:lang w:val="en-US" w:eastAsia="zh-CN"/>
        </w:rPr>
        <w:t>山东豪瑞恩全球高端制剂项目</w:t>
      </w:r>
      <w:r>
        <w:rPr>
          <w:rFonts w:hint="default" w:ascii="Times New Roman" w:hAnsi="Times New Roman" w:eastAsia="宋体" w:cs="Times New Roman"/>
          <w:color w:val="000000"/>
          <w:sz w:val="24"/>
          <w:szCs w:val="28"/>
        </w:rPr>
        <w:t>竣工环境保护验收</w:t>
      </w:r>
      <w:r>
        <w:rPr>
          <w:rFonts w:hint="default" w:ascii="Times New Roman" w:hAnsi="Times New Roman" w:eastAsia="宋体" w:cs="Times New Roman"/>
          <w:color w:val="000000" w:themeColor="text1"/>
          <w:sz w:val="24"/>
          <w:szCs w:val="28"/>
          <w14:textFill>
            <w14:solidFill>
              <w14:schemeClr w14:val="tx1"/>
            </w14:solidFill>
          </w14:textFill>
        </w:rPr>
        <w:t>报告</w:t>
      </w:r>
      <w:r>
        <w:rPr>
          <w:rFonts w:hint="eastAsia" w:ascii="Times New Roman" w:hAnsi="Times New Roman" w:eastAsia="宋体" w:cs="Times New Roman"/>
          <w:sz w:val="24"/>
          <w:szCs w:val="28"/>
          <w:lang w:val="en-US" w:eastAsia="zh-CN"/>
        </w:rPr>
        <w:t>（一期）</w:t>
      </w:r>
      <w:r>
        <w:rPr>
          <w:rFonts w:hint="default" w:ascii="Times New Roman" w:hAnsi="Times New Roman" w:eastAsia="宋体" w:cs="Times New Roman"/>
          <w:sz w:val="24"/>
          <w:szCs w:val="28"/>
          <w:lang w:val="en-US" w:eastAsia="zh-CN"/>
        </w:rPr>
        <w:t>》。于202</w:t>
      </w:r>
      <w:r>
        <w:rPr>
          <w:rFonts w:hint="eastAsia" w:ascii="Times New Roman" w:hAnsi="Times New Roman" w:eastAsia="宋体" w:cs="Times New Roman"/>
          <w:sz w:val="24"/>
          <w:szCs w:val="28"/>
          <w:lang w:val="en-US" w:eastAsia="zh-CN"/>
        </w:rPr>
        <w:t>4</w:t>
      </w:r>
      <w:r>
        <w:rPr>
          <w:rFonts w:hint="default" w:ascii="Times New Roman" w:hAnsi="Times New Roman" w:eastAsia="宋体" w:cs="Times New Roman"/>
          <w:sz w:val="24"/>
          <w:szCs w:val="28"/>
          <w:lang w:val="en-US" w:eastAsia="zh-CN"/>
        </w:rPr>
        <w:t>年</w:t>
      </w:r>
      <w:r>
        <w:rPr>
          <w:rFonts w:hint="eastAsia" w:ascii="Times New Roman" w:hAnsi="Times New Roman" w:eastAsia="宋体" w:cs="Times New Roman"/>
          <w:sz w:val="24"/>
          <w:szCs w:val="28"/>
          <w:lang w:val="en-US" w:eastAsia="zh-CN"/>
        </w:rPr>
        <w:t>01</w:t>
      </w:r>
      <w:r>
        <w:rPr>
          <w:rFonts w:hint="default" w:ascii="Times New Roman" w:hAnsi="Times New Roman" w:eastAsia="宋体" w:cs="Times New Roman"/>
          <w:sz w:val="24"/>
          <w:szCs w:val="28"/>
          <w:lang w:val="en-US" w:eastAsia="zh-CN"/>
        </w:rPr>
        <w:t>月</w:t>
      </w:r>
      <w:r>
        <w:rPr>
          <w:rFonts w:hint="eastAsia" w:ascii="Times New Roman" w:hAnsi="Times New Roman" w:eastAsia="宋体" w:cs="Times New Roman"/>
          <w:sz w:val="24"/>
          <w:szCs w:val="28"/>
          <w:lang w:val="en-US" w:eastAsia="zh-CN"/>
        </w:rPr>
        <w:t>19</w:t>
      </w:r>
      <w:r>
        <w:rPr>
          <w:rFonts w:hint="default" w:ascii="Times New Roman" w:hAnsi="Times New Roman" w:eastAsia="宋体" w:cs="Times New Roman"/>
          <w:sz w:val="24"/>
          <w:szCs w:val="28"/>
          <w:lang w:val="en-US" w:eastAsia="zh-CN"/>
        </w:rPr>
        <w:t>日，</w:t>
      </w:r>
      <w:r>
        <w:rPr>
          <w:rFonts w:hint="eastAsia" w:ascii="Times New Roman" w:hAnsi="Times New Roman" w:eastAsia="宋体" w:cs="Times New Roman"/>
          <w:sz w:val="24"/>
          <w:szCs w:val="28"/>
          <w:lang w:val="en-US" w:eastAsia="zh-CN"/>
        </w:rPr>
        <w:t>山东豪瑞恩制药有限公司</w:t>
      </w:r>
      <w:r>
        <w:rPr>
          <w:rFonts w:hint="default" w:ascii="Times New Roman" w:hAnsi="Times New Roman" w:eastAsia="宋体" w:cs="Times New Roman"/>
          <w:sz w:val="24"/>
          <w:szCs w:val="28"/>
          <w:lang w:val="en-US" w:eastAsia="zh-CN"/>
        </w:rPr>
        <w:t>邀请专家共同组</w:t>
      </w:r>
      <w:r>
        <w:rPr>
          <w:rFonts w:hint="default" w:ascii="Times New Roman" w:hAnsi="Times New Roman" w:eastAsia="宋体" w:cs="Times New Roman"/>
          <w:color w:val="000000" w:themeColor="text1"/>
          <w:sz w:val="24"/>
          <w:szCs w:val="28"/>
          <w14:textFill>
            <w14:solidFill>
              <w14:schemeClr w14:val="tx1"/>
            </w14:solidFill>
          </w14:textFill>
        </w:rPr>
        <w:t>织成立验收工作组，对</w:t>
      </w:r>
      <w:r>
        <w:rPr>
          <w:rFonts w:hint="eastAsia" w:ascii="Times New Roman" w:hAnsi="Times New Roman" w:eastAsia="宋体" w:cs="Times New Roman"/>
          <w:color w:val="000000" w:themeColor="text1"/>
          <w:sz w:val="24"/>
          <w:szCs w:val="28"/>
          <w:lang w:eastAsia="zh-CN"/>
          <w14:textFill>
            <w14:solidFill>
              <w14:schemeClr w14:val="tx1"/>
            </w14:solidFill>
          </w14:textFill>
        </w:rPr>
        <w:t>“</w:t>
      </w:r>
      <w:r>
        <w:rPr>
          <w:rFonts w:hint="eastAsia" w:ascii="Times New Roman" w:hAnsi="Times New Roman" w:eastAsia="宋体" w:cs="Times New Roman"/>
          <w:sz w:val="24"/>
          <w:szCs w:val="28"/>
          <w:lang w:val="en-US" w:eastAsia="zh-CN"/>
        </w:rPr>
        <w:t>山东豪瑞恩全球高端制剂项目</w:t>
      </w:r>
      <w:r>
        <w:rPr>
          <w:rFonts w:hint="eastAsia" w:ascii="Times New Roman" w:hAnsi="Times New Roman" w:eastAsia="宋体" w:cs="Times New Roman"/>
          <w:color w:val="000000"/>
          <w:sz w:val="24"/>
          <w:szCs w:val="28"/>
          <w:lang w:eastAsia="zh-CN"/>
        </w:rPr>
        <w:t>（</w:t>
      </w:r>
      <w:r>
        <w:rPr>
          <w:rFonts w:hint="eastAsia" w:ascii="Times New Roman" w:hAnsi="Times New Roman" w:eastAsia="宋体" w:cs="Times New Roman"/>
          <w:color w:val="000000"/>
          <w:sz w:val="24"/>
          <w:szCs w:val="28"/>
          <w:lang w:val="en-US" w:eastAsia="zh-CN"/>
        </w:rPr>
        <w:t>一期</w:t>
      </w:r>
      <w:r>
        <w:rPr>
          <w:rFonts w:hint="eastAsia" w:ascii="Times New Roman" w:hAnsi="Times New Roman" w:eastAsia="宋体" w:cs="Times New Roman"/>
          <w:color w:val="000000"/>
          <w:sz w:val="24"/>
          <w:szCs w:val="28"/>
          <w:lang w:eastAsia="zh-CN"/>
        </w:rPr>
        <w:t>）</w:t>
      </w:r>
      <w:r>
        <w:rPr>
          <w:rFonts w:hint="eastAsia" w:ascii="Times New Roman" w:hAnsi="Times New Roman" w:eastAsia="宋体" w:cs="Times New Roman"/>
          <w:color w:val="000000" w:themeColor="text1"/>
          <w:sz w:val="24"/>
          <w:szCs w:val="28"/>
          <w:lang w:eastAsia="zh-CN"/>
          <w14:textFill>
            <w14:solidFill>
              <w14:schemeClr w14:val="tx1"/>
            </w14:solidFill>
          </w14:textFill>
        </w:rPr>
        <w:t>”</w:t>
      </w:r>
      <w:r>
        <w:rPr>
          <w:rFonts w:hint="default" w:ascii="Times New Roman" w:hAnsi="Times New Roman" w:eastAsia="宋体" w:cs="Times New Roman"/>
          <w:color w:val="000000" w:themeColor="text1"/>
          <w:sz w:val="24"/>
          <w:szCs w:val="28"/>
          <w14:textFill>
            <w14:solidFill>
              <w14:schemeClr w14:val="tx1"/>
            </w14:solidFill>
          </w14:textFill>
        </w:rPr>
        <w:t>进行竣工环境保护</w:t>
      </w:r>
      <w:r>
        <w:rPr>
          <w:rFonts w:hint="default" w:ascii="Times New Roman" w:hAnsi="Times New Roman" w:eastAsia="宋体" w:cs="Times New Roman"/>
          <w:color w:val="000000"/>
          <w:sz w:val="24"/>
          <w:szCs w:val="28"/>
        </w:rPr>
        <w:t>验收并同意通过。在报告的编制及完善过程中，参阅了大量的相关资料，同时，得到了环保行政主管部门众位领导和专家技术人员的大力支持，在此一并表示衷心的感谢</w:t>
      </w:r>
      <w:r>
        <w:rPr>
          <w:rFonts w:hint="default" w:ascii="Times New Roman" w:hAnsi="Times New Roman" w:eastAsia="宋体" w:cs="Times New Roman"/>
          <w:color w:val="000000"/>
          <w:sz w:val="24"/>
          <w:szCs w:val="28"/>
          <w:lang w:eastAsia="zh-CN"/>
        </w:rPr>
        <w:t>！</w:t>
      </w:r>
    </w:p>
    <w:p>
      <w:pPr>
        <w:pStyle w:val="38"/>
        <w:spacing w:line="360" w:lineRule="auto"/>
        <w:ind w:firstLine="0" w:firstLineChars="0"/>
        <w:jc w:val="left"/>
        <w:outlineLvl w:val="1"/>
        <w:rPr>
          <w:rFonts w:hint="default" w:ascii="Times New Roman" w:hAnsi="Times New Roman" w:eastAsia="宋体" w:cs="Times New Roman"/>
          <w:b/>
          <w:color w:val="auto"/>
          <w:sz w:val="28"/>
          <w:szCs w:val="32"/>
        </w:rPr>
      </w:pPr>
      <w:bookmarkStart w:id="3" w:name="_Toc21642"/>
      <w:r>
        <w:rPr>
          <w:rFonts w:hint="default" w:ascii="Times New Roman" w:hAnsi="Times New Roman" w:eastAsia="宋体" w:cs="Times New Roman"/>
          <w:b/>
          <w:color w:val="auto"/>
          <w:sz w:val="28"/>
          <w:szCs w:val="32"/>
        </w:rPr>
        <w:t>1.2验收内容及目的</w:t>
      </w:r>
      <w:bookmarkEnd w:id="3"/>
    </w:p>
    <w:p>
      <w:pPr>
        <w:pStyle w:val="38"/>
        <w:spacing w:line="360" w:lineRule="auto"/>
        <w:ind w:firstLine="0" w:firstLineChars="0"/>
        <w:jc w:val="left"/>
        <w:rPr>
          <w:rFonts w:hint="default" w:ascii="Times New Roman" w:hAnsi="Times New Roman" w:eastAsia="宋体" w:cs="Times New Roman"/>
          <w:b/>
          <w:color w:val="auto"/>
          <w:sz w:val="24"/>
          <w:szCs w:val="32"/>
        </w:rPr>
      </w:pPr>
      <w:r>
        <w:rPr>
          <w:rFonts w:hint="default" w:ascii="Times New Roman" w:hAnsi="Times New Roman" w:eastAsia="宋体" w:cs="Times New Roman"/>
          <w:b/>
          <w:color w:val="auto"/>
          <w:sz w:val="24"/>
          <w:szCs w:val="32"/>
        </w:rPr>
        <w:t>1.2.1验收内容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核查项目在设计、施工和试运营阶段对设计文件、环评报告、环评批复及环评变更报告中所提出的环保措施的落实情况。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核查项目实际建设内容、实际生产能力、产品内容及原辅料的使用情况。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核查项目各类污染物实际产生情况及采取的污染控制措施，分析各项污染控制措施实施的有效性；通过现场检查和实地监测，核查项目污染物达标排放情况及污染物排放总量的落实情况。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核查项目环境风险防范措施和应急预案的制定和执行情况，核查环保管理制定和实施情况，相应的环保机构、人员和监测设备的配备情况。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核查项目周边敏感保护目标分布及受影响情况；核查卫生防护距离内是否有新建环境敏感建筑物。</w:t>
      </w:r>
    </w:p>
    <w:p>
      <w:pPr>
        <w:pStyle w:val="38"/>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1.2.2验收范围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lang w:val="en-US"/>
        </w:rPr>
      </w:pPr>
      <w:r>
        <w:rPr>
          <w:rFonts w:hint="default" w:ascii="Times New Roman" w:hAnsi="Times New Roman" w:eastAsia="宋体" w:cs="Times New Roman"/>
          <w:color w:val="000000"/>
          <w:sz w:val="24"/>
          <w:szCs w:val="28"/>
        </w:rPr>
        <w:t>本次验收范围为《</w:t>
      </w:r>
      <w:r>
        <w:rPr>
          <w:rFonts w:hint="eastAsia" w:ascii="Times New Roman" w:hAnsi="Times New Roman" w:eastAsia="宋体" w:cs="Times New Roman"/>
          <w:color w:val="000000"/>
          <w:sz w:val="24"/>
          <w:szCs w:val="28"/>
          <w:lang w:val="en-US" w:eastAsia="zh-CN"/>
        </w:rPr>
        <w:t>山东豪瑞恩全球高端制剂项目（一期）</w:t>
      </w:r>
      <w:r>
        <w:rPr>
          <w:rFonts w:hint="default" w:ascii="Times New Roman" w:hAnsi="Times New Roman" w:eastAsia="宋体" w:cs="Times New Roman"/>
          <w:color w:val="000000"/>
          <w:sz w:val="24"/>
          <w:szCs w:val="28"/>
        </w:rPr>
        <w:t>》建设内容及配套的环保设施，主要包括</w:t>
      </w:r>
      <w:r>
        <w:rPr>
          <w:rFonts w:hint="eastAsia" w:ascii="Times New Roman" w:hAnsi="Times New Roman" w:eastAsia="宋体" w:cs="Times New Roman"/>
          <w:color w:val="000000"/>
          <w:sz w:val="24"/>
          <w:szCs w:val="28"/>
          <w:lang w:val="en-US" w:eastAsia="zh-CN"/>
        </w:rPr>
        <w:t>年产小容量（</w:t>
      </w:r>
      <w:r>
        <w:rPr>
          <w:rFonts w:hint="default" w:ascii="Times New Roman" w:hAnsi="Times New Roman" w:eastAsia="宋体" w:cs="Times New Roman"/>
          <w:color w:val="000000"/>
          <w:sz w:val="24"/>
          <w:szCs w:val="28"/>
          <w:lang w:val="en-US" w:eastAsia="zh-CN"/>
        </w:rPr>
        <w:t>安瓿瓶</w:t>
      </w:r>
      <w:r>
        <w:rPr>
          <w:rFonts w:hint="eastAsia" w:ascii="Times New Roman" w:hAnsi="Times New Roman" w:eastAsia="宋体" w:cs="Times New Roman"/>
          <w:color w:val="000000"/>
          <w:sz w:val="24"/>
          <w:szCs w:val="28"/>
          <w:lang w:val="en-US" w:eastAsia="zh-CN"/>
        </w:rPr>
        <w:t>）注射剂产品：维生素B6注射液500万支、钠钾镁钙注射用浓溶液800万支，共计1300万支；小容量（西林瓶）冻干注射剂产品：注射用盐酸罗沙替丁醋酸酯80万支、注射用地尔硫卓80万支，共计160万支；</w:t>
      </w:r>
      <w:r>
        <w:rPr>
          <w:rFonts w:hint="default" w:ascii="Times New Roman" w:hAnsi="Times New Roman" w:eastAsia="宋体" w:cs="Times New Roman"/>
          <w:color w:val="000000"/>
          <w:sz w:val="24"/>
          <w:szCs w:val="28"/>
          <w:lang w:val="en-US" w:eastAsia="zh-CN"/>
        </w:rPr>
        <w:t>以及配套的环保设备</w:t>
      </w:r>
      <w:r>
        <w:rPr>
          <w:rFonts w:hint="default" w:ascii="Times New Roman" w:hAnsi="Times New Roman" w:eastAsia="宋体" w:cs="Times New Roman"/>
          <w:color w:val="000000"/>
          <w:sz w:val="24"/>
          <w:szCs w:val="28"/>
        </w:rPr>
        <w:t>等。</w:t>
      </w:r>
    </w:p>
    <w:p>
      <w:pPr>
        <w:pStyle w:val="38"/>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1.2.3验收目的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本次验收的主要目的是通过对项目污染物排放达标情况、环保设施运行情况、污染物治理效果、环境风险及环境管理调查，综合分析、评价得出结论，以验收报告的形式为建设项目竣工环境保护验收及验收后的日常监督管理提供技术依据。</w:t>
      </w:r>
    </w:p>
    <w:p>
      <w:pPr>
        <w:spacing w:line="360" w:lineRule="auto"/>
        <w:ind w:firstLine="480" w:firstLineChars="200"/>
        <w:rPr>
          <w:rFonts w:hint="default" w:ascii="Times New Roman" w:hAnsi="Times New Roman" w:eastAsia="宋体" w:cs="Times New Roman"/>
          <w:sz w:val="24"/>
          <w:szCs w:val="28"/>
        </w:rPr>
      </w:pPr>
      <w:r>
        <w:rPr>
          <w:rFonts w:hint="default" w:ascii="Times New Roman" w:hAnsi="Times New Roman" w:eastAsia="宋体" w:cs="Times New Roman"/>
          <w:sz w:val="24"/>
          <w:szCs w:val="28"/>
        </w:rPr>
        <w:br w:type="page"/>
      </w:r>
    </w:p>
    <w:p>
      <w:pPr>
        <w:pStyle w:val="38"/>
        <w:spacing w:line="360" w:lineRule="auto"/>
        <w:ind w:left="-210" w:leftChars="-100" w:firstLine="0" w:firstLineChars="0"/>
        <w:jc w:val="center"/>
        <w:outlineLvl w:val="0"/>
        <w:rPr>
          <w:rFonts w:hint="default" w:ascii="Times New Roman" w:hAnsi="Times New Roman" w:eastAsia="宋体" w:cs="Times New Roman"/>
          <w:b/>
          <w:sz w:val="32"/>
          <w:szCs w:val="32"/>
        </w:rPr>
      </w:pPr>
      <w:bookmarkStart w:id="4" w:name="_Toc20515"/>
      <w:r>
        <w:rPr>
          <w:rFonts w:hint="default" w:ascii="Times New Roman" w:hAnsi="Times New Roman" w:eastAsia="宋体" w:cs="Times New Roman"/>
          <w:b/>
          <w:sz w:val="32"/>
          <w:szCs w:val="32"/>
        </w:rPr>
        <w:t>2、验收依据</w:t>
      </w:r>
      <w:bookmarkEnd w:id="4"/>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5" w:name="_Toc29635"/>
      <w:bookmarkStart w:id="6" w:name="_Toc17677"/>
      <w:bookmarkStart w:id="7" w:name="_Toc502136283"/>
      <w:r>
        <w:rPr>
          <w:rFonts w:hint="default" w:ascii="Times New Roman" w:hAnsi="Times New Roman" w:eastAsia="宋体" w:cs="Times New Roman"/>
          <w:b/>
          <w:sz w:val="28"/>
          <w:szCs w:val="32"/>
        </w:rPr>
        <w:t>2.1</w:t>
      </w:r>
      <w:bookmarkEnd w:id="5"/>
      <w:bookmarkStart w:id="8" w:name="_Toc502061656"/>
      <w:bookmarkStart w:id="9" w:name="_Toc501815002"/>
      <w:r>
        <w:rPr>
          <w:rFonts w:hint="default" w:ascii="Times New Roman" w:hAnsi="Times New Roman" w:eastAsia="宋体" w:cs="Times New Roman"/>
          <w:b/>
          <w:sz w:val="28"/>
          <w:szCs w:val="32"/>
        </w:rPr>
        <w:t>法律</w:t>
      </w:r>
      <w:bookmarkEnd w:id="8"/>
      <w:bookmarkEnd w:id="9"/>
      <w:r>
        <w:rPr>
          <w:rFonts w:hint="default" w:ascii="Times New Roman" w:hAnsi="Times New Roman" w:eastAsia="宋体" w:cs="Times New Roman"/>
          <w:b/>
          <w:sz w:val="28"/>
          <w:szCs w:val="32"/>
        </w:rPr>
        <w:t>依据</w:t>
      </w:r>
      <w:bookmarkEnd w:id="6"/>
      <w:bookmarkEnd w:id="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bookmarkStart w:id="10" w:name="_Toc502136284"/>
      <w:r>
        <w:rPr>
          <w:rFonts w:hint="default" w:ascii="Times New Roman" w:hAnsi="Times New Roman" w:eastAsia="宋体" w:cs="Times New Roman"/>
          <w:color w:val="000000"/>
          <w:sz w:val="24"/>
          <w:szCs w:val="28"/>
        </w:rPr>
        <w:t>1、《中华人民共和国环境保护法》，（2015年1月1日起施行）；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2、《中华人民共和国环境影响评价法》，（2018年12月29日，修订）；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3、《中华人民共和国水污染防治法》（2018年1月1日起施行）；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4、《中华人民共和国大气污染防治法》，（2018年10月26日，修订）；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5、《中华人民共和国噪声污染防治法》，（2018年12月29日，修订）；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6、《中华人民共和国固体废物污染环境防治法》，（2020年09月01日施行修订）；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7、《建设项目环境保护管理条例》，（2017年10月1日起施行）；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8、《建设项目环境影响评价分类管理名录》（2021年版）；</w:t>
      </w:r>
    </w:p>
    <w:p>
      <w:pPr>
        <w:pStyle w:val="38"/>
        <w:spacing w:line="360" w:lineRule="auto"/>
        <w:ind w:firstLine="0" w:firstLineChars="0"/>
        <w:jc w:val="left"/>
        <w:outlineLvl w:val="1"/>
        <w:rPr>
          <w:rFonts w:hint="default" w:ascii="Times New Roman" w:hAnsi="Times New Roman" w:eastAsia="宋体" w:cs="Times New Roman"/>
          <w:color w:val="000000"/>
          <w:sz w:val="24"/>
          <w:szCs w:val="28"/>
        </w:rPr>
      </w:pPr>
      <w:bookmarkStart w:id="11" w:name="_Toc23203"/>
      <w:r>
        <w:rPr>
          <w:rFonts w:hint="default" w:ascii="Times New Roman" w:hAnsi="Times New Roman" w:eastAsia="宋体" w:cs="Times New Roman"/>
          <w:b/>
          <w:sz w:val="28"/>
          <w:szCs w:val="32"/>
        </w:rPr>
        <w:t>2.2验收技术规范</w:t>
      </w:r>
      <w:bookmarkEnd w:id="1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1、《环境影响评价技术导则 总纲》（HJ2.1-2016）；</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2、《环境影响评价技术导则 大气环境》（HJ2.2-2018）；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3、《环境影响评价技术导则 地表水环境》（HJ2.3-2018）；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4、《环境影响评价技术导则 地下水环境》（HJ610-2016）；</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5、《环境影响评价技术导则 声环境》（HJ2.4-20</w:t>
      </w:r>
      <w:r>
        <w:rPr>
          <w:rFonts w:hint="default" w:ascii="Times New Roman" w:hAnsi="Times New Roman" w:eastAsia="宋体" w:cs="Times New Roman"/>
          <w:color w:val="000000"/>
          <w:sz w:val="24"/>
          <w:szCs w:val="28"/>
          <w:lang w:val="en-US" w:eastAsia="zh-CN"/>
        </w:rPr>
        <w:t>21</w:t>
      </w:r>
      <w:r>
        <w:rPr>
          <w:rFonts w:hint="default" w:ascii="Times New Roman" w:hAnsi="Times New Roman" w:eastAsia="宋体" w:cs="Times New Roman"/>
          <w:color w:val="000000"/>
          <w:sz w:val="24"/>
          <w:szCs w:val="28"/>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6、《环境影响评价技术导则 生态影响》（HJ19-20</w:t>
      </w:r>
      <w:r>
        <w:rPr>
          <w:rFonts w:hint="default" w:ascii="Times New Roman" w:hAnsi="Times New Roman" w:eastAsia="宋体" w:cs="Times New Roman"/>
          <w:color w:val="000000"/>
          <w:sz w:val="24"/>
          <w:szCs w:val="28"/>
          <w:lang w:val="en-US" w:eastAsia="zh-CN"/>
        </w:rPr>
        <w:t>22</w:t>
      </w:r>
      <w:r>
        <w:rPr>
          <w:rFonts w:hint="default" w:ascii="Times New Roman" w:hAnsi="Times New Roman" w:eastAsia="宋体" w:cs="Times New Roman"/>
          <w:color w:val="000000"/>
          <w:sz w:val="24"/>
          <w:szCs w:val="28"/>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7、《环境空气质量标准》（GB3095-2012）；</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8、《声环境质量标准》（GB3096-2008）；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9、《地下水质量标准》（GB/14848-2017）；</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10、《地表水环境质量标准》（GB3838-2002）；</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11、《工业企业厂界环境噪声排放标准》（GB12348-2008）；</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12、</w:t>
      </w:r>
      <w:r>
        <w:rPr>
          <w:rFonts w:hint="default" w:ascii="Times New Roman" w:hAnsi="Times New Roman" w:eastAsia="宋体" w:cs="Times New Roman"/>
          <w:color w:val="000000"/>
          <w:sz w:val="24"/>
          <w:szCs w:val="28"/>
          <w:lang w:eastAsia="zh-CN"/>
        </w:rPr>
        <w:t>《一般工业固体废物贮存和填埋污染控制标准》（GB18599-2020）</w:t>
      </w:r>
      <w:r>
        <w:rPr>
          <w:rFonts w:hint="default" w:ascii="Times New Roman" w:hAnsi="Times New Roman" w:eastAsia="宋体" w:cs="Times New Roman"/>
          <w:color w:val="000000"/>
          <w:sz w:val="24"/>
          <w:szCs w:val="28"/>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13、《危险废物贮存污染控制标准》(GB18597-20</w:t>
      </w:r>
      <w:r>
        <w:rPr>
          <w:rFonts w:hint="eastAsia" w:ascii="Times New Roman" w:hAnsi="Times New Roman" w:eastAsia="宋体" w:cs="Times New Roman"/>
          <w:color w:val="000000"/>
          <w:sz w:val="24"/>
          <w:szCs w:val="28"/>
          <w:lang w:val="en-US" w:eastAsia="zh-CN"/>
        </w:rPr>
        <w:t>23</w:t>
      </w:r>
      <w:r>
        <w:rPr>
          <w:rFonts w:hint="default" w:ascii="Times New Roman" w:hAnsi="Times New Roman" w:eastAsia="宋体" w:cs="Times New Roman"/>
          <w:color w:val="000000"/>
          <w:sz w:val="24"/>
          <w:szCs w:val="28"/>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14、《生活垃圾填埋场污染控制标准》（GB16899-2008）；</w:t>
      </w:r>
    </w:p>
    <w:p>
      <w:pPr>
        <w:spacing w:line="360" w:lineRule="auto"/>
        <w:ind w:firstLine="480" w:firstLineChars="200"/>
        <w:rPr>
          <w:rFonts w:hint="default" w:ascii="Times New Roman" w:hAnsi="Times New Roman" w:eastAsia="宋体" w:cs="Times New Roman"/>
          <w:color w:val="000000"/>
          <w:sz w:val="24"/>
          <w:szCs w:val="28"/>
          <w:lang w:val="en-US" w:eastAsia="zh-CN"/>
        </w:rPr>
      </w:pPr>
      <w:r>
        <w:rPr>
          <w:rFonts w:hint="eastAsia" w:ascii="Times New Roman" w:hAnsi="Times New Roman" w:eastAsia="宋体" w:cs="Times New Roman"/>
          <w:color w:val="000000"/>
          <w:sz w:val="24"/>
          <w:szCs w:val="28"/>
          <w:lang w:val="en-US" w:eastAsia="zh-CN"/>
        </w:rPr>
        <w:t>15、</w:t>
      </w:r>
      <w:r>
        <w:rPr>
          <w:rFonts w:hint="default" w:ascii="Times New Roman" w:hAnsi="Times New Roman" w:eastAsia="宋体" w:cs="Times New Roman"/>
          <w:color w:val="000000"/>
          <w:sz w:val="24"/>
          <w:szCs w:val="28"/>
          <w:lang w:val="en-US" w:eastAsia="zh-CN"/>
        </w:rPr>
        <w:t>《恶臭污染物排放标准》（GB14554-93）</w:t>
      </w:r>
      <w:r>
        <w:rPr>
          <w:rFonts w:hint="eastAsia" w:ascii="Times New Roman" w:hAnsi="Times New Roman" w:eastAsia="宋体" w:cs="Times New Roman"/>
          <w:color w:val="000000"/>
          <w:sz w:val="24"/>
          <w:szCs w:val="28"/>
          <w:lang w:val="en-US" w:eastAsia="zh-CN"/>
        </w:rPr>
        <w:t>；</w:t>
      </w:r>
    </w:p>
    <w:p>
      <w:pPr>
        <w:spacing w:line="360" w:lineRule="auto"/>
        <w:ind w:firstLine="480" w:firstLineChars="200"/>
        <w:rPr>
          <w:rFonts w:hint="default" w:ascii="Times New Roman" w:hAnsi="Times New Roman" w:eastAsia="宋体" w:cs="Times New Roman"/>
          <w:color w:val="000000"/>
          <w:sz w:val="24"/>
          <w:szCs w:val="28"/>
          <w:lang w:val="en-US" w:eastAsia="zh-CN"/>
        </w:rPr>
      </w:pPr>
      <w:r>
        <w:rPr>
          <w:rFonts w:hint="eastAsia" w:ascii="Times New Roman" w:hAnsi="Times New Roman" w:eastAsia="宋体" w:cs="Times New Roman"/>
          <w:color w:val="000000"/>
          <w:sz w:val="24"/>
          <w:szCs w:val="28"/>
          <w:lang w:val="en-US" w:eastAsia="zh-CN"/>
        </w:rPr>
        <w:t>16、</w:t>
      </w:r>
      <w:r>
        <w:rPr>
          <w:rFonts w:hint="default" w:ascii="Times New Roman" w:hAnsi="Times New Roman" w:eastAsia="宋体" w:cs="Times New Roman"/>
          <w:color w:val="000000"/>
          <w:sz w:val="24"/>
          <w:szCs w:val="28"/>
          <w:lang w:val="en-US" w:eastAsia="zh-CN"/>
        </w:rPr>
        <w:t>《挥发性有机物排放标准 第7部分：其他行业》（DB37/2801.7-2019）</w:t>
      </w:r>
      <w:r>
        <w:rPr>
          <w:rFonts w:hint="eastAsia" w:ascii="Times New Roman" w:hAnsi="Times New Roman" w:eastAsia="宋体" w:cs="Times New Roman"/>
          <w:color w:val="000000"/>
          <w:sz w:val="24"/>
          <w:szCs w:val="28"/>
          <w:lang w:val="en-US" w:eastAsia="zh-CN"/>
        </w:rPr>
        <w:t>；</w:t>
      </w:r>
    </w:p>
    <w:p>
      <w:pPr>
        <w:spacing w:line="360" w:lineRule="auto"/>
        <w:ind w:firstLine="480" w:firstLineChars="200"/>
        <w:rPr>
          <w:rFonts w:hint="default" w:ascii="Times New Roman" w:hAnsi="Times New Roman" w:eastAsia="宋体" w:cs="Times New Roman"/>
          <w:color w:val="000000"/>
          <w:sz w:val="24"/>
          <w:szCs w:val="28"/>
        </w:rPr>
      </w:pPr>
      <w:r>
        <w:rPr>
          <w:rFonts w:hint="eastAsia" w:ascii="Times New Roman" w:hAnsi="Times New Roman" w:eastAsia="宋体" w:cs="Times New Roman"/>
          <w:color w:val="000000"/>
          <w:sz w:val="24"/>
          <w:szCs w:val="28"/>
          <w:lang w:val="en-US" w:eastAsia="zh-CN"/>
        </w:rPr>
        <w:t>17</w:t>
      </w:r>
      <w:r>
        <w:rPr>
          <w:rFonts w:hint="default" w:ascii="Times New Roman" w:hAnsi="Times New Roman" w:eastAsia="宋体" w:cs="Times New Roman"/>
          <w:color w:val="000000"/>
          <w:sz w:val="24"/>
          <w:szCs w:val="28"/>
          <w:lang w:val="en-US" w:eastAsia="zh-CN"/>
        </w:rPr>
        <w:t>、《关于规范建设单位自主开展建设项目竣工环境保护验收的通知（征求</w:t>
      </w:r>
      <w:r>
        <w:rPr>
          <w:rFonts w:hint="default" w:ascii="Times New Roman" w:hAnsi="Times New Roman" w:eastAsia="宋体" w:cs="Times New Roman"/>
          <w:color w:val="000000"/>
          <w:sz w:val="24"/>
          <w:szCs w:val="28"/>
        </w:rPr>
        <w:t>意见稿）》（环境保护部）；</w:t>
      </w:r>
    </w:p>
    <w:p>
      <w:pPr>
        <w:spacing w:line="360" w:lineRule="auto"/>
        <w:ind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w:t>
      </w:r>
      <w:r>
        <w:rPr>
          <w:rFonts w:hint="eastAsia" w:ascii="Times New Roman" w:hAnsi="Times New Roman" w:eastAsia="宋体" w:cs="Times New Roman"/>
          <w:color w:val="000000"/>
          <w:sz w:val="24"/>
          <w:szCs w:val="28"/>
          <w:lang w:val="en-US" w:eastAsia="zh-CN"/>
        </w:rPr>
        <w:t>8</w:t>
      </w:r>
      <w:r>
        <w:rPr>
          <w:rFonts w:hint="default" w:ascii="Times New Roman" w:hAnsi="Times New Roman" w:eastAsia="宋体" w:cs="Times New Roman"/>
          <w:color w:val="000000"/>
          <w:sz w:val="24"/>
          <w:szCs w:val="28"/>
        </w:rPr>
        <w:t>、《建设项目竣工环境保护验收技术指南 污染影响类》（环境生态部）；</w:t>
      </w:r>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12" w:name="_Toc31381"/>
      <w:r>
        <w:rPr>
          <w:rFonts w:hint="default" w:ascii="Times New Roman" w:hAnsi="Times New Roman" w:eastAsia="宋体" w:cs="Times New Roman"/>
          <w:b/>
          <w:sz w:val="28"/>
          <w:szCs w:val="32"/>
        </w:rPr>
        <w:t>2.2其他法规、条例</w:t>
      </w:r>
      <w:bookmarkEnd w:id="10"/>
      <w:bookmarkEnd w:id="1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bookmarkStart w:id="13" w:name="_Toc502136285"/>
      <w:r>
        <w:rPr>
          <w:rFonts w:hint="default" w:ascii="Times New Roman" w:hAnsi="Times New Roman" w:eastAsia="宋体" w:cs="Times New Roman"/>
          <w:color w:val="000000"/>
          <w:sz w:val="24"/>
          <w:szCs w:val="28"/>
        </w:rPr>
        <w:t>1、《建设项目环境保护管理条例》（国务院令第682号）；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2、《建设项目环境影响评价文件审批及建设单位自主开展环境保护设施验收工作指引（试行）》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3、《建设项目竣工环境保护验收暂行办法》（国环规环评（2017）4号）；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4、原国家环境保护总局环发［2000］38号《关于建设项目环境保护设施竣工验收监测管理有关问题的通知》；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5、原山东省环境保护局鲁环发〔2007〕147号《关于印发《建设项目环评审批的具体操作程序》和《建设项目竣工环境保护验收的具体操作程序》的通知》；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6、山东省环境保护厅鲁环发[2012]509转发《关于切实加强风险防范严格影响评价管理》的通知；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7、《建设项目竣工环境保护验收技术指南污染影响类》（生态环境部公告2018年第9号）；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8、菏泽市环境保护局菏环发[2016]26号《关于严格环评审批和“三同时”验收加强国土资源执法监管建立共同责任机制的通知》（2016.05.30）；</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rPr>
        <w:t>9、</w:t>
      </w:r>
      <w:r>
        <w:rPr>
          <w:rFonts w:hint="default" w:ascii="Times New Roman" w:hAnsi="Times New Roman" w:eastAsia="宋体" w:cs="Times New Roman"/>
          <w:color w:val="000000"/>
          <w:sz w:val="24"/>
          <w:szCs w:val="28"/>
          <w:lang w:val="en-US" w:eastAsia="zh-CN"/>
        </w:rPr>
        <w:t>生态环境部办公厅关于印发《污染影响类建设项目重大变动清单（试行）》的通知；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lang w:val="en-US" w:eastAsia="zh-CN"/>
        </w:rPr>
        <w:t>10</w:t>
      </w:r>
      <w:r>
        <w:rPr>
          <w:rFonts w:hint="default" w:ascii="Times New Roman" w:hAnsi="Times New Roman" w:eastAsia="宋体" w:cs="Times New Roman"/>
          <w:color w:val="000000"/>
          <w:sz w:val="24"/>
          <w:szCs w:val="28"/>
        </w:rPr>
        <w:t>、环境保护部《关于印发环评管理中部分行业建设项目重大变动清单的通知》(环办〔2015〕52号)重大变更清单。</w:t>
      </w:r>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14" w:name="_Toc32656"/>
      <w:r>
        <w:rPr>
          <w:rFonts w:hint="default" w:ascii="Times New Roman" w:hAnsi="Times New Roman" w:eastAsia="宋体" w:cs="Times New Roman"/>
          <w:b/>
          <w:sz w:val="28"/>
          <w:szCs w:val="32"/>
        </w:rPr>
        <w:t>2.3技术文件依据</w:t>
      </w:r>
      <w:bookmarkEnd w:id="13"/>
      <w:bookmarkEnd w:id="14"/>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1、山东省环保厅鲁环函[2012]493号《山东省环境保护厅关于加强建设项目竣工环境保护验收等有关环境监管问题的通知》，2012年；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2、山东省环保厅鲁环发[2013]4号《山东省环境保护厅关于进一步加强环境安全应急管理工作的通知》，2012年1月；</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3、山东省环保厅鲁环评函[2013]138号《山东省环境保护厅关于加强建设项目特征污染物监管和绿色生态屏障建设的通知》，2013年；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4</w:t>
      </w:r>
      <w:r>
        <w:rPr>
          <w:rFonts w:hint="default" w:ascii="Times New Roman" w:hAnsi="Times New Roman" w:eastAsia="宋体" w:cs="Times New Roman"/>
          <w:color w:val="000000"/>
          <w:sz w:val="24"/>
          <w:szCs w:val="28"/>
          <w:lang w:eastAsia="zh-CN"/>
        </w:rPr>
        <w:t>、《</w:t>
      </w:r>
      <w:r>
        <w:rPr>
          <w:rFonts w:hint="eastAsia" w:ascii="Times New Roman" w:hAnsi="Times New Roman" w:eastAsia="宋体" w:cs="Times New Roman"/>
          <w:sz w:val="24"/>
          <w:szCs w:val="28"/>
          <w:lang w:val="en-US" w:eastAsia="zh-CN"/>
        </w:rPr>
        <w:t>山东豪瑞恩全球高端制剂项目</w:t>
      </w:r>
      <w:r>
        <w:rPr>
          <w:rFonts w:hint="default" w:ascii="Times New Roman" w:hAnsi="Times New Roman" w:eastAsia="宋体" w:cs="Times New Roman"/>
          <w:sz w:val="24"/>
          <w:szCs w:val="28"/>
        </w:rPr>
        <w:t>环境影响报告表</w:t>
      </w:r>
      <w:r>
        <w:rPr>
          <w:rFonts w:hint="default" w:ascii="Times New Roman" w:hAnsi="Times New Roman" w:eastAsia="宋体" w:cs="Times New Roman"/>
          <w:color w:val="000000"/>
          <w:sz w:val="24"/>
          <w:szCs w:val="28"/>
          <w:lang w:eastAsia="zh-CN"/>
        </w:rPr>
        <w:t>》（山东国润环境科技有限公司）；</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5、</w:t>
      </w:r>
      <w:r>
        <w:rPr>
          <w:rFonts w:hint="default" w:ascii="Times New Roman" w:hAnsi="Times New Roman" w:eastAsia="宋体" w:cs="Times New Roman"/>
          <w:sz w:val="24"/>
          <w:szCs w:val="28"/>
        </w:rPr>
        <w:t>《关于</w:t>
      </w:r>
      <w:r>
        <w:rPr>
          <w:rFonts w:hint="eastAsia" w:ascii="Times New Roman" w:hAnsi="Times New Roman" w:eastAsia="宋体" w:cs="Times New Roman"/>
          <w:sz w:val="24"/>
          <w:szCs w:val="28"/>
          <w:lang w:val="en-US" w:eastAsia="zh-CN"/>
        </w:rPr>
        <w:t>山东豪瑞恩全球高端制剂项目</w:t>
      </w:r>
      <w:r>
        <w:rPr>
          <w:rFonts w:hint="default" w:ascii="Times New Roman" w:hAnsi="Times New Roman" w:eastAsia="宋体" w:cs="Times New Roman"/>
          <w:sz w:val="24"/>
          <w:szCs w:val="28"/>
        </w:rPr>
        <w:t>环境影响报告表环境影响报告表的批复》（</w:t>
      </w:r>
      <w:r>
        <w:rPr>
          <w:rFonts w:hint="eastAsia" w:ascii="Times New Roman" w:hAnsi="Times New Roman" w:eastAsia="宋体" w:cs="Times New Roman"/>
          <w:sz w:val="24"/>
          <w:szCs w:val="28"/>
          <w:lang w:val="en-US" w:eastAsia="zh-CN"/>
        </w:rPr>
        <w:t>菏新行</w:t>
      </w:r>
      <w:r>
        <w:rPr>
          <w:rFonts w:hint="default" w:ascii="Times New Roman" w:hAnsi="Times New Roman" w:eastAsia="宋体" w:cs="Times New Roman"/>
          <w:sz w:val="24"/>
          <w:szCs w:val="28"/>
          <w:lang w:eastAsia="zh-CN"/>
        </w:rPr>
        <w:t>审【202</w:t>
      </w:r>
      <w:r>
        <w:rPr>
          <w:rFonts w:hint="eastAsia" w:ascii="Times New Roman" w:hAnsi="Times New Roman" w:eastAsia="宋体" w:cs="Times New Roman"/>
          <w:sz w:val="24"/>
          <w:szCs w:val="28"/>
          <w:lang w:val="en-US" w:eastAsia="zh-CN"/>
        </w:rPr>
        <w:t>3</w:t>
      </w:r>
      <w:r>
        <w:rPr>
          <w:rFonts w:hint="default" w:ascii="Times New Roman" w:hAnsi="Times New Roman" w:eastAsia="宋体" w:cs="Times New Roman"/>
          <w:sz w:val="24"/>
          <w:szCs w:val="28"/>
          <w:lang w:eastAsia="zh-CN"/>
        </w:rPr>
        <w:t>】</w:t>
      </w:r>
      <w:r>
        <w:rPr>
          <w:rFonts w:hint="eastAsia" w:ascii="Times New Roman" w:hAnsi="Times New Roman" w:eastAsia="宋体" w:cs="Times New Roman"/>
          <w:sz w:val="24"/>
          <w:szCs w:val="28"/>
          <w:lang w:val="en-US" w:eastAsia="zh-CN"/>
        </w:rPr>
        <w:t>22</w:t>
      </w:r>
      <w:r>
        <w:rPr>
          <w:rFonts w:hint="default" w:ascii="Times New Roman" w:hAnsi="Times New Roman" w:eastAsia="宋体" w:cs="Times New Roman"/>
          <w:sz w:val="24"/>
          <w:szCs w:val="28"/>
          <w:lang w:eastAsia="zh-CN"/>
        </w:rPr>
        <w:t>号</w:t>
      </w:r>
      <w:r>
        <w:rPr>
          <w:rFonts w:hint="default" w:ascii="Times New Roman" w:hAnsi="Times New Roman" w:eastAsia="宋体" w:cs="Times New Roman"/>
          <w:sz w:val="24"/>
          <w:szCs w:val="28"/>
        </w:rPr>
        <w:t>）</w:t>
      </w:r>
      <w:r>
        <w:rPr>
          <w:rFonts w:hint="default" w:ascii="Times New Roman" w:hAnsi="Times New Roman" w:eastAsia="宋体" w:cs="Times New Roman"/>
          <w:color w:val="000000"/>
          <w:sz w:val="24"/>
          <w:szCs w:val="28"/>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6、《</w:t>
      </w:r>
      <w:r>
        <w:rPr>
          <w:rFonts w:hint="eastAsia" w:ascii="Times New Roman" w:hAnsi="Times New Roman" w:eastAsia="宋体" w:cs="Times New Roman"/>
          <w:sz w:val="24"/>
          <w:szCs w:val="28"/>
          <w:lang w:val="en-US" w:eastAsia="zh-CN"/>
        </w:rPr>
        <w:t>山东豪瑞恩制药有限公司</w:t>
      </w:r>
      <w:r>
        <w:rPr>
          <w:rFonts w:hint="default" w:ascii="Times New Roman" w:hAnsi="Times New Roman" w:eastAsia="宋体" w:cs="Times New Roman"/>
          <w:color w:val="000000"/>
          <w:sz w:val="24"/>
          <w:szCs w:val="28"/>
        </w:rPr>
        <w:t>环评项目验收监测方案》；</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7、《</w:t>
      </w:r>
      <w:r>
        <w:rPr>
          <w:rFonts w:hint="eastAsia" w:ascii="Times New Roman" w:hAnsi="Times New Roman" w:eastAsia="宋体" w:cs="Times New Roman"/>
          <w:sz w:val="24"/>
          <w:szCs w:val="28"/>
          <w:lang w:val="en-US" w:eastAsia="zh-CN"/>
        </w:rPr>
        <w:t>山东豪瑞恩制药有限公司</w:t>
      </w:r>
      <w:r>
        <w:rPr>
          <w:rFonts w:hint="default" w:ascii="Times New Roman" w:hAnsi="Times New Roman" w:eastAsia="宋体" w:cs="Times New Roman"/>
          <w:color w:val="000000"/>
          <w:sz w:val="24"/>
          <w:szCs w:val="28"/>
          <w:lang w:val="en-US" w:eastAsia="zh-CN"/>
        </w:rPr>
        <w:t>检测报告》（</w:t>
      </w:r>
      <w:r>
        <w:rPr>
          <w:rFonts w:hint="eastAsia" w:ascii="Times New Roman" w:hAnsi="Times New Roman" w:eastAsia="宋体" w:cs="Times New Roman"/>
          <w:color w:val="000000"/>
          <w:sz w:val="24"/>
          <w:szCs w:val="28"/>
          <w:lang w:val="en-US" w:eastAsia="zh-CN"/>
        </w:rPr>
        <w:t>HC24010303</w:t>
      </w:r>
      <w:r>
        <w:rPr>
          <w:rFonts w:hint="default" w:ascii="Times New Roman" w:hAnsi="Times New Roman" w:eastAsia="宋体" w:cs="Times New Roman"/>
          <w:color w:val="000000"/>
          <w:sz w:val="24"/>
          <w:szCs w:val="28"/>
          <w:lang w:val="en-US" w:eastAsia="zh-CN"/>
        </w:rPr>
        <w:t>，</w:t>
      </w:r>
      <w:r>
        <w:rPr>
          <w:rFonts w:hint="eastAsia" w:ascii="Times New Roman" w:hAnsi="Times New Roman" w:eastAsia="宋体" w:cs="Times New Roman"/>
          <w:color w:val="000000"/>
          <w:sz w:val="24"/>
          <w:szCs w:val="28"/>
          <w:lang w:val="en-US" w:eastAsia="zh-CN"/>
        </w:rPr>
        <w:t>山东汇成检测科技有限公司</w:t>
      </w:r>
      <w:r>
        <w:rPr>
          <w:rFonts w:hint="default" w:ascii="Times New Roman" w:hAnsi="Times New Roman" w:eastAsia="宋体" w:cs="Times New Roman"/>
          <w:color w:val="000000"/>
          <w:sz w:val="24"/>
          <w:szCs w:val="28"/>
          <w:lang w:val="en-US" w:eastAsia="zh-CN"/>
        </w:rPr>
        <w:t>）。</w:t>
      </w:r>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15" w:name="_Toc502136286"/>
      <w:bookmarkStart w:id="16" w:name="_Toc501815004"/>
      <w:bookmarkStart w:id="17" w:name="_Toc502061658"/>
      <w:bookmarkStart w:id="18" w:name="_Toc27996"/>
      <w:r>
        <w:rPr>
          <w:rFonts w:hint="default" w:ascii="Times New Roman" w:hAnsi="Times New Roman" w:eastAsia="宋体" w:cs="Times New Roman"/>
          <w:b/>
          <w:sz w:val="28"/>
          <w:szCs w:val="32"/>
        </w:rPr>
        <w:t>2.4验收监测评价标准</w:t>
      </w:r>
      <w:bookmarkEnd w:id="15"/>
      <w:bookmarkEnd w:id="16"/>
      <w:bookmarkEnd w:id="17"/>
      <w:bookmarkEnd w:id="1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32"/>
        </w:rPr>
      </w:pPr>
      <w:r>
        <w:rPr>
          <w:rFonts w:hint="default" w:ascii="Times New Roman" w:hAnsi="Times New Roman" w:eastAsia="宋体" w:cs="Times New Roman"/>
          <w:color w:val="000000"/>
          <w:sz w:val="24"/>
          <w:szCs w:val="32"/>
        </w:rPr>
        <w:t>1、</w:t>
      </w:r>
      <w:r>
        <w:rPr>
          <w:rFonts w:hint="eastAsia" w:ascii="Times New Roman" w:hAnsi="Times New Roman" w:eastAsia="宋体" w:cs="Times New Roman"/>
          <w:color w:val="000000"/>
          <w:sz w:val="24"/>
          <w:szCs w:val="32"/>
        </w:rPr>
        <w:t>污水处理站</w:t>
      </w:r>
      <w:r>
        <w:rPr>
          <w:rFonts w:hint="default" w:ascii="Times New Roman" w:hAnsi="Times New Roman" w:eastAsia="宋体" w:cs="Times New Roman"/>
          <w:color w:val="000000"/>
          <w:sz w:val="24"/>
          <w:szCs w:val="32"/>
        </w:rPr>
        <w:t>有组织NH</w:t>
      </w:r>
      <w:r>
        <w:rPr>
          <w:rFonts w:hint="default" w:ascii="Times New Roman" w:hAnsi="Times New Roman" w:eastAsia="宋体" w:cs="Times New Roman"/>
          <w:color w:val="000000"/>
          <w:sz w:val="24"/>
          <w:szCs w:val="32"/>
          <w:vertAlign w:val="subscript"/>
        </w:rPr>
        <w:t>3</w:t>
      </w:r>
      <w:r>
        <w:rPr>
          <w:rFonts w:hint="default" w:ascii="Times New Roman" w:hAnsi="Times New Roman" w:eastAsia="宋体" w:cs="Times New Roman"/>
          <w:color w:val="000000"/>
          <w:sz w:val="24"/>
          <w:szCs w:val="32"/>
        </w:rPr>
        <w:t>、H</w:t>
      </w:r>
      <w:r>
        <w:rPr>
          <w:rFonts w:hint="default" w:ascii="Times New Roman" w:hAnsi="Times New Roman" w:eastAsia="宋体" w:cs="Times New Roman"/>
          <w:color w:val="000000"/>
          <w:sz w:val="24"/>
          <w:szCs w:val="32"/>
          <w:vertAlign w:val="subscript"/>
        </w:rPr>
        <w:t>2</w:t>
      </w:r>
      <w:r>
        <w:rPr>
          <w:rFonts w:hint="default" w:ascii="Times New Roman" w:hAnsi="Times New Roman" w:eastAsia="宋体" w:cs="Times New Roman"/>
          <w:color w:val="000000"/>
          <w:sz w:val="24"/>
          <w:szCs w:val="32"/>
        </w:rPr>
        <w:t>S、臭气浓度执行《恶臭污染物排放标准》（GB14554-93）表2</w:t>
      </w:r>
      <w:r>
        <w:rPr>
          <w:rFonts w:hint="eastAsia" w:ascii="Times New Roman" w:hAnsi="Times New Roman" w:eastAsia="宋体" w:cs="Times New Roman"/>
          <w:color w:val="000000"/>
          <w:sz w:val="24"/>
          <w:szCs w:val="32"/>
        </w:rPr>
        <w:t>排放限值要求</w:t>
      </w:r>
      <w:r>
        <w:rPr>
          <w:rFonts w:hint="default" w:ascii="Times New Roman" w:hAnsi="Times New Roman" w:eastAsia="宋体" w:cs="Times New Roman"/>
          <w:color w:val="000000"/>
          <w:sz w:val="24"/>
          <w:szCs w:val="32"/>
        </w:rPr>
        <w:t>；厂界无组织NH</w:t>
      </w:r>
      <w:r>
        <w:rPr>
          <w:rFonts w:hint="default" w:ascii="Times New Roman" w:hAnsi="Times New Roman" w:eastAsia="宋体" w:cs="Times New Roman"/>
          <w:color w:val="000000"/>
          <w:sz w:val="24"/>
          <w:szCs w:val="32"/>
          <w:vertAlign w:val="subscript"/>
        </w:rPr>
        <w:t>3</w:t>
      </w:r>
      <w:r>
        <w:rPr>
          <w:rFonts w:hint="default" w:ascii="Times New Roman" w:hAnsi="Times New Roman" w:eastAsia="宋体" w:cs="Times New Roman"/>
          <w:color w:val="000000"/>
          <w:sz w:val="24"/>
          <w:szCs w:val="32"/>
        </w:rPr>
        <w:t>、H</w:t>
      </w:r>
      <w:r>
        <w:rPr>
          <w:rFonts w:hint="default" w:ascii="Times New Roman" w:hAnsi="Times New Roman" w:eastAsia="宋体" w:cs="Times New Roman"/>
          <w:color w:val="000000"/>
          <w:sz w:val="24"/>
          <w:szCs w:val="32"/>
          <w:vertAlign w:val="subscript"/>
        </w:rPr>
        <w:t>2</w:t>
      </w:r>
      <w:r>
        <w:rPr>
          <w:rFonts w:hint="default" w:ascii="Times New Roman" w:hAnsi="Times New Roman" w:eastAsia="宋体" w:cs="Times New Roman"/>
          <w:color w:val="000000"/>
          <w:sz w:val="24"/>
          <w:szCs w:val="32"/>
        </w:rPr>
        <w:t>S、臭气浓度执行《恶臭污染物排放标准》（GB14544-93）表1二级新扩改建厂界标准值。</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32"/>
          <w:lang w:val="en-US" w:eastAsia="zh-CN"/>
        </w:rPr>
      </w:pPr>
      <w:r>
        <w:rPr>
          <w:rFonts w:hint="default" w:ascii="Times New Roman" w:hAnsi="Times New Roman" w:eastAsia="宋体" w:cs="Times New Roman"/>
          <w:color w:val="000000"/>
          <w:sz w:val="24"/>
          <w:szCs w:val="32"/>
          <w:lang w:val="en-US" w:eastAsia="zh-CN"/>
        </w:rPr>
        <w:t>废气有组织VOCs排放执行《挥发性有机物排放标准 第7部分：其他行业》（DB37/2801.7-2019）表1“非重点行业”</w:t>
      </w:r>
      <w:r>
        <w:rPr>
          <w:rFonts w:hint="default" w:ascii="Times New Roman" w:hAnsi="Times New Roman" w:eastAsia="宋体" w:cs="Times New Roman"/>
          <w:color w:val="000000"/>
          <w:sz w:val="24"/>
          <w:szCs w:val="32"/>
          <w:lang w:val="en-US" w:eastAsia="zh-CN"/>
        </w:rPr>
        <w:fldChar w:fldCharType="begin"/>
      </w:r>
      <w:r>
        <w:rPr>
          <w:rFonts w:hint="default" w:ascii="Times New Roman" w:hAnsi="Times New Roman" w:eastAsia="宋体" w:cs="Times New Roman"/>
          <w:color w:val="000000"/>
          <w:sz w:val="24"/>
          <w:szCs w:val="32"/>
          <w:lang w:val="en-US" w:eastAsia="zh-CN"/>
        </w:rPr>
        <w:instrText xml:space="preserve"> = 2 \* ROMAN \* MERGEFORMAT </w:instrText>
      </w:r>
      <w:r>
        <w:rPr>
          <w:rFonts w:hint="default" w:ascii="Times New Roman" w:hAnsi="Times New Roman" w:eastAsia="宋体" w:cs="Times New Roman"/>
          <w:color w:val="000000"/>
          <w:sz w:val="24"/>
          <w:szCs w:val="32"/>
          <w:lang w:val="en-US" w:eastAsia="zh-CN"/>
        </w:rPr>
        <w:fldChar w:fldCharType="separate"/>
      </w:r>
      <w:r>
        <w:rPr>
          <w:rFonts w:hint="default" w:ascii="Times New Roman" w:hAnsi="Times New Roman" w:eastAsia="宋体" w:cs="Times New Roman"/>
          <w:color w:val="000000"/>
          <w:sz w:val="24"/>
          <w:szCs w:val="32"/>
        </w:rPr>
        <w:t>II</w:t>
      </w:r>
      <w:r>
        <w:rPr>
          <w:rFonts w:hint="default" w:ascii="Times New Roman" w:hAnsi="Times New Roman" w:eastAsia="宋体" w:cs="Times New Roman"/>
          <w:color w:val="000000"/>
          <w:sz w:val="24"/>
          <w:szCs w:val="32"/>
          <w:lang w:val="en-US" w:eastAsia="zh-CN"/>
        </w:rPr>
        <w:fldChar w:fldCharType="end"/>
      </w:r>
      <w:r>
        <w:rPr>
          <w:rFonts w:hint="default" w:ascii="Times New Roman" w:hAnsi="Times New Roman" w:eastAsia="宋体" w:cs="Times New Roman"/>
          <w:color w:val="000000"/>
          <w:sz w:val="24"/>
          <w:szCs w:val="32"/>
          <w:lang w:val="en-US" w:eastAsia="zh-CN"/>
        </w:rPr>
        <w:t>时段排放限值标准，无组织VOCs排放执行该标准表2厂界监控点浓度限值标准。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2、厂界噪声执行《工业企业厂界环境噪声排放标准》（GB12348-2008）2类标准要求。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3、</w:t>
      </w:r>
      <w:r>
        <w:rPr>
          <w:rFonts w:hint="eastAsia" w:ascii="Times New Roman" w:hAnsi="Times New Roman" w:eastAsia="宋体" w:cs="Times New Roman"/>
          <w:color w:val="000000"/>
          <w:sz w:val="24"/>
          <w:szCs w:val="24"/>
        </w:rPr>
        <w:t>废水排放浓度执行《污水</w:t>
      </w:r>
      <w:r>
        <w:rPr>
          <w:rFonts w:hint="eastAsia" w:ascii="Times New Roman" w:hAnsi="Times New Roman" w:eastAsia="宋体" w:cs="Times New Roman"/>
          <w:color w:val="000000"/>
          <w:sz w:val="24"/>
          <w:szCs w:val="24"/>
          <w:lang w:val="en-US" w:eastAsia="zh-CN"/>
        </w:rPr>
        <w:t>综合排放</w:t>
      </w:r>
      <w:r>
        <w:rPr>
          <w:rFonts w:hint="eastAsia" w:ascii="Times New Roman" w:hAnsi="Times New Roman" w:eastAsia="宋体" w:cs="Times New Roman"/>
          <w:color w:val="000000"/>
          <w:sz w:val="24"/>
          <w:szCs w:val="24"/>
        </w:rPr>
        <w:t>标准》（GB</w:t>
      </w:r>
      <w:r>
        <w:rPr>
          <w:rFonts w:hint="eastAsia" w:ascii="Times New Roman" w:hAnsi="Times New Roman" w:eastAsia="宋体" w:cs="Times New Roman"/>
          <w:color w:val="000000"/>
          <w:sz w:val="24"/>
          <w:szCs w:val="24"/>
          <w:lang w:val="en-US" w:eastAsia="zh-CN"/>
        </w:rPr>
        <w:t>8978</w:t>
      </w:r>
      <w:r>
        <w:rPr>
          <w:rFonts w:hint="eastAsia"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1996</w:t>
      </w:r>
      <w:r>
        <w:rPr>
          <w:rFonts w:hint="eastAsia"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表2三级标准、《混装制剂类制药工业水污染物排放标准》（GB 21908-2008）中表2标准</w:t>
      </w:r>
      <w:r>
        <w:rPr>
          <w:rFonts w:hint="eastAsia" w:ascii="Times New Roman" w:hAnsi="Times New Roman" w:eastAsia="宋体" w:cs="Times New Roman"/>
          <w:color w:val="000000"/>
          <w:sz w:val="24"/>
          <w:szCs w:val="24"/>
        </w:rPr>
        <w:t>及</w:t>
      </w:r>
      <w:r>
        <w:rPr>
          <w:rFonts w:hint="eastAsia" w:ascii="Times New Roman" w:hAnsi="Times New Roman" w:eastAsia="宋体" w:cs="Times New Roman"/>
          <w:color w:val="000000"/>
          <w:sz w:val="24"/>
          <w:szCs w:val="24"/>
          <w:lang w:eastAsia="zh-CN"/>
        </w:rPr>
        <w:t>菏泽众兴牡丹水环境有限公司污水处理厂</w:t>
      </w:r>
      <w:r>
        <w:rPr>
          <w:rFonts w:hint="eastAsia" w:ascii="Times New Roman" w:hAnsi="Times New Roman" w:eastAsia="宋体" w:cs="Times New Roman"/>
          <w:color w:val="000000"/>
          <w:sz w:val="24"/>
          <w:szCs w:val="24"/>
        </w:rPr>
        <w:t>接管标准</w:t>
      </w:r>
      <w:r>
        <w:rPr>
          <w:rFonts w:hint="eastAsia" w:ascii="Times New Roman" w:hAnsi="Times New Roman" w:eastAsia="宋体" w:cs="Times New Roman"/>
          <w:color w:val="000000"/>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lang w:val="en-US" w:eastAsia="zh-CN"/>
        </w:rPr>
        <w:t>4</w:t>
      </w:r>
      <w:r>
        <w:rPr>
          <w:rFonts w:hint="default" w:ascii="Times New Roman" w:hAnsi="Times New Roman" w:eastAsia="宋体" w:cs="Times New Roman"/>
          <w:color w:val="000000"/>
          <w:sz w:val="24"/>
          <w:szCs w:val="24"/>
        </w:rPr>
        <w:t>、一般固体废物执行《一般工业固体废物贮存和填埋污染控制标准》（GB18599-2020）中的要求；危险固体废物执行《危险废物贮存污染控制标准》（GB18597-20</w:t>
      </w:r>
      <w:r>
        <w:rPr>
          <w:rFonts w:hint="eastAsia" w:ascii="Times New Roman" w:hAnsi="Times New Roman" w:eastAsia="宋体" w:cs="Times New Roman"/>
          <w:color w:val="000000"/>
          <w:sz w:val="24"/>
          <w:szCs w:val="24"/>
          <w:lang w:val="en-US" w:eastAsia="zh-CN"/>
        </w:rPr>
        <w:t>23</w:t>
      </w:r>
      <w:r>
        <w:rPr>
          <w:rFonts w:hint="default" w:ascii="Times New Roman" w:hAnsi="Times New Roman" w:eastAsia="宋体" w:cs="Times New Roman"/>
          <w:color w:val="000000"/>
          <w:sz w:val="24"/>
          <w:szCs w:val="24"/>
        </w:rPr>
        <w:t>）中的要求。</w:t>
      </w:r>
    </w:p>
    <w:p>
      <w:pPr>
        <w:widowControl/>
        <w:jc w:val="left"/>
        <w:rPr>
          <w:rFonts w:hint="default" w:ascii="Times New Roman" w:hAnsi="Times New Roman" w:eastAsia="宋体" w:cs="Times New Roman"/>
          <w:b/>
          <w:sz w:val="24"/>
          <w:szCs w:val="28"/>
        </w:rPr>
      </w:pPr>
      <w:r>
        <w:rPr>
          <w:rFonts w:hint="default" w:ascii="Times New Roman" w:hAnsi="Times New Roman" w:eastAsia="宋体" w:cs="Times New Roman"/>
          <w:b/>
          <w:sz w:val="24"/>
          <w:szCs w:val="28"/>
        </w:rPr>
        <w:br w:type="page"/>
      </w:r>
    </w:p>
    <w:p>
      <w:pPr>
        <w:pStyle w:val="38"/>
        <w:spacing w:line="360" w:lineRule="auto"/>
        <w:ind w:left="-210" w:leftChars="-100" w:firstLine="0" w:firstLineChars="0"/>
        <w:jc w:val="center"/>
        <w:outlineLvl w:val="0"/>
        <w:rPr>
          <w:rFonts w:hint="default" w:ascii="Times New Roman" w:hAnsi="Times New Roman" w:eastAsia="宋体" w:cs="Times New Roman"/>
          <w:b/>
          <w:sz w:val="32"/>
          <w:szCs w:val="32"/>
        </w:rPr>
      </w:pPr>
      <w:bookmarkStart w:id="19" w:name="_Toc27697"/>
      <w:r>
        <w:rPr>
          <w:rFonts w:hint="default" w:ascii="Times New Roman" w:hAnsi="Times New Roman" w:eastAsia="宋体" w:cs="Times New Roman"/>
          <w:b/>
          <w:sz w:val="32"/>
          <w:szCs w:val="32"/>
        </w:rPr>
        <w:t>3、工程建设情况</w:t>
      </w:r>
      <w:bookmarkEnd w:id="19"/>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20" w:name="_Toc7093"/>
      <w:r>
        <w:rPr>
          <w:rFonts w:hint="default" w:ascii="Times New Roman" w:hAnsi="Times New Roman" w:eastAsia="宋体" w:cs="Times New Roman"/>
          <w:b/>
          <w:sz w:val="28"/>
          <w:szCs w:val="32"/>
        </w:rPr>
        <w:t>3.1地理位置及平面布置</w:t>
      </w:r>
      <w:bookmarkEnd w:id="2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8"/>
          <w:lang w:val="en-US" w:eastAsia="zh-CN"/>
        </w:rPr>
      </w:pPr>
      <w:r>
        <w:rPr>
          <w:rFonts w:hint="eastAsia" w:ascii="Times New Roman" w:hAnsi="Times New Roman" w:eastAsia="宋体" w:cs="Times New Roman"/>
          <w:sz w:val="24"/>
          <w:szCs w:val="28"/>
          <w:lang w:val="en-US" w:eastAsia="zh-CN"/>
        </w:rPr>
        <w:t>山东豪瑞恩全球高端制剂项目</w:t>
      </w:r>
      <w:r>
        <w:rPr>
          <w:rFonts w:hint="default" w:ascii="Times New Roman" w:hAnsi="Times New Roman" w:eastAsia="宋体" w:cs="Times New Roman"/>
          <w:sz w:val="24"/>
          <w:szCs w:val="28"/>
          <w:lang w:val="en-US" w:eastAsia="zh-CN"/>
        </w:rPr>
        <w:t>位于</w:t>
      </w:r>
      <w:r>
        <w:rPr>
          <w:rFonts w:hint="eastAsia" w:ascii="Times New Roman" w:hAnsi="Times New Roman" w:eastAsia="宋体" w:cs="Times New Roman"/>
          <w:sz w:val="24"/>
          <w:szCs w:val="28"/>
          <w:lang w:val="en-US" w:eastAsia="zh-CN"/>
        </w:rPr>
        <w:t>山东省菏泽市高新区北环路2999号</w:t>
      </w:r>
      <w:r>
        <w:rPr>
          <w:rFonts w:hint="default" w:ascii="Times New Roman" w:hAnsi="Times New Roman" w:eastAsia="宋体" w:cs="Times New Roman"/>
          <w:sz w:val="24"/>
          <w:szCs w:val="28"/>
          <w:lang w:val="en-US" w:eastAsia="zh-CN"/>
        </w:rPr>
        <w:t>，中</w:t>
      </w:r>
      <w:r>
        <w:rPr>
          <w:rFonts w:hint="default" w:ascii="Times New Roman" w:hAnsi="Times New Roman" w:eastAsia="宋体" w:cs="Times New Roman"/>
          <w:color w:val="auto"/>
          <w:sz w:val="24"/>
          <w:szCs w:val="24"/>
          <w:lang w:val="en-US" w:eastAsia="zh-CN"/>
        </w:rPr>
        <w:t>心点地理坐标为：东经115度2</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分</w:t>
      </w:r>
      <w:r>
        <w:rPr>
          <w:rFonts w:hint="eastAsia" w:ascii="Times New Roman" w:hAnsi="Times New Roman" w:eastAsia="宋体" w:cs="Times New Roman"/>
          <w:color w:val="auto"/>
          <w:sz w:val="24"/>
          <w:szCs w:val="24"/>
          <w:lang w:val="en-US" w:eastAsia="zh-CN"/>
        </w:rPr>
        <w:t>0</w:t>
      </w:r>
      <w:r>
        <w:rPr>
          <w:rFonts w:hint="default" w:ascii="Times New Roman" w:hAnsi="Times New Roman" w:eastAsia="宋体" w:cs="Times New Roman"/>
          <w:color w:val="auto"/>
          <w:sz w:val="24"/>
          <w:szCs w:val="24"/>
          <w:lang w:val="en-US" w:eastAsia="zh-CN"/>
        </w:rPr>
        <w:t>6.</w:t>
      </w:r>
      <w:r>
        <w:rPr>
          <w:rFonts w:hint="eastAsia" w:ascii="Times New Roman" w:hAnsi="Times New Roman" w:eastAsia="宋体" w:cs="Times New Roman"/>
          <w:color w:val="auto"/>
          <w:sz w:val="24"/>
          <w:szCs w:val="24"/>
          <w:lang w:val="en-US" w:eastAsia="zh-CN"/>
        </w:rPr>
        <w:t>999</w:t>
      </w:r>
      <w:r>
        <w:rPr>
          <w:rFonts w:hint="default" w:ascii="Times New Roman" w:hAnsi="Times New Roman" w:eastAsia="宋体" w:cs="Times New Roman"/>
          <w:color w:val="auto"/>
          <w:sz w:val="24"/>
          <w:szCs w:val="24"/>
          <w:lang w:val="en-US" w:eastAsia="zh-CN"/>
        </w:rPr>
        <w:t>秒，35度1</w:t>
      </w:r>
      <w:r>
        <w:rPr>
          <w:rFonts w:hint="eastAsia"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lang w:val="en-US" w:eastAsia="zh-CN"/>
        </w:rPr>
        <w:t>分</w:t>
      </w:r>
      <w:r>
        <w:rPr>
          <w:rFonts w:hint="eastAsia" w:ascii="Times New Roman" w:hAnsi="Times New Roman" w:eastAsia="宋体" w:cs="Times New Roman"/>
          <w:color w:val="auto"/>
          <w:sz w:val="24"/>
          <w:szCs w:val="24"/>
          <w:lang w:val="en-US" w:eastAsia="zh-CN"/>
        </w:rPr>
        <w:t>15.312</w:t>
      </w:r>
      <w:r>
        <w:rPr>
          <w:rFonts w:hint="default" w:ascii="Times New Roman" w:hAnsi="Times New Roman" w:eastAsia="宋体" w:cs="Times New Roman"/>
          <w:color w:val="auto"/>
          <w:sz w:val="24"/>
          <w:szCs w:val="24"/>
          <w:lang w:val="en-US" w:eastAsia="zh-CN"/>
        </w:rPr>
        <w:t>秒。项目建设</w:t>
      </w:r>
      <w:r>
        <w:rPr>
          <w:rFonts w:hint="eastAsia" w:ascii="Times New Roman" w:hAnsi="Times New Roman" w:eastAsia="宋体" w:cs="Times New Roman"/>
          <w:color w:val="auto"/>
          <w:sz w:val="24"/>
          <w:szCs w:val="24"/>
          <w:lang w:val="en-US" w:eastAsia="zh-CN"/>
        </w:rPr>
        <w:t>G1小容量注射剂（安瓿瓶、西林瓶）车间、</w:t>
      </w:r>
      <w:r>
        <w:rPr>
          <w:rFonts w:hint="default" w:ascii="Times New Roman" w:hAnsi="Times New Roman" w:eastAsia="宋体" w:cs="Times New Roman"/>
          <w:color w:val="auto"/>
          <w:sz w:val="24"/>
          <w:szCs w:val="24"/>
          <w:lang w:val="en-US" w:eastAsia="zh-CN"/>
        </w:rPr>
        <w:t>综合仓库</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成品仓库</w:t>
      </w:r>
      <w:r>
        <w:rPr>
          <w:rFonts w:hint="eastAsia" w:ascii="Times New Roman" w:hAnsi="Times New Roman" w:eastAsia="宋体" w:cs="Times New Roman"/>
          <w:color w:val="auto"/>
          <w:sz w:val="24"/>
          <w:szCs w:val="24"/>
          <w:lang w:val="en-US" w:eastAsia="zh-CN"/>
        </w:rPr>
        <w:t>、化验中心、办公室、一般固废暂存间和危废暂存间</w:t>
      </w:r>
      <w:r>
        <w:rPr>
          <w:rFonts w:hint="default" w:ascii="Times New Roman" w:hAnsi="Times New Roman" w:eastAsia="宋体" w:cs="Times New Roman"/>
          <w:color w:val="auto"/>
          <w:sz w:val="24"/>
          <w:szCs w:val="24"/>
          <w:lang w:val="en-US" w:eastAsia="zh-CN"/>
        </w:rPr>
        <w:t>等。</w:t>
      </w:r>
    </w:p>
    <w:p>
      <w:pPr>
        <w:keepNext w:val="0"/>
        <w:keepLines w:val="0"/>
        <w:pageBreakBefore w:val="0"/>
        <w:kinsoku/>
        <w:wordWrap/>
        <w:topLinePunct w:val="0"/>
        <w:autoSpaceDE/>
        <w:autoSpaceDN/>
        <w:bidi w:val="0"/>
        <w:spacing w:line="360" w:lineRule="auto"/>
        <w:ind w:firstLine="480" w:firstLineChars="200"/>
        <w:textAlignment w:val="auto"/>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sz w:val="24"/>
          <w:szCs w:val="28"/>
          <w:lang w:eastAsia="zh-CN"/>
        </w:rPr>
        <w:t>该项目布置如下</w:t>
      </w:r>
      <w:r>
        <w:rPr>
          <w:rFonts w:hint="eastAsia" w:ascii="Times New Roman" w:hAnsi="Times New Roman" w:eastAsia="宋体" w:cs="Times New Roman"/>
          <w:sz w:val="24"/>
          <w:szCs w:val="28"/>
          <w:lang w:eastAsia="zh-CN"/>
        </w:rPr>
        <w:t>：</w:t>
      </w:r>
      <w:r>
        <w:rPr>
          <w:rFonts w:hint="default" w:ascii="Times New Roman" w:hAnsi="Times New Roman" w:eastAsia="宋体" w:cs="Times New Roman"/>
          <w:color w:val="auto"/>
          <w:sz w:val="24"/>
          <w:szCs w:val="24"/>
          <w:lang w:val="en-US" w:eastAsia="zh-CN"/>
        </w:rPr>
        <w:t>项目</w:t>
      </w:r>
      <w:r>
        <w:rPr>
          <w:rFonts w:hint="eastAsia" w:ascii="Times New Roman" w:hAnsi="Times New Roman" w:eastAsia="宋体" w:cs="Times New Roman"/>
          <w:bCs/>
          <w:color w:val="auto"/>
          <w:kern w:val="24"/>
          <w:sz w:val="24"/>
          <w:szCs w:val="20"/>
          <w:lang w:val="en-US" w:eastAsia="zh-CN"/>
        </w:rPr>
        <w:t>项目厂区大门位于南侧，办公室位于厂区西侧G2号楼二、四层，一层主要为原料库及成品库，三层为化验中心，生产区分为小容量注射剂车间位于厂区中间位置</w:t>
      </w:r>
      <w:r>
        <w:rPr>
          <w:rFonts w:hint="eastAsia" w:ascii="Times New Roman" w:hAnsi="Times New Roman" w:eastAsia="宋体" w:cs="Times New Roman"/>
          <w:bCs/>
          <w:color w:val="000000"/>
          <w:kern w:val="24"/>
          <w:sz w:val="24"/>
          <w:szCs w:val="20"/>
          <w:lang w:val="en-US" w:eastAsia="zh-CN"/>
        </w:rPr>
        <w:t>，项目污水处理站位于厂区的西北侧远离生产区和办公区</w:t>
      </w:r>
      <w:r>
        <w:rPr>
          <w:rFonts w:hint="default" w:ascii="Times New Roman" w:hAnsi="Times New Roman" w:eastAsia="宋体" w:cs="Times New Roman"/>
          <w:color w:val="auto"/>
          <w:sz w:val="24"/>
          <w:szCs w:val="24"/>
          <w:lang w:val="en-US" w:eastAsia="zh-CN"/>
        </w:rPr>
        <w:t>。厂址所在地地势平坦，交通便捷，通讯畅通，公用设施较齐全。厂区内建筑物布置做到遵守有关规定，满足环保、消防、节能和职业安全卫生等方面要求。实验中各环节连接紧凑，物料及产品输送距离短，提高</w:t>
      </w:r>
      <w:r>
        <w:rPr>
          <w:rFonts w:hint="eastAsia" w:ascii="Times New Roman" w:hAnsi="Times New Roman" w:eastAsia="宋体" w:cs="Times New Roman"/>
          <w:color w:val="auto"/>
          <w:sz w:val="24"/>
          <w:szCs w:val="24"/>
          <w:lang w:val="en-US" w:eastAsia="zh-CN"/>
        </w:rPr>
        <w:t>生产</w:t>
      </w:r>
      <w:r>
        <w:rPr>
          <w:rFonts w:hint="default" w:ascii="Times New Roman" w:hAnsi="Times New Roman" w:eastAsia="宋体" w:cs="Times New Roman"/>
          <w:color w:val="auto"/>
          <w:sz w:val="24"/>
          <w:szCs w:val="24"/>
          <w:lang w:val="en-US" w:eastAsia="zh-CN"/>
        </w:rPr>
        <w:t>效率，并减轻了厂区内主要</w:t>
      </w:r>
      <w:r>
        <w:rPr>
          <w:rFonts w:hint="eastAsia" w:ascii="Times New Roman" w:hAnsi="Times New Roman" w:eastAsia="宋体" w:cs="Times New Roman"/>
          <w:color w:val="auto"/>
          <w:sz w:val="24"/>
          <w:szCs w:val="24"/>
          <w:lang w:val="en-US" w:eastAsia="zh-CN"/>
        </w:rPr>
        <w:t>生产</w:t>
      </w:r>
      <w:r>
        <w:rPr>
          <w:rFonts w:hint="default" w:ascii="Times New Roman" w:hAnsi="Times New Roman" w:eastAsia="宋体" w:cs="Times New Roman"/>
          <w:color w:val="auto"/>
          <w:sz w:val="24"/>
          <w:szCs w:val="24"/>
          <w:lang w:val="en-US" w:eastAsia="zh-CN"/>
        </w:rPr>
        <w:t>设备噪声对厂区附近声环境的影响，总图</w:t>
      </w:r>
      <w:r>
        <w:rPr>
          <w:rFonts w:hint="default" w:ascii="Times New Roman" w:hAnsi="Times New Roman" w:eastAsia="宋体" w:cs="Times New Roman"/>
          <w:color w:val="auto"/>
          <w:sz w:val="24"/>
          <w:szCs w:val="24"/>
        </w:rPr>
        <w:t>布置较为合理</w:t>
      </w:r>
      <w:r>
        <w:rPr>
          <w:rFonts w:hint="eastAsia" w:ascii="Times New Roman" w:hAnsi="Times New Roman" w:eastAsia="宋体"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8"/>
          <w:lang w:eastAsia="zh-CN"/>
        </w:rPr>
      </w:pPr>
      <w:r>
        <w:rPr>
          <w:rFonts w:hint="default" w:ascii="Times New Roman" w:hAnsi="Times New Roman" w:eastAsia="宋体" w:cs="Times New Roman"/>
          <w:sz w:val="24"/>
          <w:szCs w:val="28"/>
          <w:lang w:eastAsia="zh-CN"/>
        </w:rPr>
        <w:t>项目具体地理位置见图3-1，厂区平面布置见图3</w:t>
      </w:r>
      <w:r>
        <w:rPr>
          <w:rFonts w:hint="default" w:ascii="Times New Roman" w:hAnsi="Times New Roman" w:eastAsia="宋体" w:cs="Times New Roman"/>
          <w:sz w:val="24"/>
          <w:szCs w:val="28"/>
          <w:lang w:val="en-US" w:eastAsia="zh-CN"/>
        </w:rPr>
        <w:t>-2</w:t>
      </w:r>
      <w:r>
        <w:rPr>
          <w:rFonts w:hint="default" w:ascii="Times New Roman" w:hAnsi="Times New Roman" w:eastAsia="宋体" w:cs="Times New Roman"/>
          <w:sz w:val="24"/>
          <w:szCs w:val="28"/>
          <w:lang w:eastAsia="zh-CN"/>
        </w:rPr>
        <w:t>。</w:t>
      </w:r>
    </w:p>
    <w:p>
      <w:pPr>
        <w:spacing w:line="360" w:lineRule="auto"/>
        <w:jc w:val="center"/>
        <w:rPr>
          <w:rFonts w:hint="default" w:ascii="Times New Roman" w:hAnsi="Times New Roman" w:eastAsia="宋体" w:cs="Times New Roman"/>
          <w:color w:val="000000"/>
          <w:sz w:val="24"/>
          <w:szCs w:val="28"/>
        </w:rPr>
      </w:pPr>
      <w:r>
        <w:drawing>
          <wp:inline distT="0" distB="0" distL="114300" distR="114300">
            <wp:extent cx="5715635" cy="3401060"/>
            <wp:effectExtent l="0" t="0" r="18415" b="8890"/>
            <wp:docPr id="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9"/>
                    <pic:cNvPicPr>
                      <a:picLocks noChangeAspect="1"/>
                    </pic:cNvPicPr>
                  </pic:nvPicPr>
                  <pic:blipFill>
                    <a:blip r:embed="rId16"/>
                    <a:stretch>
                      <a:fillRect/>
                    </a:stretch>
                  </pic:blipFill>
                  <pic:spPr>
                    <a:xfrm>
                      <a:off x="0" y="0"/>
                      <a:ext cx="5715635" cy="3401060"/>
                    </a:xfrm>
                    <a:prstGeom prst="rect">
                      <a:avLst/>
                    </a:prstGeom>
                    <a:noFill/>
                    <a:ln>
                      <a:noFill/>
                    </a:ln>
                  </pic:spPr>
                </pic:pic>
              </a:graphicData>
            </a:graphic>
          </wp:inline>
        </w:drawing>
      </w:r>
    </w:p>
    <w:p>
      <w:pPr>
        <w:pStyle w:val="8"/>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图3-1  项目地理位置图</w:t>
      </w:r>
    </w:p>
    <w:p>
      <w:pPr>
        <w:pStyle w:val="8"/>
        <w:spacing w:after="0" w:line="360" w:lineRule="auto"/>
        <w:ind w:left="0"/>
        <w:rPr>
          <w:rFonts w:hint="default" w:ascii="Times New Roman" w:hAnsi="Times New Roman" w:eastAsia="宋体" w:cs="Times New Roman"/>
        </w:rPr>
      </w:pPr>
    </w:p>
    <w:p>
      <w:pPr>
        <w:pStyle w:val="8"/>
        <w:spacing w:after="0" w:line="360" w:lineRule="auto"/>
        <w:ind w:left="0"/>
        <w:rPr>
          <w:rFonts w:hint="default" w:ascii="Times New Roman" w:hAnsi="Times New Roman" w:eastAsia="宋体" w:cs="Times New Roman"/>
        </w:rPr>
        <w:sectPr>
          <w:headerReference r:id="rId7" w:type="first"/>
          <w:footerReference r:id="rId9" w:type="first"/>
          <w:headerReference r:id="rId6" w:type="default"/>
          <w:footerReference r:id="rId8"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pPr>
        <w:pStyle w:val="32"/>
        <w:ind w:left="0" w:leftChars="0" w:firstLine="0" w:firstLineChars="0"/>
        <w:rPr>
          <w:rFonts w:hint="default"/>
        </w:rPr>
      </w:pPr>
      <w:r>
        <w:rPr>
          <w:sz w:val="24"/>
        </w:rPr>
        <mc:AlternateContent>
          <mc:Choice Requires="wps">
            <w:drawing>
              <wp:anchor distT="0" distB="0" distL="114300" distR="114300" simplePos="0" relativeHeight="251667456" behindDoc="0" locked="0" layoutInCell="1" allowOverlap="1">
                <wp:simplePos x="0" y="0"/>
                <wp:positionH relativeFrom="column">
                  <wp:posOffset>811530</wp:posOffset>
                </wp:positionH>
                <wp:positionV relativeFrom="paragraph">
                  <wp:posOffset>85090</wp:posOffset>
                </wp:positionV>
                <wp:extent cx="1666240" cy="428625"/>
                <wp:effectExtent l="6350" t="6350" r="22860" b="460375"/>
                <wp:wrapNone/>
                <wp:docPr id="36" name="矩形标注 36"/>
                <wp:cNvGraphicFramePr/>
                <a:graphic xmlns:a="http://schemas.openxmlformats.org/drawingml/2006/main">
                  <a:graphicData uri="http://schemas.microsoft.com/office/word/2010/wordprocessingShape">
                    <wps:wsp>
                      <wps:cNvSpPr/>
                      <wps:spPr>
                        <a:xfrm>
                          <a:off x="1029970" y="3866515"/>
                          <a:ext cx="1666240" cy="428625"/>
                        </a:xfrm>
                        <a:prstGeom prst="wedgeRectCallout">
                          <a:avLst>
                            <a:gd name="adj1" fmla="val 4687"/>
                            <a:gd name="adj2" fmla="val 149259"/>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both"/>
                              <w:rPr>
                                <w:rFonts w:hint="default" w:eastAsiaTheme="minor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一期验收主要建筑内容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3.9pt;margin-top:6.7pt;height:33.75pt;width:131.2pt;z-index:251667456;v-text-anchor:middle;mso-width-relative:page;mso-height-relative:page;" filled="f" stroked="t" coordsize="21600,21600" o:gfxdata="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M1SVazXAAAACQEAAA8AAAAAAAAAAQAgAAAAIgAAAGRy&#10;cy9kb3ducmV2LnhtbFBLAQIUABQAAAAIAIdO4kAiMyeQsQIAAEcFAAAOAAAAAAAAAAEAIAAAACYB&#10;AABkcnMvZTJvRG9jLnhtbFBLBQYAAAAABgAGAFkBAABJBgAAAAA=&#10;" adj="11812,43040">
                <v:fill on="f" focussize="0,0"/>
                <v:stroke weight="1pt" color="#000000 [3213]" miterlimit="8" joinstyle="miter"/>
                <v:imagedata o:title=""/>
                <o:lock v:ext="edit" aspectratio="f"/>
                <v:textbox>
                  <w:txbxContent>
                    <w:p>
                      <w:pPr>
                        <w:jc w:val="both"/>
                        <w:rPr>
                          <w:rFonts w:hint="default" w:eastAsiaTheme="minor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一期验收主要建筑内容</w:t>
                      </w:r>
                    </w:p>
                  </w:txbxContent>
                </v:textbox>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344170</wp:posOffset>
                </wp:positionH>
                <wp:positionV relativeFrom="paragraph">
                  <wp:posOffset>523240</wp:posOffset>
                </wp:positionV>
                <wp:extent cx="4400550" cy="3467100"/>
                <wp:effectExtent l="21590" t="15875" r="35560" b="22225"/>
                <wp:wrapNone/>
                <wp:docPr id="35" name="任意多边形 35"/>
                <wp:cNvGraphicFramePr/>
                <a:graphic xmlns:a="http://schemas.openxmlformats.org/drawingml/2006/main">
                  <a:graphicData uri="http://schemas.microsoft.com/office/word/2010/wordprocessingShape">
                    <wps:wsp>
                      <wps:cNvSpPr/>
                      <wps:spPr>
                        <a:xfrm>
                          <a:off x="1258570" y="1666240"/>
                          <a:ext cx="4400550" cy="3467100"/>
                        </a:xfrm>
                        <a:custGeom>
                          <a:avLst/>
                          <a:gdLst>
                            <a:gd name="connisteX0" fmla="*/ 0 w 4400550"/>
                            <a:gd name="connsiteY0" fmla="*/ 685800 h 3467100"/>
                            <a:gd name="connisteX1" fmla="*/ 3381375 w 4400550"/>
                            <a:gd name="connsiteY1" fmla="*/ 0 h 3467100"/>
                            <a:gd name="connisteX2" fmla="*/ 4400550 w 4400550"/>
                            <a:gd name="connsiteY2" fmla="*/ 2009775 h 3467100"/>
                            <a:gd name="connisteX3" fmla="*/ 1533525 w 4400550"/>
                            <a:gd name="connsiteY3" fmla="*/ 3467100 h 3467100"/>
                            <a:gd name="connisteX4" fmla="*/ 0 w 4400550"/>
                            <a:gd name="connsiteY4" fmla="*/ 685800 h 346710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4400550" h="3467100">
                              <a:moveTo>
                                <a:pt x="0" y="685800"/>
                              </a:moveTo>
                              <a:lnTo>
                                <a:pt x="3381375" y="0"/>
                              </a:lnTo>
                              <a:lnTo>
                                <a:pt x="4400550" y="2009775"/>
                              </a:lnTo>
                              <a:lnTo>
                                <a:pt x="1533525" y="3467100"/>
                              </a:lnTo>
                              <a:lnTo>
                                <a:pt x="0" y="685800"/>
                              </a:lnTo>
                              <a:close/>
                            </a:path>
                          </a:pathLst>
                        </a:cu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7.1pt;margin-top:41.2pt;height:273pt;width:346.5pt;z-index:251666432;mso-width-relative:page;mso-height-relative:page;" filled="f" stroked="t" coordsize="4400550,3467100" o:gfxdata="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" path="m0,685800l3381375,0,4400550,2009775,1533525,3467100,0,685800xe">
                <v:path o:connectlocs="0,685800;3381375,0;4400550,2009775;1533525,3467100;0,685800" o:connectangles="0,0,0,0,0"/>
                <v:fill on="f" focussize="0,0"/>
                <v:stroke weight="2.25pt" color="#FF0000 [2404]" miterlimit="8" joinstyle="miter"/>
                <v:imagedata o:title=""/>
                <o:lock v:ext="edit" aspectratio="f"/>
              </v:shape>
            </w:pict>
          </mc:Fallback>
        </mc:AlternateContent>
      </w:r>
      <w:r>
        <w:drawing>
          <wp:inline distT="0" distB="0" distL="114300" distR="114300">
            <wp:extent cx="8068310" cy="4904105"/>
            <wp:effectExtent l="0" t="0" r="8890" b="10795"/>
            <wp:docPr id="3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0"/>
                    <pic:cNvPicPr>
                      <a:picLocks noChangeAspect="1"/>
                    </pic:cNvPicPr>
                  </pic:nvPicPr>
                  <pic:blipFill>
                    <a:blip r:embed="rId17"/>
                    <a:stretch>
                      <a:fillRect/>
                    </a:stretch>
                  </pic:blipFill>
                  <pic:spPr>
                    <a:xfrm>
                      <a:off x="0" y="0"/>
                      <a:ext cx="8068310" cy="4904105"/>
                    </a:xfrm>
                    <a:prstGeom prst="rect">
                      <a:avLst/>
                    </a:prstGeom>
                    <a:noFill/>
                    <a:ln>
                      <a:noFill/>
                    </a:ln>
                  </pic:spPr>
                </pic:pic>
              </a:graphicData>
            </a:graphic>
          </wp:inline>
        </w:drawing>
      </w:r>
    </w:p>
    <w:p>
      <w:pPr>
        <w:pStyle w:val="8"/>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图3-2  厂区平面布置简图</w:t>
      </w:r>
    </w:p>
    <w:p>
      <w:pPr>
        <w:spacing w:line="360" w:lineRule="auto"/>
        <w:ind w:firstLine="480" w:firstLineChars="200"/>
        <w:rPr>
          <w:rFonts w:hint="default" w:ascii="Times New Roman" w:hAnsi="Times New Roman" w:eastAsia="宋体" w:cs="Times New Roman"/>
          <w:color w:val="000000"/>
          <w:sz w:val="24"/>
          <w:szCs w:val="28"/>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8"/>
        </w:rPr>
        <w:t>根据现场勘查，</w:t>
      </w:r>
      <w:r>
        <w:rPr>
          <w:rFonts w:hint="default" w:ascii="Times New Roman" w:hAnsi="Times New Roman" w:eastAsia="宋体" w:cs="Times New Roman"/>
          <w:color w:val="000000"/>
          <w:sz w:val="24"/>
          <w:szCs w:val="24"/>
          <w:lang w:eastAsia="zh-CN"/>
        </w:rPr>
        <w:t>建设项目周边500m范围内</w:t>
      </w:r>
      <w:r>
        <w:rPr>
          <w:rFonts w:hint="default" w:ascii="Times New Roman" w:hAnsi="Times New Roman" w:eastAsia="宋体" w:cs="Times New Roman"/>
          <w:color w:val="000000"/>
          <w:sz w:val="24"/>
          <w:szCs w:val="28"/>
        </w:rPr>
        <w:t>敏感目标分布情况见表3-1及图3-3</w:t>
      </w:r>
      <w:r>
        <w:rPr>
          <w:rFonts w:hint="default" w:ascii="Times New Roman" w:hAnsi="Times New Roman" w:eastAsia="宋体" w:cs="Times New Roman"/>
          <w:color w:val="000000"/>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szCs w:val="24"/>
          <w:lang w:val="en-US" w:eastAsia="zh-CN"/>
        </w:rPr>
      </w:pPr>
      <w:r>
        <w:rPr>
          <w:rFonts w:hint="default" w:ascii="Times New Roman" w:hAnsi="Times New Roman" w:eastAsia="宋体" w:cs="Times New Roman"/>
          <w:b/>
          <w:bCs/>
          <w:szCs w:val="24"/>
          <w:lang w:val="en-US" w:eastAsia="zh-CN"/>
        </w:rPr>
        <w:t>表</w:t>
      </w:r>
      <w:r>
        <w:rPr>
          <w:rFonts w:hint="eastAsia" w:ascii="Times New Roman" w:hAnsi="Times New Roman" w:eastAsia="宋体" w:cs="Times New Roman"/>
          <w:b/>
          <w:bCs/>
          <w:szCs w:val="24"/>
          <w:lang w:val="en-US" w:eastAsia="zh-CN"/>
        </w:rPr>
        <w:t xml:space="preserve">3-1 </w:t>
      </w:r>
      <w:r>
        <w:rPr>
          <w:rFonts w:hint="default" w:ascii="Times New Roman" w:hAnsi="Times New Roman" w:eastAsia="宋体" w:cs="Times New Roman"/>
          <w:b/>
          <w:bCs/>
          <w:szCs w:val="24"/>
          <w:lang w:val="en-US" w:eastAsia="zh-CN"/>
        </w:rPr>
        <w:t xml:space="preserve"> 该项目附近主要敏感目标</w:t>
      </w:r>
    </w:p>
    <w:tbl>
      <w:tblPr>
        <w:tblStyle w:val="25"/>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440"/>
        <w:gridCol w:w="1936"/>
        <w:gridCol w:w="1265"/>
        <w:gridCol w:w="1350"/>
        <w:gridCol w:w="252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45" w:type="pct"/>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环境要素</w:t>
            </w:r>
          </w:p>
        </w:tc>
        <w:tc>
          <w:tcPr>
            <w:tcW w:w="1136" w:type="pct"/>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名称</w:t>
            </w:r>
          </w:p>
        </w:tc>
        <w:tc>
          <w:tcPr>
            <w:tcW w:w="742" w:type="pct"/>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方位</w:t>
            </w:r>
          </w:p>
        </w:tc>
        <w:tc>
          <w:tcPr>
            <w:tcW w:w="792" w:type="pct"/>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距离（m）</w:t>
            </w:r>
          </w:p>
        </w:tc>
        <w:tc>
          <w:tcPr>
            <w:tcW w:w="1483" w:type="pct"/>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b/>
                <w:color w:val="000000"/>
                <w:sz w:val="21"/>
                <w:szCs w:val="21"/>
              </w:rPr>
            </w:pPr>
            <w:r>
              <w:rPr>
                <w:rFonts w:ascii="Times New Roman" w:hAnsi="Times New Roman" w:eastAsia="宋体" w:cs="Times New Roman"/>
                <w:b/>
                <w:color w:val="000000"/>
                <w:sz w:val="21"/>
                <w:szCs w:val="21"/>
              </w:rPr>
              <w:t>保护级别</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9" w:hRule="atLeast"/>
          <w:jc w:val="center"/>
        </w:trPr>
        <w:tc>
          <w:tcPr>
            <w:tcW w:w="845" w:type="pct"/>
            <w:vMerge w:val="restart"/>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环境空气</w:t>
            </w:r>
          </w:p>
        </w:tc>
        <w:tc>
          <w:tcPr>
            <w:tcW w:w="1136" w:type="pct"/>
            <w:tcBorders>
              <w:tl2br w:val="nil"/>
              <w:tr2bl w:val="nil"/>
            </w:tcBorders>
            <w:noWrap w:val="0"/>
            <w:vAlign w:val="center"/>
          </w:tcPr>
          <w:p>
            <w:pPr>
              <w:adjustRightInd w:val="0"/>
              <w:snapToGrid w:val="0"/>
              <w:jc w:val="center"/>
              <w:outlineLvl w:val="3"/>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晨曦学校</w:t>
            </w:r>
          </w:p>
        </w:tc>
        <w:tc>
          <w:tcPr>
            <w:tcW w:w="742" w:type="pct"/>
            <w:tcBorders>
              <w:tl2br w:val="nil"/>
              <w:tr2bl w:val="nil"/>
            </w:tcBorders>
            <w:noWrap w:val="0"/>
            <w:vAlign w:val="center"/>
          </w:tcPr>
          <w:p>
            <w:pPr>
              <w:autoSpaceDE w:val="0"/>
              <w:autoSpaceDN w:val="0"/>
              <w:adjustRightInd w:val="0"/>
              <w:spacing w:line="240" w:lineRule="auto"/>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auto"/>
                <w:sz w:val="21"/>
                <w:szCs w:val="21"/>
                <w:lang w:val="en-US" w:eastAsia="zh-CN"/>
              </w:rPr>
              <w:t>S</w:t>
            </w:r>
          </w:p>
        </w:tc>
        <w:tc>
          <w:tcPr>
            <w:tcW w:w="792" w:type="pct"/>
            <w:tcBorders>
              <w:tl2br w:val="nil"/>
              <w:tr2bl w:val="nil"/>
            </w:tcBorders>
            <w:noWrap w:val="0"/>
            <w:vAlign w:val="center"/>
          </w:tcPr>
          <w:p>
            <w:pPr>
              <w:autoSpaceDE w:val="0"/>
              <w:autoSpaceDN w:val="0"/>
              <w:adjustRightInd w:val="0"/>
              <w:jc w:val="center"/>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auto"/>
                <w:sz w:val="21"/>
                <w:szCs w:val="21"/>
                <w:lang w:val="en-US" w:eastAsia="zh-CN"/>
              </w:rPr>
              <w:t>155</w:t>
            </w:r>
          </w:p>
        </w:tc>
        <w:tc>
          <w:tcPr>
            <w:tcW w:w="1483" w:type="pct"/>
            <w:vMerge w:val="restart"/>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color w:val="000000"/>
                <w:kern w:val="0"/>
                <w:sz w:val="21"/>
                <w:szCs w:val="21"/>
              </w:rPr>
            </w:pPr>
            <w:r>
              <w:rPr>
                <w:rFonts w:ascii="Times New Roman" w:hAnsi="Times New Roman" w:eastAsia="宋体" w:cs="Times New Roman"/>
                <w:color w:val="000000"/>
                <w:kern w:val="0"/>
                <w:sz w:val="21"/>
                <w:szCs w:val="21"/>
              </w:rPr>
              <w:t>《环境空气质量标准》（GB3095-2012）中的二级标准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45" w:type="pct"/>
            <w:vMerge w:val="continue"/>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color w:val="000000"/>
                <w:sz w:val="21"/>
                <w:szCs w:val="21"/>
              </w:rPr>
            </w:pPr>
          </w:p>
        </w:tc>
        <w:tc>
          <w:tcPr>
            <w:tcW w:w="1136" w:type="pct"/>
            <w:tcBorders>
              <w:tl2br w:val="nil"/>
              <w:tr2bl w:val="nil"/>
            </w:tcBorders>
            <w:noWrap w:val="0"/>
            <w:vAlign w:val="center"/>
          </w:tcPr>
          <w:p>
            <w:pPr>
              <w:adjustRightInd w:val="0"/>
              <w:snapToGrid w:val="0"/>
              <w:jc w:val="center"/>
              <w:outlineLvl w:val="3"/>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李胡同</w:t>
            </w:r>
          </w:p>
        </w:tc>
        <w:tc>
          <w:tcPr>
            <w:tcW w:w="742" w:type="pct"/>
            <w:tcBorders>
              <w:tl2br w:val="nil"/>
              <w:tr2bl w:val="nil"/>
            </w:tcBorders>
            <w:noWrap w:val="0"/>
            <w:vAlign w:val="center"/>
          </w:tcPr>
          <w:p>
            <w:pPr>
              <w:autoSpaceDE w:val="0"/>
              <w:autoSpaceDN w:val="0"/>
              <w:adjustRightIn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w:t>
            </w:r>
          </w:p>
        </w:tc>
        <w:tc>
          <w:tcPr>
            <w:tcW w:w="792" w:type="pct"/>
            <w:tcBorders>
              <w:tl2br w:val="nil"/>
              <w:tr2bl w:val="nil"/>
            </w:tcBorders>
            <w:noWrap w:val="0"/>
            <w:vAlign w:val="center"/>
          </w:tcPr>
          <w:p>
            <w:pPr>
              <w:autoSpaceDE w:val="0"/>
              <w:autoSpaceDN w:val="0"/>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170</w:t>
            </w:r>
          </w:p>
        </w:tc>
        <w:tc>
          <w:tcPr>
            <w:tcW w:w="1483" w:type="pct"/>
            <w:vMerge w:val="continue"/>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color w:val="00000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45" w:type="pct"/>
            <w:vMerge w:val="continue"/>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color w:val="000000"/>
                <w:sz w:val="21"/>
                <w:szCs w:val="21"/>
              </w:rPr>
            </w:pPr>
          </w:p>
        </w:tc>
        <w:tc>
          <w:tcPr>
            <w:tcW w:w="1136" w:type="pct"/>
            <w:tcBorders>
              <w:tl2br w:val="nil"/>
              <w:tr2bl w:val="nil"/>
            </w:tcBorders>
            <w:noWrap w:val="0"/>
            <w:vAlign w:val="center"/>
          </w:tcPr>
          <w:p>
            <w:pPr>
              <w:adjustRightInd w:val="0"/>
              <w:snapToGrid w:val="0"/>
              <w:jc w:val="center"/>
              <w:outlineLvl w:val="3"/>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油庄</w:t>
            </w:r>
          </w:p>
        </w:tc>
        <w:tc>
          <w:tcPr>
            <w:tcW w:w="742" w:type="pct"/>
            <w:tcBorders>
              <w:tl2br w:val="nil"/>
              <w:tr2bl w:val="nil"/>
            </w:tcBorders>
            <w:noWrap w:val="0"/>
            <w:vAlign w:val="center"/>
          </w:tcPr>
          <w:p>
            <w:pPr>
              <w:autoSpaceDE w:val="0"/>
              <w:autoSpaceDN w:val="0"/>
              <w:adjustRightIn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w:t>
            </w:r>
          </w:p>
        </w:tc>
        <w:tc>
          <w:tcPr>
            <w:tcW w:w="792" w:type="pct"/>
            <w:tcBorders>
              <w:tl2br w:val="nil"/>
              <w:tr2bl w:val="nil"/>
            </w:tcBorders>
            <w:noWrap w:val="0"/>
            <w:vAlign w:val="center"/>
          </w:tcPr>
          <w:p>
            <w:pPr>
              <w:autoSpaceDE w:val="0"/>
              <w:autoSpaceDN w:val="0"/>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160</w:t>
            </w:r>
          </w:p>
        </w:tc>
        <w:tc>
          <w:tcPr>
            <w:tcW w:w="1483" w:type="pct"/>
            <w:vMerge w:val="continue"/>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color w:val="00000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45" w:type="pct"/>
            <w:vMerge w:val="continue"/>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color w:val="000000"/>
                <w:sz w:val="21"/>
                <w:szCs w:val="21"/>
              </w:rPr>
            </w:pPr>
          </w:p>
        </w:tc>
        <w:tc>
          <w:tcPr>
            <w:tcW w:w="1136" w:type="pct"/>
            <w:tcBorders>
              <w:tl2br w:val="nil"/>
              <w:tr2bl w:val="nil"/>
            </w:tcBorders>
            <w:noWrap w:val="0"/>
            <w:vAlign w:val="center"/>
          </w:tcPr>
          <w:p>
            <w:pPr>
              <w:adjustRightInd w:val="0"/>
              <w:snapToGrid w:val="0"/>
              <w:jc w:val="center"/>
              <w:outlineLvl w:val="3"/>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范庄</w:t>
            </w:r>
          </w:p>
        </w:tc>
        <w:tc>
          <w:tcPr>
            <w:tcW w:w="742" w:type="pct"/>
            <w:tcBorders>
              <w:tl2br w:val="nil"/>
              <w:tr2bl w:val="nil"/>
            </w:tcBorders>
            <w:noWrap w:val="0"/>
            <w:vAlign w:val="center"/>
          </w:tcPr>
          <w:p>
            <w:pPr>
              <w:autoSpaceDE w:val="0"/>
              <w:autoSpaceDN w:val="0"/>
              <w:adjustRightIn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E</w:t>
            </w:r>
          </w:p>
        </w:tc>
        <w:tc>
          <w:tcPr>
            <w:tcW w:w="792" w:type="pct"/>
            <w:tcBorders>
              <w:tl2br w:val="nil"/>
              <w:tr2bl w:val="nil"/>
            </w:tcBorders>
            <w:noWrap w:val="0"/>
            <w:vAlign w:val="center"/>
          </w:tcPr>
          <w:p>
            <w:pPr>
              <w:autoSpaceDE w:val="0"/>
              <w:autoSpaceDN w:val="0"/>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210</w:t>
            </w:r>
          </w:p>
        </w:tc>
        <w:tc>
          <w:tcPr>
            <w:tcW w:w="1483" w:type="pct"/>
            <w:vMerge w:val="continue"/>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color w:val="000000"/>
                <w:kern w:val="0"/>
                <w:sz w:val="21"/>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845" w:type="pct"/>
            <w:vMerge w:val="continue"/>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color w:val="000000"/>
                <w:sz w:val="21"/>
                <w:szCs w:val="21"/>
              </w:rPr>
            </w:pPr>
          </w:p>
        </w:tc>
        <w:tc>
          <w:tcPr>
            <w:tcW w:w="1136" w:type="pct"/>
            <w:tcBorders>
              <w:tl2br w:val="nil"/>
              <w:tr2bl w:val="nil"/>
            </w:tcBorders>
            <w:noWrap w:val="0"/>
            <w:vAlign w:val="center"/>
          </w:tcPr>
          <w:p>
            <w:pPr>
              <w:adjustRightInd w:val="0"/>
              <w:snapToGrid w:val="0"/>
              <w:jc w:val="center"/>
              <w:outlineLvl w:val="3"/>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鹿坊村</w:t>
            </w:r>
          </w:p>
        </w:tc>
        <w:tc>
          <w:tcPr>
            <w:tcW w:w="742" w:type="pct"/>
            <w:tcBorders>
              <w:tl2br w:val="nil"/>
              <w:tr2bl w:val="nil"/>
            </w:tcBorders>
            <w:noWrap w:val="0"/>
            <w:vAlign w:val="center"/>
          </w:tcPr>
          <w:p>
            <w:pPr>
              <w:autoSpaceDE w:val="0"/>
              <w:autoSpaceDN w:val="0"/>
              <w:adjustRightIn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N</w:t>
            </w:r>
          </w:p>
        </w:tc>
        <w:tc>
          <w:tcPr>
            <w:tcW w:w="792" w:type="pct"/>
            <w:tcBorders>
              <w:tl2br w:val="nil"/>
              <w:tr2bl w:val="nil"/>
            </w:tcBorders>
            <w:noWrap w:val="0"/>
            <w:vAlign w:val="center"/>
          </w:tcPr>
          <w:p>
            <w:pPr>
              <w:autoSpaceDE w:val="0"/>
              <w:autoSpaceDN w:val="0"/>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260</w:t>
            </w:r>
          </w:p>
        </w:tc>
        <w:tc>
          <w:tcPr>
            <w:tcW w:w="1483" w:type="pct"/>
            <w:vMerge w:val="continue"/>
            <w:tcBorders>
              <w:tl2br w:val="nil"/>
              <w:tr2bl w:val="nil"/>
            </w:tcBorders>
            <w:noWrap w:val="0"/>
            <w:vAlign w:val="center"/>
          </w:tcPr>
          <w:p>
            <w:pPr>
              <w:adjustRightInd w:val="0"/>
              <w:snapToGrid w:val="0"/>
              <w:spacing w:line="240" w:lineRule="auto"/>
              <w:jc w:val="center"/>
              <w:rPr>
                <w:rFonts w:ascii="Times New Roman" w:hAnsi="Times New Roman" w:eastAsia="宋体" w:cs="Times New Roman"/>
                <w:color w:val="000000"/>
                <w:kern w:val="0"/>
                <w:sz w:val="21"/>
                <w:szCs w:val="21"/>
              </w:rPr>
            </w:pPr>
          </w:p>
        </w:tc>
      </w:tr>
    </w:tbl>
    <w:p>
      <w:pPr>
        <w:spacing w:line="360" w:lineRule="auto"/>
        <w:jc w:val="center"/>
      </w:pPr>
    </w:p>
    <w:p>
      <w:pPr>
        <w:spacing w:line="360" w:lineRule="auto"/>
        <w:jc w:val="both"/>
        <w:rPr>
          <w:rFonts w:hint="default" w:ascii="Times New Roman" w:hAnsi="Times New Roman" w:eastAsia="宋体" w:cs="Times New Roman"/>
          <w:sz w:val="22"/>
          <w:szCs w:val="28"/>
        </w:rPr>
      </w:pPr>
      <w:r>
        <w:drawing>
          <wp:inline distT="0" distB="0" distL="114300" distR="114300">
            <wp:extent cx="5555615" cy="3268980"/>
            <wp:effectExtent l="0" t="0" r="6985" b="7620"/>
            <wp:docPr id="3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1"/>
                    <pic:cNvPicPr>
                      <a:picLocks noChangeAspect="1"/>
                    </pic:cNvPicPr>
                  </pic:nvPicPr>
                  <pic:blipFill>
                    <a:blip r:embed="rId18"/>
                    <a:stretch>
                      <a:fillRect/>
                    </a:stretch>
                  </pic:blipFill>
                  <pic:spPr>
                    <a:xfrm>
                      <a:off x="0" y="0"/>
                      <a:ext cx="5555615" cy="3268980"/>
                    </a:xfrm>
                    <a:prstGeom prst="rect">
                      <a:avLst/>
                    </a:prstGeom>
                    <a:noFill/>
                    <a:ln>
                      <a:noFill/>
                    </a:ln>
                  </pic:spPr>
                </pic:pic>
              </a:graphicData>
            </a:graphic>
          </wp:inline>
        </w:drawing>
      </w:r>
    </w:p>
    <w:p>
      <w:pPr>
        <w:pStyle w:val="8"/>
        <w:keepNext w:val="0"/>
        <w:keepLines w:val="0"/>
        <w:pageBreakBefore w:val="0"/>
        <w:widowControl w:val="0"/>
        <w:kinsoku/>
        <w:wordWrap/>
        <w:overflowPunct/>
        <w:topLinePunct w:val="0"/>
        <w:autoSpaceDE/>
        <w:autoSpaceDN/>
        <w:bidi w:val="0"/>
        <w:adjustRightInd/>
        <w:snapToGrid/>
        <w:spacing w:after="0" w:line="240" w:lineRule="auto"/>
        <w:ind w:lef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图3-3  项目周边敏感目标分布图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该项目环境保护目标与环评阶段相比无变化。根据《</w:t>
      </w:r>
      <w:r>
        <w:rPr>
          <w:rFonts w:hint="eastAsia" w:ascii="Times New Roman" w:hAnsi="Times New Roman" w:eastAsia="宋体" w:cs="Times New Roman"/>
          <w:sz w:val="24"/>
          <w:szCs w:val="28"/>
          <w:lang w:val="en-US" w:eastAsia="zh-CN"/>
        </w:rPr>
        <w:t>山东豪瑞恩全球高端制剂项目</w:t>
      </w:r>
      <w:r>
        <w:rPr>
          <w:rFonts w:hint="default" w:ascii="Times New Roman" w:hAnsi="Times New Roman" w:eastAsia="宋体" w:cs="Times New Roman"/>
          <w:sz w:val="24"/>
          <w:szCs w:val="28"/>
        </w:rPr>
        <w:t>环境影响报告表》可知，该项目无需设置大气环境防护距离。</w:t>
      </w:r>
    </w:p>
    <w:p>
      <w:pPr>
        <w:pStyle w:val="38"/>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outlineLvl w:val="1"/>
        <w:rPr>
          <w:rFonts w:hint="default" w:ascii="Times New Roman" w:hAnsi="Times New Roman" w:eastAsia="宋体" w:cs="Times New Roman"/>
          <w:b/>
          <w:sz w:val="28"/>
          <w:szCs w:val="32"/>
        </w:rPr>
      </w:pPr>
      <w:bookmarkStart w:id="21" w:name="_Toc15119"/>
      <w:r>
        <w:rPr>
          <w:rFonts w:hint="default" w:ascii="Times New Roman" w:hAnsi="Times New Roman" w:eastAsia="宋体" w:cs="Times New Roman"/>
          <w:b/>
          <w:sz w:val="28"/>
          <w:szCs w:val="32"/>
        </w:rPr>
        <w:t>3.2建设内容</w:t>
      </w:r>
      <w:bookmarkEnd w:id="2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8"/>
          <w:lang w:val="en-US" w:eastAsia="zh-CN"/>
        </w:rPr>
      </w:pPr>
      <w:r>
        <w:rPr>
          <w:rFonts w:hint="default" w:ascii="Times New Roman" w:hAnsi="Times New Roman" w:eastAsia="宋体" w:cs="Times New Roman"/>
          <w:color w:val="auto"/>
          <w:sz w:val="24"/>
        </w:rPr>
        <w:t>项目名称：</w:t>
      </w:r>
      <w:r>
        <w:rPr>
          <w:rFonts w:hint="eastAsia" w:ascii="Times New Roman" w:hAnsi="Times New Roman" w:eastAsia="宋体" w:cs="Times New Roman"/>
          <w:color w:val="auto"/>
          <w:sz w:val="24"/>
          <w:szCs w:val="28"/>
          <w:lang w:val="en-US" w:eastAsia="zh-CN"/>
        </w:rPr>
        <w:t>山东豪瑞恩全球高端制剂项目（一期）。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生产规模：</w:t>
      </w:r>
      <w:r>
        <w:rPr>
          <w:rFonts w:hint="eastAsia" w:ascii="Times New Roman" w:hAnsi="Times New Roman" w:eastAsia="宋体" w:cs="Times New Roman"/>
          <w:sz w:val="24"/>
          <w:szCs w:val="24"/>
          <w:lang w:val="en-US" w:eastAsia="zh-CN"/>
        </w:rPr>
        <w:t>项目环评设计年产大容量（软袋）注射剂产品：左氧氟沙星氯化钠注射液3250万袋、氟康</w:t>
      </w:r>
      <w:r>
        <w:rPr>
          <w:rFonts w:hint="default" w:ascii="Times New Roman" w:hAnsi="Times New Roman" w:eastAsia="宋体" w:cs="Times New Roman"/>
          <w:sz w:val="24"/>
          <w:szCs w:val="24"/>
          <w:lang w:val="en-US" w:eastAsia="zh-CN"/>
        </w:rPr>
        <w:t>唑</w:t>
      </w:r>
      <w:r>
        <w:rPr>
          <w:rFonts w:hint="eastAsia" w:ascii="Times New Roman" w:hAnsi="Times New Roman" w:eastAsia="宋体" w:cs="Times New Roman"/>
          <w:sz w:val="24"/>
          <w:szCs w:val="24"/>
          <w:lang w:val="en-US" w:eastAsia="zh-CN"/>
        </w:rPr>
        <w:t>氯化钠注射液64万袋、米力农葡萄糖注射液200万袋、复方氨基酸注射液（18AA-SF））800万袋，共计4314万袋；大容量（玻璃瓶）注射剂产品：</w:t>
      </w:r>
      <w:r>
        <w:rPr>
          <w:rFonts w:hint="default" w:ascii="Times New Roman" w:hAnsi="Times New Roman" w:eastAsia="宋体" w:cs="Times New Roman"/>
          <w:b w:val="0"/>
          <w:bCs/>
          <w:kern w:val="0"/>
          <w:sz w:val="24"/>
          <w:szCs w:val="24"/>
          <w:lang w:val="en-US" w:eastAsia="zh-CN"/>
        </w:rPr>
        <w:t>丙氨酰谷氨酰胺注射液</w:t>
      </w:r>
      <w:r>
        <w:rPr>
          <w:rFonts w:hint="eastAsia" w:ascii="Times New Roman" w:hAnsi="Times New Roman" w:eastAsia="宋体" w:cs="Times New Roman"/>
          <w:sz w:val="24"/>
          <w:szCs w:val="24"/>
          <w:lang w:val="en-US" w:eastAsia="zh-CN"/>
        </w:rPr>
        <w:t>200万瓶、复方氨基酸注射液（18AA）150万瓶、复方氨基酸注射液（18AA--VII）850万瓶、复方氨基酸注射液（14AA）500万瓶、复方氨基酸注射液（14AA-SF））800万瓶，共计2500万瓶；小容量（安瓿瓶）注射剂产品：氨甲环酸注射液1000万支、胞磷胆碱钠注射液10000万支、维生素C注射液10000万支、维生素B6注射液500万支、钠钾镁钙注射用浓溶液500万支，共计2.23亿支；小容量（西林瓶）冻干注射剂产品：</w:t>
      </w:r>
      <w:r>
        <w:rPr>
          <w:rFonts w:hint="default" w:ascii="Times New Roman" w:hAnsi="Times New Roman" w:eastAsia="宋体" w:cs="Times New Roman"/>
          <w:sz w:val="24"/>
          <w:szCs w:val="24"/>
          <w:lang w:val="en-US" w:eastAsia="zh-CN"/>
        </w:rPr>
        <w:t>注射用奥美拉唑钠</w:t>
      </w:r>
      <w:r>
        <w:rPr>
          <w:rFonts w:hint="eastAsia" w:ascii="Times New Roman" w:hAnsi="Times New Roman" w:eastAsia="宋体" w:cs="Times New Roman"/>
          <w:sz w:val="24"/>
          <w:szCs w:val="24"/>
          <w:lang w:val="en-US" w:eastAsia="zh-CN"/>
        </w:rPr>
        <w:t>1000万支、注射用盐酸罗沙替丁醋酸酯300万支、注射用地尔硫卓300万支，共计1600万支。项目分期验收，本次验收范围为年产小容量（安瓿瓶）注射剂产品：维生素B6注射液500万支、钠钾镁钙注射用浓溶液800万支，共计1300万支；小容量（西林瓶）冻干注射剂产品：注射用盐酸罗沙替丁醋酸酯80万支、注射用地尔硫卓80万支，共计160万支，主要建设</w:t>
      </w:r>
      <w:r>
        <w:rPr>
          <w:rFonts w:hint="eastAsia" w:ascii="Times New Roman" w:hAnsi="Times New Roman" w:eastAsia="宋体" w:cs="Times New Roman"/>
          <w:sz w:val="24"/>
          <w:szCs w:val="28"/>
          <w:lang w:val="en-US" w:eastAsia="zh-CN"/>
        </w:rPr>
        <w:t>G1小容量注射剂</w:t>
      </w:r>
      <w:r>
        <w:rPr>
          <w:rFonts w:hint="eastAsia" w:ascii="Times New Roman" w:hAnsi="Times New Roman" w:eastAsia="宋体" w:cs="Times New Roman"/>
          <w:kern w:val="2"/>
          <w:sz w:val="24"/>
          <w:szCs w:val="22"/>
          <w:lang w:val="en-US" w:eastAsia="zh-CN" w:bidi="zh-CN"/>
        </w:rPr>
        <w:t>（安瓿瓶、西林瓶）车间</w:t>
      </w:r>
      <w:r>
        <w:rPr>
          <w:rFonts w:hint="eastAsia" w:ascii="Times New Roman" w:hAnsi="Times New Roman" w:eastAsia="宋体" w:cs="Times New Roman"/>
          <w:sz w:val="24"/>
          <w:szCs w:val="28"/>
          <w:lang w:val="en-US" w:eastAsia="zh-CN"/>
        </w:rPr>
        <w:t>、</w:t>
      </w:r>
      <w:r>
        <w:rPr>
          <w:rFonts w:hint="default" w:ascii="Times New Roman" w:hAnsi="Times New Roman" w:eastAsia="宋体" w:cs="Times New Roman"/>
          <w:kern w:val="2"/>
          <w:sz w:val="24"/>
          <w:szCs w:val="22"/>
          <w:lang w:val="en-US" w:eastAsia="zh-CN" w:bidi="zh-CN"/>
        </w:rPr>
        <w:t>综合仓库</w:t>
      </w:r>
      <w:r>
        <w:rPr>
          <w:rFonts w:hint="eastAsia" w:ascii="Times New Roman" w:hAnsi="Times New Roman" w:eastAsia="宋体" w:cs="Times New Roman"/>
          <w:kern w:val="2"/>
          <w:sz w:val="24"/>
          <w:szCs w:val="22"/>
          <w:lang w:val="en-US" w:eastAsia="zh-CN" w:bidi="zh-CN"/>
        </w:rPr>
        <w:t>、</w:t>
      </w:r>
      <w:r>
        <w:rPr>
          <w:rFonts w:hint="default" w:ascii="Times New Roman" w:hAnsi="Times New Roman" w:eastAsia="宋体" w:cs="Times New Roman"/>
          <w:kern w:val="2"/>
          <w:sz w:val="24"/>
          <w:szCs w:val="22"/>
          <w:lang w:val="en-US" w:eastAsia="zh-CN" w:bidi="zh-CN"/>
        </w:rPr>
        <w:t>成品仓库</w:t>
      </w:r>
      <w:r>
        <w:rPr>
          <w:rFonts w:hint="eastAsia" w:ascii="Times New Roman" w:hAnsi="Times New Roman" w:eastAsia="宋体" w:cs="Times New Roman"/>
          <w:kern w:val="2"/>
          <w:sz w:val="24"/>
          <w:szCs w:val="22"/>
          <w:lang w:val="en-US" w:eastAsia="zh-CN" w:bidi="zh-CN"/>
        </w:rPr>
        <w:t>、化验中心、办公室</w:t>
      </w:r>
      <w:r>
        <w:rPr>
          <w:rFonts w:hint="eastAsia" w:ascii="Times New Roman" w:hAnsi="Times New Roman" w:eastAsia="宋体" w:cs="Times New Roman"/>
          <w:sz w:val="24"/>
          <w:szCs w:val="28"/>
          <w:lang w:val="en-US" w:eastAsia="zh-CN"/>
        </w:rPr>
        <w:t>、一般固废暂存间和危废暂存间</w:t>
      </w:r>
      <w:r>
        <w:rPr>
          <w:rFonts w:hint="default" w:ascii="Times New Roman" w:hAnsi="Times New Roman" w:eastAsia="宋体" w:cs="Times New Roman"/>
          <w:sz w:val="24"/>
          <w:szCs w:val="28"/>
          <w:lang w:val="en-US" w:eastAsia="zh-CN"/>
        </w:rPr>
        <w:t>等</w:t>
      </w:r>
      <w:r>
        <w:rPr>
          <w:rFonts w:hint="eastAsia" w:ascii="Times New Roman" w:hAnsi="Times New Roman" w:eastAsia="宋体" w:cs="Times New Roman"/>
          <w:sz w:val="24"/>
          <w:szCs w:val="24"/>
          <w:lang w:val="en-US" w:eastAsia="zh-CN"/>
        </w:rPr>
        <w:t>；其余产品的生产尚未建设与剩余机加工生产设备，作为二期建设内容</w:t>
      </w:r>
      <w:r>
        <w:rPr>
          <w:rFonts w:hint="default" w:ascii="Times New Roman" w:hAnsi="Times New Roman" w:eastAsia="宋体" w:cs="Times New Roman"/>
          <w:color w:val="auto"/>
          <w:kern w:val="0"/>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color w:val="auto"/>
          <w:sz w:val="24"/>
        </w:rPr>
        <w:t>建设地点：</w:t>
      </w:r>
      <w:r>
        <w:rPr>
          <w:rFonts w:hint="eastAsia" w:ascii="Times New Roman" w:hAnsi="Times New Roman" w:eastAsia="宋体" w:cs="Times New Roman"/>
          <w:sz w:val="24"/>
          <w:szCs w:val="28"/>
          <w:lang w:val="en-US" w:eastAsia="zh-CN"/>
        </w:rPr>
        <w:t>山东省菏泽市高新区北环路2999号</w:t>
      </w:r>
      <w:r>
        <w:rPr>
          <w:rFonts w:hint="default" w:ascii="Times New Roman" w:hAnsi="Times New Roman" w:eastAsia="宋体" w:cs="Times New Roman"/>
          <w:sz w:val="24"/>
        </w:rPr>
        <w:t>。</w:t>
      </w:r>
    </w:p>
    <w:p>
      <w:pPr>
        <w:keepNext w:val="0"/>
        <w:keepLines w:val="0"/>
        <w:pageBreakBefore w:val="0"/>
        <w:widowControl/>
        <w:kinsoku/>
        <w:wordWrap/>
        <w:overflowPunct/>
        <w:topLinePunct w:val="0"/>
        <w:bidi w:val="0"/>
        <w:spacing w:line="360" w:lineRule="auto"/>
        <w:ind w:firstLine="480"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劳动定员及工作制度：</w:t>
      </w:r>
      <w:r>
        <w:rPr>
          <w:rFonts w:hint="default" w:ascii="Times New Roman" w:hAnsi="Times New Roman" w:eastAsia="宋体" w:cs="Times New Roman"/>
          <w:sz w:val="24"/>
          <w:szCs w:val="24"/>
        </w:rPr>
        <w:t>本</w:t>
      </w:r>
      <w:r>
        <w:rPr>
          <w:rFonts w:hint="eastAsia" w:ascii="Times New Roman" w:hAnsi="Times New Roman" w:eastAsia="宋体" w:cs="Times New Roman"/>
          <w:sz w:val="24"/>
          <w:szCs w:val="24"/>
          <w:lang w:val="en-US" w:eastAsia="zh-CN"/>
        </w:rPr>
        <w:t>次一期验收</w:t>
      </w:r>
      <w:r>
        <w:rPr>
          <w:rFonts w:hint="default" w:ascii="Times New Roman" w:hAnsi="Times New Roman" w:eastAsia="宋体" w:cs="Times New Roman"/>
          <w:sz w:val="24"/>
          <w:szCs w:val="24"/>
        </w:rPr>
        <w:t>劳动定员</w:t>
      </w:r>
      <w:r>
        <w:rPr>
          <w:rFonts w:hint="eastAsia" w:ascii="Times New Roman" w:hAnsi="Times New Roman" w:eastAsia="宋体" w:cs="Times New Roman"/>
          <w:sz w:val="24"/>
          <w:szCs w:val="24"/>
          <w:lang w:val="en-US" w:eastAsia="zh-CN"/>
        </w:rPr>
        <w:t>80</w:t>
      </w:r>
      <w:r>
        <w:rPr>
          <w:rFonts w:hint="default" w:ascii="Times New Roman" w:hAnsi="Times New Roman" w:eastAsia="宋体" w:cs="Times New Roman"/>
          <w:sz w:val="24"/>
          <w:szCs w:val="24"/>
        </w:rPr>
        <w:t>人</w:t>
      </w:r>
      <w:r>
        <w:rPr>
          <w:rFonts w:hint="default" w:ascii="Times New Roman" w:hAnsi="Times New Roman" w:eastAsia="宋体" w:cs="Times New Roman"/>
          <w:sz w:val="24"/>
          <w:lang w:val="en-US" w:eastAsia="zh-CN"/>
        </w:rPr>
        <w:t>，</w:t>
      </w:r>
      <w:r>
        <w:rPr>
          <w:rFonts w:hint="default" w:ascii="Times New Roman" w:hAnsi="Times New Roman" w:eastAsia="宋体" w:cs="Times New Roman"/>
          <w:color w:val="000000"/>
          <w:sz w:val="24"/>
          <w:szCs w:val="24"/>
        </w:rPr>
        <w:t>年工作日：300天；生产制度：采用</w:t>
      </w:r>
      <w:r>
        <w:rPr>
          <w:rFonts w:hint="eastAsia" w:ascii="Times New Roman" w:hAnsi="Times New Roman" w:eastAsia="宋体" w:cs="Times New Roman"/>
          <w:color w:val="000000"/>
          <w:sz w:val="24"/>
          <w:szCs w:val="24"/>
          <w:lang w:val="en-US" w:eastAsia="zh-CN"/>
        </w:rPr>
        <w:t>四班三运转</w:t>
      </w:r>
      <w:r>
        <w:rPr>
          <w:rFonts w:hint="default" w:ascii="Times New Roman" w:hAnsi="Times New Roman" w:eastAsia="宋体" w:cs="Times New Roman"/>
          <w:color w:val="000000"/>
          <w:sz w:val="24"/>
          <w:szCs w:val="24"/>
        </w:rPr>
        <w:t>制，每班工作8小时，年工作</w:t>
      </w:r>
      <w:r>
        <w:rPr>
          <w:rFonts w:hint="eastAsia" w:ascii="Times New Roman" w:hAnsi="Times New Roman" w:eastAsia="宋体" w:cs="Times New Roman"/>
          <w:color w:val="000000"/>
          <w:sz w:val="24"/>
          <w:szCs w:val="24"/>
          <w:lang w:val="en-US" w:eastAsia="zh-CN"/>
        </w:rPr>
        <w:t>7200</w:t>
      </w:r>
      <w:r>
        <w:rPr>
          <w:rFonts w:hint="default" w:ascii="Times New Roman" w:hAnsi="Times New Roman" w:eastAsia="宋体" w:cs="Times New Roman"/>
          <w:color w:val="000000"/>
          <w:sz w:val="24"/>
          <w:szCs w:val="24"/>
        </w:rPr>
        <w:t>小时</w:t>
      </w:r>
      <w:r>
        <w:rPr>
          <w:rFonts w:hint="eastAsia" w:ascii="Times New Roman" w:hAnsi="Times New Roman" w:eastAsia="宋体" w:cs="Times New Roman"/>
          <w:color w:val="000000"/>
          <w:sz w:val="24"/>
          <w:szCs w:val="24"/>
          <w:lang w:eastAsia="zh-CN"/>
        </w:rPr>
        <w:t>，</w:t>
      </w:r>
      <w:r>
        <w:rPr>
          <w:rFonts w:hint="eastAsia" w:ascii="Times New Roman" w:hAnsi="Times New Roman" w:eastAsia="宋体" w:cs="Times New Roman"/>
          <w:color w:val="000000"/>
          <w:sz w:val="24"/>
          <w:szCs w:val="24"/>
          <w:lang w:val="en-US" w:eastAsia="zh-CN"/>
        </w:rPr>
        <w:t>其中化验中心年工作时间为100h</w:t>
      </w:r>
      <w:r>
        <w:rPr>
          <w:rFonts w:hint="default" w:ascii="Times New Roman" w:hAnsi="Times New Roman" w:eastAsia="宋体" w:cs="Times New Roman"/>
          <w:sz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项目投资：</w:t>
      </w:r>
      <w:r>
        <w:rPr>
          <w:rFonts w:hint="default" w:ascii="Times New Roman" w:hAnsi="Times New Roman" w:eastAsia="宋体" w:cs="Times New Roman"/>
          <w:sz w:val="24"/>
          <w:szCs w:val="28"/>
        </w:rPr>
        <w:t>项目总投资</w:t>
      </w:r>
      <w:r>
        <w:rPr>
          <w:rFonts w:hint="eastAsia" w:ascii="Times New Roman" w:hAnsi="Times New Roman" w:eastAsia="宋体" w:cs="Times New Roman"/>
          <w:sz w:val="24"/>
          <w:szCs w:val="28"/>
          <w:lang w:val="en-US" w:eastAsia="zh-CN"/>
        </w:rPr>
        <w:t>120000</w:t>
      </w:r>
      <w:r>
        <w:rPr>
          <w:rFonts w:hint="default" w:ascii="Times New Roman" w:hAnsi="Times New Roman" w:eastAsia="宋体" w:cs="Times New Roman"/>
          <w:sz w:val="24"/>
          <w:szCs w:val="28"/>
          <w:lang w:eastAsia="zh-CN"/>
        </w:rPr>
        <w:t>万</w:t>
      </w:r>
      <w:r>
        <w:rPr>
          <w:rFonts w:hint="default" w:ascii="Times New Roman" w:hAnsi="Times New Roman" w:eastAsia="宋体" w:cs="Times New Roman"/>
          <w:sz w:val="24"/>
          <w:szCs w:val="28"/>
        </w:rPr>
        <w:t>元</w:t>
      </w:r>
      <w:r>
        <w:rPr>
          <w:rFonts w:hint="eastAsia" w:ascii="Times New Roman" w:hAnsi="Times New Roman" w:eastAsia="宋体" w:cs="Times New Roman"/>
          <w:sz w:val="24"/>
          <w:szCs w:val="28"/>
          <w:lang w:val="en-US" w:eastAsia="zh-CN"/>
        </w:rPr>
        <w:t>，一期实际</w:t>
      </w:r>
      <w:r>
        <w:rPr>
          <w:rFonts w:hint="eastAsia" w:ascii="Times New Roman" w:hAnsi="Times New Roman" w:eastAsia="宋体" w:cs="Times New Roman"/>
          <w:sz w:val="24"/>
          <w:szCs w:val="28"/>
          <w:lang w:eastAsia="zh-CN"/>
        </w:rPr>
        <w:t>总投资</w:t>
      </w:r>
      <w:r>
        <w:rPr>
          <w:rFonts w:hint="eastAsia" w:ascii="Times New Roman" w:hAnsi="Times New Roman" w:eastAsia="宋体" w:cs="Times New Roman"/>
          <w:sz w:val="24"/>
          <w:szCs w:val="28"/>
          <w:lang w:val="en-US" w:eastAsia="zh-CN"/>
        </w:rPr>
        <w:t>10100</w:t>
      </w:r>
      <w:r>
        <w:rPr>
          <w:rFonts w:hint="eastAsia" w:ascii="Times New Roman" w:hAnsi="Times New Roman" w:eastAsia="宋体" w:cs="Times New Roman"/>
          <w:sz w:val="24"/>
          <w:szCs w:val="28"/>
          <w:lang w:eastAsia="zh-CN"/>
        </w:rPr>
        <w:t>万元，其中环保投资</w:t>
      </w:r>
      <w:r>
        <w:rPr>
          <w:rFonts w:hint="eastAsia" w:ascii="Times New Roman" w:hAnsi="Times New Roman" w:eastAsia="宋体" w:cs="Times New Roman"/>
          <w:sz w:val="24"/>
          <w:szCs w:val="28"/>
          <w:lang w:val="en-US" w:eastAsia="zh-CN"/>
        </w:rPr>
        <w:t>150</w:t>
      </w:r>
      <w:r>
        <w:rPr>
          <w:rFonts w:hint="eastAsia" w:ascii="Times New Roman" w:hAnsi="Times New Roman" w:eastAsia="宋体" w:cs="Times New Roman"/>
          <w:sz w:val="24"/>
          <w:szCs w:val="28"/>
          <w:lang w:eastAsia="zh-CN"/>
        </w:rPr>
        <w:t>万元。</w:t>
      </w:r>
      <w:r>
        <w:rPr>
          <w:rFonts w:hint="eastAsia" w:ascii="Times New Roman" w:hAnsi="Times New Roman" w:eastAsia="宋体" w:cs="Times New Roman"/>
          <w:sz w:val="24"/>
          <w:szCs w:val="28"/>
          <w:lang w:val="en-US" w:eastAsia="zh-CN"/>
        </w:rPr>
        <w:t>一期</w:t>
      </w:r>
      <w:r>
        <w:rPr>
          <w:rFonts w:hint="default" w:ascii="Times New Roman" w:hAnsi="Times New Roman" w:eastAsia="宋体" w:cs="Times New Roman"/>
          <w:sz w:val="24"/>
          <w:szCs w:val="28"/>
          <w:lang w:val="en-US" w:eastAsia="zh-CN"/>
        </w:rPr>
        <w:t>实际</w:t>
      </w:r>
      <w:r>
        <w:rPr>
          <w:rFonts w:hint="eastAsia" w:ascii="Times New Roman" w:hAnsi="Times New Roman" w:eastAsia="宋体" w:cs="Times New Roman"/>
          <w:sz w:val="24"/>
          <w:szCs w:val="28"/>
          <w:lang w:val="en-US" w:eastAsia="zh-CN"/>
        </w:rPr>
        <w:t>投资</w:t>
      </w:r>
      <w:r>
        <w:rPr>
          <w:rFonts w:hint="eastAsia" w:ascii="Times New Roman" w:hAnsi="Times New Roman" w:eastAsia="宋体" w:cs="Times New Roman"/>
          <w:sz w:val="24"/>
          <w:szCs w:val="28"/>
          <w:lang w:eastAsia="zh-CN"/>
        </w:rPr>
        <w:t>占</w:t>
      </w:r>
      <w:r>
        <w:rPr>
          <w:rFonts w:hint="default" w:ascii="Times New Roman" w:hAnsi="Times New Roman" w:eastAsia="宋体" w:cs="Times New Roman"/>
          <w:sz w:val="24"/>
          <w:szCs w:val="28"/>
        </w:rPr>
        <w:t>总投资</w:t>
      </w:r>
      <w:r>
        <w:rPr>
          <w:rFonts w:hint="eastAsia" w:ascii="Times New Roman" w:hAnsi="Times New Roman" w:eastAsia="宋体" w:cs="Times New Roman"/>
          <w:sz w:val="24"/>
          <w:szCs w:val="28"/>
          <w:lang w:eastAsia="zh-CN"/>
        </w:rPr>
        <w:t>的</w:t>
      </w:r>
      <w:r>
        <w:rPr>
          <w:rFonts w:hint="eastAsia" w:ascii="Times New Roman" w:hAnsi="Times New Roman" w:eastAsia="宋体" w:cs="Times New Roman"/>
          <w:sz w:val="24"/>
          <w:szCs w:val="28"/>
          <w:lang w:val="en-US" w:eastAsia="zh-CN"/>
        </w:rPr>
        <w:t>8.4</w:t>
      </w:r>
      <w:r>
        <w:rPr>
          <w:rFonts w:hint="eastAsia" w:ascii="Times New Roman" w:hAnsi="Times New Roman" w:eastAsia="宋体" w:cs="Times New Roman"/>
          <w:sz w:val="24"/>
          <w:szCs w:val="28"/>
          <w:lang w:eastAsia="zh-CN"/>
        </w:rPr>
        <w:t>%，</w:t>
      </w:r>
      <w:r>
        <w:rPr>
          <w:rFonts w:hint="eastAsia" w:ascii="Times New Roman" w:hAnsi="Times New Roman" w:eastAsia="宋体" w:cs="Times New Roman"/>
          <w:sz w:val="24"/>
          <w:szCs w:val="28"/>
          <w:lang w:val="en-US" w:eastAsia="zh-CN"/>
        </w:rPr>
        <w:t>一期环保投资</w:t>
      </w:r>
      <w:r>
        <w:rPr>
          <w:rFonts w:hint="eastAsia" w:ascii="Times New Roman" w:hAnsi="Times New Roman" w:eastAsia="宋体" w:cs="Times New Roman"/>
          <w:sz w:val="24"/>
          <w:szCs w:val="28"/>
          <w:lang w:eastAsia="zh-CN"/>
        </w:rPr>
        <w:t>占</w:t>
      </w:r>
      <w:r>
        <w:rPr>
          <w:rFonts w:hint="eastAsia" w:ascii="Times New Roman" w:hAnsi="Times New Roman" w:eastAsia="宋体" w:cs="Times New Roman"/>
          <w:sz w:val="24"/>
          <w:szCs w:val="28"/>
          <w:lang w:val="en-US" w:eastAsia="zh-CN"/>
        </w:rPr>
        <w:t>一期</w:t>
      </w:r>
      <w:r>
        <w:rPr>
          <w:rFonts w:hint="default" w:ascii="Times New Roman" w:hAnsi="Times New Roman" w:eastAsia="宋体" w:cs="Times New Roman"/>
          <w:sz w:val="24"/>
          <w:szCs w:val="28"/>
          <w:lang w:val="en-US" w:eastAsia="zh-CN"/>
        </w:rPr>
        <w:t>实际</w:t>
      </w:r>
      <w:r>
        <w:rPr>
          <w:rFonts w:hint="default" w:ascii="Times New Roman" w:hAnsi="Times New Roman" w:eastAsia="宋体" w:cs="Times New Roman"/>
          <w:sz w:val="24"/>
          <w:szCs w:val="28"/>
        </w:rPr>
        <w:t>总投资</w:t>
      </w:r>
      <w:r>
        <w:rPr>
          <w:rFonts w:hint="eastAsia" w:ascii="Times New Roman" w:hAnsi="Times New Roman" w:eastAsia="宋体" w:cs="Times New Roman"/>
          <w:sz w:val="24"/>
          <w:szCs w:val="28"/>
          <w:lang w:eastAsia="zh-CN"/>
        </w:rPr>
        <w:t>的</w:t>
      </w:r>
      <w:r>
        <w:rPr>
          <w:rFonts w:hint="eastAsia" w:ascii="Times New Roman" w:hAnsi="Times New Roman" w:eastAsia="宋体" w:cs="Times New Roman"/>
          <w:sz w:val="24"/>
          <w:szCs w:val="28"/>
          <w:lang w:val="en-US" w:eastAsia="zh-CN"/>
        </w:rPr>
        <w:t>1.5</w:t>
      </w:r>
      <w:r>
        <w:rPr>
          <w:rFonts w:hint="eastAsia" w:ascii="Times New Roman" w:hAnsi="Times New Roman" w:eastAsia="宋体" w:cs="Times New Roman"/>
          <w:sz w:val="24"/>
          <w:szCs w:val="28"/>
          <w:lang w:eastAsia="zh-CN"/>
        </w:rPr>
        <w:t>%</w:t>
      </w:r>
      <w:r>
        <w:rPr>
          <w:rFonts w:hint="default" w:ascii="Times New Roman" w:hAnsi="Times New Roman" w:eastAsia="宋体" w:cs="Times New Roman"/>
          <w:sz w:val="24"/>
          <w:szCs w:val="28"/>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该项目主要包括主体工程、供辅工程、环保工程。项目组成见表3-2。</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表3-2  项目组成一览表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3"/>
        <w:gridCol w:w="692"/>
        <w:gridCol w:w="1076"/>
        <w:gridCol w:w="3025"/>
        <w:gridCol w:w="30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color w:val="auto"/>
                <w:sz w:val="21"/>
                <w:szCs w:val="21"/>
              </w:rPr>
            </w:pPr>
            <w:bookmarkStart w:id="22" w:name="_Toc504031145"/>
            <w:r>
              <w:rPr>
                <w:rFonts w:hint="default" w:ascii="Times New Roman" w:hAnsi="Times New Roman" w:eastAsia="宋体" w:cs="Times New Roman"/>
                <w:b/>
                <w:bCs/>
                <w:color w:val="auto"/>
                <w:sz w:val="21"/>
                <w:szCs w:val="21"/>
              </w:rPr>
              <w:t>序号</w:t>
            </w:r>
          </w:p>
        </w:tc>
        <w:tc>
          <w:tcPr>
            <w:tcW w:w="406" w:type="pc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工程</w:t>
            </w:r>
          </w:p>
        </w:tc>
        <w:tc>
          <w:tcPr>
            <w:tcW w:w="631" w:type="pc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组成</w:t>
            </w:r>
          </w:p>
        </w:tc>
        <w:tc>
          <w:tcPr>
            <w:tcW w:w="1774" w:type="pct"/>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环评阶段</w:t>
            </w:r>
            <w:r>
              <w:rPr>
                <w:rFonts w:hint="default" w:ascii="Times New Roman" w:hAnsi="Times New Roman" w:eastAsia="宋体" w:cs="Times New Roman"/>
                <w:sz w:val="21"/>
                <w:szCs w:val="21"/>
                <w:highlight w:val="none"/>
              </w:rPr>
              <w:t>工程内容</w:t>
            </w:r>
          </w:p>
        </w:tc>
        <w:tc>
          <w:tcPr>
            <w:tcW w:w="1804" w:type="pct"/>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实际建设情况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restar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406" w:type="pct"/>
            <w:vMerge w:val="restar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主体工程</w:t>
            </w:r>
          </w:p>
        </w:tc>
        <w:tc>
          <w:tcPr>
            <w:tcW w:w="631" w:type="pct"/>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G1小容量注射剂（安瓿瓶、西林瓶）车间</w:t>
            </w:r>
          </w:p>
        </w:tc>
        <w:tc>
          <w:tcPr>
            <w:tcW w:w="1774" w:type="pct"/>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两层框架架构，建筑面积1702.6平方米，主要建设小容量（安瓿瓶、西林瓶）注射剂生产线，包括配液系统、洗瓶机、灭菌干燥器、灌装加塞机等设备。</w:t>
            </w:r>
          </w:p>
        </w:tc>
        <w:tc>
          <w:tcPr>
            <w:tcW w:w="1804" w:type="pct"/>
            <w:vAlign w:val="center"/>
          </w:tcPr>
          <w:p>
            <w:pPr>
              <w:keepNext w:val="0"/>
              <w:keepLines w:val="0"/>
              <w:pageBreakBefore w:val="0"/>
              <w:kinsoku/>
              <w:wordWrap/>
              <w:overflowPunct/>
              <w:topLinePunct w:val="0"/>
              <w:autoSpaceDE/>
              <w:autoSpaceDN/>
              <w:bidi w:val="0"/>
              <w:spacing w:line="240" w:lineRule="auto"/>
              <w:jc w:val="both"/>
              <w:textAlignment w:val="auto"/>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auto"/>
                <w:sz w:val="21"/>
                <w:szCs w:val="21"/>
                <w:lang w:val="en-US" w:eastAsia="zh-CN"/>
              </w:rPr>
              <w:t>实际建设一</w:t>
            </w:r>
            <w:r>
              <w:rPr>
                <w:rFonts w:hint="default" w:ascii="Times New Roman" w:hAnsi="Times New Roman" w:eastAsia="宋体" w:cs="Times New Roman"/>
                <w:color w:val="auto"/>
                <w:sz w:val="21"/>
                <w:szCs w:val="21"/>
                <w:lang w:val="en-US" w:eastAsia="zh-CN"/>
              </w:rPr>
              <w:t>层框架架构，建筑面积1702.6平方米</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主要建设小容量安瓿瓶注射剂生产线</w:t>
            </w:r>
            <w:r>
              <w:rPr>
                <w:rFonts w:hint="eastAsia" w:ascii="Times New Roman" w:hAnsi="Times New Roman" w:eastAsia="宋体" w:cs="Times New Roman"/>
                <w:color w:val="auto"/>
                <w:sz w:val="21"/>
                <w:szCs w:val="21"/>
                <w:lang w:val="en-US" w:eastAsia="zh-CN"/>
              </w:rPr>
              <w:t>和</w:t>
            </w:r>
            <w:r>
              <w:rPr>
                <w:rFonts w:hint="default" w:ascii="Times New Roman" w:hAnsi="Times New Roman" w:eastAsia="宋体" w:cs="Times New Roman"/>
                <w:color w:val="auto"/>
                <w:sz w:val="21"/>
                <w:szCs w:val="21"/>
                <w:lang w:val="en-US" w:eastAsia="zh-CN"/>
              </w:rPr>
              <w:t>小容量西林瓶注射剂生产线，包括配液系统、洗瓶机、灭菌干燥器、灌装加塞机等设备。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p>
        </w:tc>
        <w:tc>
          <w:tcPr>
            <w:tcW w:w="406"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p>
        </w:tc>
        <w:tc>
          <w:tcPr>
            <w:tcW w:w="631" w:type="pct"/>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G4大容量注射剂（软袋、玻璃瓶）车间</w:t>
            </w:r>
          </w:p>
        </w:tc>
        <w:tc>
          <w:tcPr>
            <w:tcW w:w="1774" w:type="pct"/>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两层框架架构，建筑面积17322.38平方米，主要建设大容量（软袋、玻璃瓶）注射剂产品生产线，包括配液系统、非PVC制袋灌装一体机、水浴式灭菌柜、软袋烘干机、包装机等设备。</w:t>
            </w:r>
          </w:p>
        </w:tc>
        <w:tc>
          <w:tcPr>
            <w:tcW w:w="1804" w:type="pct"/>
            <w:vAlign w:val="center"/>
          </w:tcPr>
          <w:p>
            <w:pPr>
              <w:keepNext w:val="0"/>
              <w:keepLines w:val="0"/>
              <w:pageBreakBefore w:val="0"/>
              <w:kinsoku/>
              <w:wordWrap/>
              <w:overflowPunct/>
              <w:topLinePunct w:val="0"/>
              <w:autoSpaceDE/>
              <w:autoSpaceDN/>
              <w:bidi w:val="0"/>
              <w:spacing w:line="240" w:lineRule="auto"/>
              <w:jc w:val="both"/>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auto"/>
                <w:sz w:val="21"/>
                <w:szCs w:val="21"/>
                <w:lang w:val="en-US" w:eastAsia="zh-CN"/>
              </w:rPr>
              <w:t>实际未建设G4大容量注射剂（软袋、玻璃瓶）车间，G4大容量注射剂（软袋、玻璃瓶）</w:t>
            </w:r>
            <w:r>
              <w:rPr>
                <w:rFonts w:hint="eastAsia" w:ascii="Times New Roman" w:hAnsi="Times New Roman" w:eastAsia="宋体" w:cs="Times New Roman"/>
                <w:color w:val="auto"/>
                <w:sz w:val="21"/>
                <w:szCs w:val="21"/>
                <w:lang w:val="en-US" w:eastAsia="zh-CN"/>
              </w:rPr>
              <w:t>产品</w:t>
            </w:r>
            <w:r>
              <w:rPr>
                <w:rFonts w:hint="default" w:ascii="Times New Roman" w:hAnsi="Times New Roman" w:eastAsia="宋体" w:cs="Times New Roman"/>
                <w:color w:val="auto"/>
                <w:sz w:val="21"/>
                <w:szCs w:val="21"/>
                <w:lang w:val="en-US" w:eastAsia="zh-CN"/>
              </w:rPr>
              <w:t>作为二期验收内容</w:t>
            </w:r>
            <w:r>
              <w:rPr>
                <w:rFonts w:hint="eastAsia"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restar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406" w:type="pct"/>
            <w:vMerge w:val="restar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储运工程</w:t>
            </w:r>
          </w:p>
        </w:tc>
        <w:tc>
          <w:tcPr>
            <w:tcW w:w="631" w:type="pct"/>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G8综合仓库</w:t>
            </w:r>
          </w:p>
        </w:tc>
        <w:tc>
          <w:tcPr>
            <w:tcW w:w="1774" w:type="pct"/>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两层框架架构，建筑面积24162.81平方米，主要用于储存原料。</w:t>
            </w:r>
          </w:p>
        </w:tc>
        <w:tc>
          <w:tcPr>
            <w:tcW w:w="1804" w:type="pct"/>
            <w:vAlign w:val="center"/>
          </w:tcPr>
          <w:p>
            <w:pPr>
              <w:keepNext w:val="0"/>
              <w:keepLines w:val="0"/>
              <w:pageBreakBefore w:val="0"/>
              <w:kinsoku/>
              <w:wordWrap/>
              <w:overflowPunct/>
              <w:topLinePunct w:val="0"/>
              <w:autoSpaceDE/>
              <w:autoSpaceDN/>
              <w:bidi w:val="0"/>
              <w:spacing w:line="240" w:lineRule="auto"/>
              <w:jc w:val="both"/>
              <w:textAlignment w:val="auto"/>
              <w:rPr>
                <w:rFonts w:hint="default" w:ascii="Times New Roman" w:hAnsi="Times New Roman" w:eastAsia="宋体" w:cs="Times New Roman"/>
                <w:color w:val="FF0000"/>
                <w:sz w:val="21"/>
                <w:szCs w:val="21"/>
                <w:lang w:val="en-US" w:eastAsia="zh-CN"/>
              </w:rPr>
            </w:pPr>
            <w:r>
              <w:rPr>
                <w:rFonts w:hint="eastAsia" w:ascii="Times New Roman" w:hAnsi="Times New Roman" w:eastAsia="宋体" w:cs="Times New Roman"/>
                <w:color w:val="auto"/>
                <w:sz w:val="21"/>
                <w:szCs w:val="21"/>
                <w:lang w:val="en-US" w:eastAsia="zh-CN"/>
              </w:rPr>
              <w:t>实际建设为一</w:t>
            </w:r>
            <w:r>
              <w:rPr>
                <w:rFonts w:hint="default" w:ascii="Times New Roman" w:hAnsi="Times New Roman" w:eastAsia="宋体" w:cs="Times New Roman"/>
                <w:color w:val="auto"/>
                <w:sz w:val="21"/>
                <w:szCs w:val="21"/>
                <w:lang w:val="en-US" w:eastAsia="zh-CN"/>
              </w:rPr>
              <w:t>层框架架构，建筑面积</w:t>
            </w:r>
            <w:r>
              <w:rPr>
                <w:rFonts w:hint="eastAsia" w:ascii="Times New Roman" w:hAnsi="Times New Roman" w:eastAsia="宋体" w:cs="Times New Roman"/>
                <w:color w:val="auto"/>
                <w:sz w:val="21"/>
                <w:szCs w:val="21"/>
                <w:lang w:val="en-US" w:eastAsia="zh-CN"/>
              </w:rPr>
              <w:t>480</w:t>
            </w:r>
            <w:r>
              <w:rPr>
                <w:rFonts w:hint="default" w:ascii="Times New Roman" w:hAnsi="Times New Roman" w:eastAsia="宋体" w:cs="Times New Roman"/>
                <w:color w:val="auto"/>
                <w:sz w:val="21"/>
                <w:szCs w:val="21"/>
                <w:lang w:val="en-US" w:eastAsia="zh-CN"/>
              </w:rPr>
              <w:t>平方米，主要用于储存原料。</w:t>
            </w:r>
            <w:r>
              <w:rPr>
                <w:rFonts w:hint="eastAsia" w:ascii="Times New Roman" w:hAnsi="Times New Roman" w:eastAsia="宋体" w:cs="Times New Roman"/>
                <w:color w:val="auto"/>
                <w:sz w:val="21"/>
                <w:szCs w:val="21"/>
                <w:lang w:val="en-US" w:eastAsia="zh-CN"/>
              </w:rPr>
              <w:t>剩余建设为二期建设内容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p>
        </w:tc>
        <w:tc>
          <w:tcPr>
            <w:tcW w:w="406"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p>
        </w:tc>
        <w:tc>
          <w:tcPr>
            <w:tcW w:w="631" w:type="pct"/>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G7综合仓库</w:t>
            </w:r>
          </w:p>
        </w:tc>
        <w:tc>
          <w:tcPr>
            <w:tcW w:w="1774" w:type="pct"/>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两层框架架构，建筑面积4426.1平方米，，主要用于储存原料。</w:t>
            </w:r>
          </w:p>
        </w:tc>
        <w:tc>
          <w:tcPr>
            <w:tcW w:w="1804" w:type="pc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auto"/>
                <w:sz w:val="21"/>
                <w:szCs w:val="21"/>
                <w:lang w:val="en-US" w:eastAsia="zh-CN"/>
              </w:rPr>
              <w:t>两层框架架构，建筑面积4426.1平方米，，主要用于储存原料。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p>
        </w:tc>
        <w:tc>
          <w:tcPr>
            <w:tcW w:w="406"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p>
        </w:tc>
        <w:tc>
          <w:tcPr>
            <w:tcW w:w="631" w:type="pct"/>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G2成品仓库</w:t>
            </w:r>
          </w:p>
        </w:tc>
        <w:tc>
          <w:tcPr>
            <w:tcW w:w="1774" w:type="pct"/>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四层框架结构，建筑面积3460.5平方米，改造后用于仓库。</w:t>
            </w:r>
          </w:p>
        </w:tc>
        <w:tc>
          <w:tcPr>
            <w:tcW w:w="1804" w:type="pct"/>
            <w:vAlign w:val="center"/>
          </w:tcPr>
          <w:p>
            <w:pPr>
              <w:keepNext w:val="0"/>
              <w:keepLines w:val="0"/>
              <w:pageBreakBefore w:val="0"/>
              <w:kinsoku/>
              <w:wordWrap/>
              <w:overflowPunct/>
              <w:topLinePunct w:val="0"/>
              <w:autoSpaceDE/>
              <w:autoSpaceDN/>
              <w:bidi w:val="0"/>
              <w:spacing w:line="240" w:lineRule="auto"/>
              <w:jc w:val="both"/>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auto"/>
                <w:sz w:val="21"/>
                <w:szCs w:val="21"/>
                <w:lang w:val="en-US" w:eastAsia="zh-CN"/>
              </w:rPr>
              <w:t>四层框架结构</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建筑面积3460.5平方米</w:t>
            </w:r>
            <w:r>
              <w:rPr>
                <w:rFonts w:hint="eastAsia" w:ascii="Times New Roman" w:hAnsi="Times New Roman" w:eastAsia="宋体" w:cs="Times New Roman"/>
                <w:color w:val="auto"/>
                <w:sz w:val="21"/>
                <w:szCs w:val="21"/>
                <w:lang w:val="en-US" w:eastAsia="zh-CN"/>
              </w:rPr>
              <w:t>，一层作为原料库、成品库，二层、四层作为办公区，三层为化验中心</w:t>
            </w: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p>
        </w:tc>
        <w:tc>
          <w:tcPr>
            <w:tcW w:w="406"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p>
        </w:tc>
        <w:tc>
          <w:tcPr>
            <w:tcW w:w="631" w:type="pct"/>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G3成品仓库</w:t>
            </w:r>
          </w:p>
        </w:tc>
        <w:tc>
          <w:tcPr>
            <w:tcW w:w="1774" w:type="pct"/>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一层框架结构，建筑面积1306.56平方米，改造后用于仓库。</w:t>
            </w:r>
          </w:p>
        </w:tc>
        <w:tc>
          <w:tcPr>
            <w:tcW w:w="1804" w:type="pct"/>
            <w:vAlign w:val="center"/>
          </w:tcPr>
          <w:p>
            <w:pPr>
              <w:keepNext w:val="0"/>
              <w:keepLines w:val="0"/>
              <w:pageBreakBefore w:val="0"/>
              <w:kinsoku/>
              <w:wordWrap/>
              <w:overflowPunct/>
              <w:topLinePunct w:val="0"/>
              <w:autoSpaceDE/>
              <w:autoSpaceDN/>
              <w:bidi w:val="0"/>
              <w:spacing w:line="240" w:lineRule="auto"/>
              <w:jc w:val="both"/>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kern w:val="2"/>
                <w:sz w:val="21"/>
                <w:szCs w:val="21"/>
                <w:lang w:val="en-US" w:eastAsia="zh-CN" w:bidi="ar-SA"/>
              </w:rPr>
              <w:t>一层框架结构，建筑面积1306.56平方米，</w:t>
            </w:r>
            <w:r>
              <w:rPr>
                <w:rFonts w:hint="eastAsia" w:ascii="Times New Roman" w:hAnsi="Times New Roman" w:eastAsia="宋体" w:cs="Times New Roman"/>
                <w:color w:val="auto"/>
                <w:kern w:val="2"/>
                <w:sz w:val="21"/>
                <w:szCs w:val="21"/>
                <w:lang w:val="en-US" w:eastAsia="zh-CN" w:bidi="ar-SA"/>
              </w:rPr>
              <w:t>用作备用仓库</w:t>
            </w:r>
            <w:r>
              <w:rPr>
                <w:rFonts w:hint="default" w:ascii="Times New Roman" w:hAnsi="Times New Roman" w:eastAsia="宋体" w:cs="Times New Roman"/>
                <w:color w:val="auto"/>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p>
        </w:tc>
        <w:tc>
          <w:tcPr>
            <w:tcW w:w="406"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p>
        </w:tc>
        <w:tc>
          <w:tcPr>
            <w:tcW w:w="631" w:type="pct"/>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G6成品仓库</w:t>
            </w:r>
          </w:p>
        </w:tc>
        <w:tc>
          <w:tcPr>
            <w:tcW w:w="1774" w:type="pct"/>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两层框架架构，建筑面积12181.78平方米，主要用于仓库。</w:t>
            </w:r>
          </w:p>
        </w:tc>
        <w:tc>
          <w:tcPr>
            <w:tcW w:w="1804" w:type="pct"/>
            <w:vAlign w:val="center"/>
          </w:tcPr>
          <w:p>
            <w:pPr>
              <w:keepNext w:val="0"/>
              <w:keepLines w:val="0"/>
              <w:pageBreakBefore w:val="0"/>
              <w:kinsoku/>
              <w:wordWrap/>
              <w:overflowPunct/>
              <w:topLinePunct w:val="0"/>
              <w:autoSpaceDE/>
              <w:autoSpaceDN/>
              <w:bidi w:val="0"/>
              <w:spacing w:line="240" w:lineRule="auto"/>
              <w:jc w:val="both"/>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lang w:val="en-US" w:eastAsia="zh-CN"/>
              </w:rPr>
              <w:t>实际未建设G6成品仓库，G6成品仓库</w:t>
            </w:r>
            <w:r>
              <w:rPr>
                <w:rFonts w:hint="eastAsia" w:ascii="Times New Roman" w:hAnsi="Times New Roman" w:eastAsia="宋体" w:cs="Times New Roman"/>
                <w:color w:val="auto"/>
                <w:sz w:val="21"/>
                <w:szCs w:val="21"/>
                <w:lang w:val="en-US" w:eastAsia="zh-CN"/>
              </w:rPr>
              <w:t>用于储存二期产品，</w:t>
            </w:r>
            <w:r>
              <w:rPr>
                <w:rFonts w:hint="default" w:ascii="Times New Roman" w:hAnsi="Times New Roman" w:eastAsia="宋体" w:cs="Times New Roman"/>
                <w:color w:val="auto"/>
                <w:sz w:val="21"/>
                <w:szCs w:val="21"/>
                <w:lang w:val="en-US" w:eastAsia="zh-CN"/>
              </w:rPr>
              <w:t>作为二期验收内容</w:t>
            </w:r>
            <w:r>
              <w:rPr>
                <w:rFonts w:hint="eastAsia"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p>
        </w:tc>
        <w:tc>
          <w:tcPr>
            <w:tcW w:w="406"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p>
        </w:tc>
        <w:tc>
          <w:tcPr>
            <w:tcW w:w="631" w:type="pct"/>
            <w:vAlign w:val="center"/>
          </w:tcPr>
          <w:p>
            <w:pPr>
              <w:kinsoku w:val="0"/>
              <w:overflowPunct w:val="0"/>
              <w:autoSpaceDE w:val="0"/>
              <w:autoSpaceDN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危废暂存间</w:t>
            </w:r>
          </w:p>
        </w:tc>
        <w:tc>
          <w:tcPr>
            <w:tcW w:w="1774" w:type="pct"/>
            <w:vAlign w:val="center"/>
          </w:tcPr>
          <w:p>
            <w:pPr>
              <w:keepNext w:val="0"/>
              <w:keepLines w:val="0"/>
              <w:pageBreakBefore w:val="0"/>
              <w:widowControl w:val="0"/>
              <w:kinsoku/>
              <w:wordWrap/>
              <w:overflowPunct/>
              <w:topLinePunct/>
              <w:autoSpaceDE/>
              <w:autoSpaceDN/>
              <w:bidi w:val="0"/>
              <w:adjustRightInd/>
              <w:snapToGrid/>
              <w:jc w:val="both"/>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位于</w:t>
            </w:r>
            <w:r>
              <w:rPr>
                <w:rFonts w:hint="default" w:ascii="Times New Roman" w:hAnsi="Times New Roman" w:eastAsia="宋体" w:cs="Times New Roman"/>
                <w:color w:val="auto"/>
                <w:sz w:val="21"/>
                <w:szCs w:val="21"/>
                <w:lang w:val="en-US" w:eastAsia="zh-CN"/>
              </w:rPr>
              <w:t>综合仓库东北</w:t>
            </w:r>
            <w:r>
              <w:rPr>
                <w:rFonts w:hint="default" w:ascii="Times New Roman" w:hAnsi="Times New Roman" w:eastAsia="宋体" w:cs="Times New Roman"/>
                <w:sz w:val="21"/>
                <w:szCs w:val="21"/>
                <w:lang w:val="en-US" w:eastAsia="zh-CN"/>
              </w:rPr>
              <w:t>侧</w:t>
            </w:r>
            <w:r>
              <w:rPr>
                <w:rFonts w:hint="default" w:ascii="Times New Roman" w:hAnsi="Times New Roman" w:eastAsia="宋体" w:cs="Times New Roman"/>
                <w:sz w:val="21"/>
                <w:szCs w:val="21"/>
              </w:rPr>
              <w:t>，建筑面积</w:t>
            </w:r>
            <w:r>
              <w:rPr>
                <w:rFonts w:hint="default" w:ascii="Times New Roman" w:hAnsi="Times New Roman" w:eastAsia="宋体" w:cs="Times New Roman"/>
                <w:sz w:val="21"/>
                <w:szCs w:val="21"/>
                <w:lang w:val="en-US" w:eastAsia="zh-CN"/>
              </w:rPr>
              <w:t>20</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，主要用于暂存危险废物</w:t>
            </w:r>
            <w:r>
              <w:rPr>
                <w:rFonts w:hint="default" w:ascii="Times New Roman" w:hAnsi="Times New Roman" w:eastAsia="宋体" w:cs="Times New Roman"/>
                <w:sz w:val="21"/>
                <w:szCs w:val="21"/>
                <w:lang w:eastAsia="zh-CN"/>
              </w:rPr>
              <w:t>。</w:t>
            </w:r>
          </w:p>
        </w:tc>
        <w:tc>
          <w:tcPr>
            <w:tcW w:w="1804" w:type="pc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FF0000"/>
                <w:sz w:val="21"/>
                <w:szCs w:val="21"/>
              </w:rPr>
            </w:pPr>
            <w:r>
              <w:rPr>
                <w:rFonts w:hint="default" w:ascii="Times New Roman" w:hAnsi="Times New Roman" w:eastAsia="宋体" w:cs="Times New Roman"/>
                <w:sz w:val="21"/>
                <w:szCs w:val="21"/>
              </w:rPr>
              <w:t>位于</w:t>
            </w:r>
            <w:r>
              <w:rPr>
                <w:rFonts w:hint="default" w:ascii="Times New Roman" w:hAnsi="Times New Roman" w:eastAsia="宋体" w:cs="Times New Roman"/>
                <w:color w:val="auto"/>
                <w:sz w:val="21"/>
                <w:szCs w:val="21"/>
                <w:lang w:val="en-US" w:eastAsia="zh-CN"/>
              </w:rPr>
              <w:t>综合仓库东北</w:t>
            </w:r>
            <w:r>
              <w:rPr>
                <w:rFonts w:hint="default" w:ascii="Times New Roman" w:hAnsi="Times New Roman" w:eastAsia="宋体" w:cs="Times New Roman"/>
                <w:sz w:val="21"/>
                <w:szCs w:val="21"/>
                <w:lang w:val="en-US" w:eastAsia="zh-CN"/>
              </w:rPr>
              <w:t>侧</w:t>
            </w:r>
            <w:r>
              <w:rPr>
                <w:rFonts w:hint="default" w:ascii="Times New Roman" w:hAnsi="Times New Roman" w:eastAsia="宋体" w:cs="Times New Roman"/>
                <w:sz w:val="21"/>
                <w:szCs w:val="21"/>
              </w:rPr>
              <w:t>，建筑面积</w:t>
            </w:r>
            <w:r>
              <w:rPr>
                <w:rFonts w:hint="default" w:ascii="Times New Roman" w:hAnsi="Times New Roman" w:eastAsia="宋体" w:cs="Times New Roman"/>
                <w:sz w:val="21"/>
                <w:szCs w:val="21"/>
                <w:lang w:val="en-US" w:eastAsia="zh-CN"/>
              </w:rPr>
              <w:t>20</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，主要用于暂存危险废物</w:t>
            </w:r>
            <w:r>
              <w:rPr>
                <w:rFonts w:hint="default" w:ascii="Times New Roman" w:hAnsi="Times New Roman" w:eastAsia="宋体"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p>
        </w:tc>
        <w:tc>
          <w:tcPr>
            <w:tcW w:w="406"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p>
        </w:tc>
        <w:tc>
          <w:tcPr>
            <w:tcW w:w="631" w:type="pct"/>
            <w:vAlign w:val="center"/>
          </w:tcPr>
          <w:p>
            <w:pPr>
              <w:kinsoku w:val="0"/>
              <w:overflowPunct w:val="0"/>
              <w:autoSpaceDE w:val="0"/>
              <w:autoSpaceDN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一般固废暂存间</w:t>
            </w:r>
          </w:p>
        </w:tc>
        <w:tc>
          <w:tcPr>
            <w:tcW w:w="1774" w:type="pct"/>
            <w:vAlign w:val="center"/>
          </w:tcPr>
          <w:p>
            <w:pPr>
              <w:keepNext w:val="0"/>
              <w:keepLines w:val="0"/>
              <w:pageBreakBefore w:val="0"/>
              <w:widowControl w:val="0"/>
              <w:kinsoku/>
              <w:wordWrap/>
              <w:overflowPunct/>
              <w:topLinePunct/>
              <w:autoSpaceDE/>
              <w:autoSpaceDN/>
              <w:bidi w:val="0"/>
              <w:adjustRightInd/>
              <w:snapToGrid/>
              <w:jc w:val="both"/>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位于</w:t>
            </w:r>
            <w:r>
              <w:rPr>
                <w:rFonts w:hint="default" w:ascii="Times New Roman" w:hAnsi="Times New Roman" w:eastAsia="宋体" w:cs="Times New Roman"/>
                <w:color w:val="auto"/>
                <w:sz w:val="21"/>
                <w:szCs w:val="21"/>
                <w:lang w:val="en-US" w:eastAsia="zh-CN"/>
              </w:rPr>
              <w:t>原综合仓库西北</w:t>
            </w:r>
            <w:r>
              <w:rPr>
                <w:rFonts w:hint="default" w:ascii="Times New Roman" w:hAnsi="Times New Roman" w:eastAsia="宋体" w:cs="Times New Roman"/>
                <w:sz w:val="21"/>
                <w:szCs w:val="21"/>
                <w:lang w:val="en-US" w:eastAsia="zh-CN"/>
              </w:rPr>
              <w:t>位置</w:t>
            </w:r>
            <w:r>
              <w:rPr>
                <w:rFonts w:hint="default" w:ascii="Times New Roman" w:hAnsi="Times New Roman" w:eastAsia="宋体" w:cs="Times New Roman"/>
                <w:sz w:val="21"/>
                <w:szCs w:val="21"/>
              </w:rPr>
              <w:t>，建筑面积</w:t>
            </w:r>
            <w:r>
              <w:rPr>
                <w:rFonts w:hint="default" w:ascii="Times New Roman" w:hAnsi="Times New Roman" w:eastAsia="宋体" w:cs="Times New Roman"/>
                <w:sz w:val="21"/>
                <w:szCs w:val="21"/>
                <w:lang w:val="en-US" w:eastAsia="zh-CN"/>
              </w:rPr>
              <w:t>25</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，主要用于暂存一般</w:t>
            </w:r>
            <w:r>
              <w:rPr>
                <w:rFonts w:hint="default" w:ascii="Times New Roman" w:hAnsi="Times New Roman" w:eastAsia="宋体" w:cs="Times New Roman"/>
                <w:sz w:val="21"/>
                <w:szCs w:val="21"/>
                <w:lang w:eastAsia="zh-CN"/>
              </w:rPr>
              <w:t>固体废物。</w:t>
            </w:r>
          </w:p>
        </w:tc>
        <w:tc>
          <w:tcPr>
            <w:tcW w:w="1804" w:type="pct"/>
            <w:vAlign w:val="center"/>
          </w:tcPr>
          <w:p>
            <w:pPr>
              <w:keepNext w:val="0"/>
              <w:keepLines w:val="0"/>
              <w:pageBreakBefore w:val="0"/>
              <w:kinsoku/>
              <w:wordWrap/>
              <w:overflowPunct/>
              <w:topLinePunct w:val="0"/>
              <w:autoSpaceDE/>
              <w:autoSpaceDN/>
              <w:bidi w:val="0"/>
              <w:spacing w:line="240" w:lineRule="auto"/>
              <w:jc w:val="both"/>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sz w:val="21"/>
                <w:szCs w:val="21"/>
              </w:rPr>
              <w:t>位于</w:t>
            </w:r>
            <w:r>
              <w:rPr>
                <w:rFonts w:hint="default" w:ascii="Times New Roman" w:hAnsi="Times New Roman" w:eastAsia="宋体" w:cs="Times New Roman"/>
                <w:color w:val="auto"/>
                <w:sz w:val="21"/>
                <w:szCs w:val="21"/>
                <w:lang w:val="en-US" w:eastAsia="zh-CN"/>
              </w:rPr>
              <w:t>原综合仓库西北</w:t>
            </w:r>
            <w:r>
              <w:rPr>
                <w:rFonts w:hint="default" w:ascii="Times New Roman" w:hAnsi="Times New Roman" w:eastAsia="宋体" w:cs="Times New Roman"/>
                <w:sz w:val="21"/>
                <w:szCs w:val="21"/>
                <w:lang w:val="en-US" w:eastAsia="zh-CN"/>
              </w:rPr>
              <w:t>位置</w:t>
            </w:r>
            <w:r>
              <w:rPr>
                <w:rFonts w:hint="default" w:ascii="Times New Roman" w:hAnsi="Times New Roman" w:eastAsia="宋体" w:cs="Times New Roman"/>
                <w:sz w:val="21"/>
                <w:szCs w:val="21"/>
              </w:rPr>
              <w:t>，建筑面积</w:t>
            </w:r>
            <w:r>
              <w:rPr>
                <w:rFonts w:hint="default" w:ascii="Times New Roman" w:hAnsi="Times New Roman" w:eastAsia="宋体" w:cs="Times New Roman"/>
                <w:sz w:val="21"/>
                <w:szCs w:val="21"/>
                <w:lang w:val="en-US" w:eastAsia="zh-CN"/>
              </w:rPr>
              <w:t>25</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，主要用于暂存一般</w:t>
            </w:r>
            <w:r>
              <w:rPr>
                <w:rFonts w:hint="default" w:ascii="Times New Roman" w:hAnsi="Times New Roman" w:eastAsia="宋体" w:cs="Times New Roman"/>
                <w:sz w:val="21"/>
                <w:szCs w:val="21"/>
                <w:lang w:eastAsia="zh-CN"/>
              </w:rPr>
              <w:t>固体废物。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restar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406" w:type="pct"/>
            <w:vMerge w:val="restar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辅助工程</w:t>
            </w:r>
          </w:p>
        </w:tc>
        <w:tc>
          <w:tcPr>
            <w:tcW w:w="631" w:type="pct"/>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综合办公楼</w:t>
            </w:r>
          </w:p>
        </w:tc>
        <w:tc>
          <w:tcPr>
            <w:tcW w:w="1774" w:type="pct"/>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八层框架结构，建筑面积12233.22平方米，主要用于办公。</w:t>
            </w:r>
          </w:p>
        </w:tc>
        <w:tc>
          <w:tcPr>
            <w:tcW w:w="1804" w:type="pct"/>
            <w:vAlign w:val="center"/>
          </w:tcPr>
          <w:p>
            <w:pPr>
              <w:keepNext w:val="0"/>
              <w:keepLines w:val="0"/>
              <w:pageBreakBefore w:val="0"/>
              <w:kinsoku/>
              <w:wordWrap/>
              <w:overflowPunct/>
              <w:topLinePunct w:val="0"/>
              <w:autoSpaceDE/>
              <w:autoSpaceDN/>
              <w:bidi w:val="0"/>
              <w:spacing w:line="240" w:lineRule="auto"/>
              <w:jc w:val="both"/>
              <w:textAlignment w:val="auto"/>
              <w:rPr>
                <w:rFonts w:hint="default" w:ascii="Times New Roman" w:hAnsi="Times New Roman" w:eastAsia="宋体" w:cs="Times New Roman"/>
                <w:color w:val="FF0000"/>
                <w:sz w:val="21"/>
                <w:szCs w:val="21"/>
                <w:lang w:val="en-US"/>
              </w:rPr>
            </w:pPr>
            <w:r>
              <w:rPr>
                <w:rFonts w:hint="eastAsia" w:ascii="Times New Roman" w:hAnsi="Times New Roman" w:eastAsia="宋体" w:cs="Times New Roman"/>
                <w:sz w:val="21"/>
                <w:szCs w:val="21"/>
                <w:lang w:val="en-US" w:eastAsia="zh-CN"/>
              </w:rPr>
              <w:t>本次验收办公区位于G2车间二层、四层，综合办公楼作为二期建设内容。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406"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631" w:type="pct"/>
            <w:vAlign w:val="center"/>
          </w:tcPr>
          <w:p>
            <w:pPr>
              <w:spacing w:line="240" w:lineRule="auto"/>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能源动力车间</w:t>
            </w:r>
          </w:p>
        </w:tc>
        <w:tc>
          <w:tcPr>
            <w:tcW w:w="1774" w:type="pct"/>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一层框架结构，建筑面积3278.75平方米。</w:t>
            </w:r>
          </w:p>
        </w:tc>
        <w:tc>
          <w:tcPr>
            <w:tcW w:w="1804" w:type="pct"/>
            <w:vAlign w:val="center"/>
          </w:tcPr>
          <w:p>
            <w:pPr>
              <w:keepNext w:val="0"/>
              <w:keepLines w:val="0"/>
              <w:pageBreakBefore w:val="0"/>
              <w:kinsoku/>
              <w:wordWrap/>
              <w:overflowPunct/>
              <w:topLinePunct w:val="0"/>
              <w:autoSpaceDE/>
              <w:autoSpaceDN/>
              <w:bidi w:val="0"/>
              <w:spacing w:line="240" w:lineRule="auto"/>
              <w:jc w:val="both"/>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color w:val="auto"/>
                <w:sz w:val="21"/>
                <w:szCs w:val="21"/>
                <w:lang w:val="en-US" w:eastAsia="zh-CN"/>
              </w:rPr>
              <w:t>能源动力车间</w:t>
            </w:r>
            <w:r>
              <w:rPr>
                <w:rFonts w:hint="eastAsia" w:ascii="Times New Roman" w:hAnsi="Times New Roman" w:eastAsia="宋体" w:cs="Times New Roman"/>
                <w:color w:val="auto"/>
                <w:sz w:val="21"/>
                <w:szCs w:val="21"/>
                <w:lang w:val="en-US" w:eastAsia="zh-CN"/>
              </w:rPr>
              <w:t>本期未建设，作为二期验收内容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406"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631" w:type="pct"/>
            <w:vAlign w:val="center"/>
          </w:tcPr>
          <w:p>
            <w:pPr>
              <w:kinsoku w:val="0"/>
              <w:overflowPunct w:val="0"/>
              <w:autoSpaceDE w:val="0"/>
              <w:autoSpaceDN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化验室中心</w:t>
            </w:r>
          </w:p>
        </w:tc>
        <w:tc>
          <w:tcPr>
            <w:tcW w:w="1774" w:type="pct"/>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位于G2成品仓库东侧，第三层，建筑面积780平方米，用于</w:t>
            </w:r>
            <w:r>
              <w:rPr>
                <w:rFonts w:hint="default" w:ascii="Times New Roman" w:hAnsi="Times New Roman" w:eastAsia="宋体" w:cs="Times New Roman"/>
                <w:kern w:val="21"/>
                <w:sz w:val="21"/>
                <w:szCs w:val="21"/>
                <w:lang w:val="en-US" w:eastAsia="zh-CN"/>
              </w:rPr>
              <w:t>山东豪瑞恩全球高端制剂项目</w:t>
            </w:r>
            <w:r>
              <w:rPr>
                <w:rFonts w:hint="default" w:ascii="Times New Roman" w:hAnsi="Times New Roman" w:eastAsia="宋体" w:cs="Times New Roman"/>
                <w:b w:val="0"/>
                <w:bCs w:val="0"/>
                <w:color w:val="000000"/>
                <w:sz w:val="21"/>
                <w:szCs w:val="21"/>
                <w:u w:val="none"/>
                <w:lang w:val="en-US" w:eastAsia="zh-CN"/>
              </w:rPr>
              <w:t>的检测化验阶段。</w:t>
            </w:r>
          </w:p>
        </w:tc>
        <w:tc>
          <w:tcPr>
            <w:tcW w:w="1804" w:type="pct"/>
            <w:vAlign w:val="center"/>
          </w:tcPr>
          <w:p>
            <w:pPr>
              <w:keepNext w:val="0"/>
              <w:keepLines w:val="0"/>
              <w:pageBreakBefore w:val="0"/>
              <w:kinsoku/>
              <w:wordWrap/>
              <w:overflowPunct/>
              <w:topLinePunct w:val="0"/>
              <w:autoSpaceDE/>
              <w:autoSpaceDN/>
              <w:bidi w:val="0"/>
              <w:spacing w:line="240" w:lineRule="auto"/>
              <w:jc w:val="both"/>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sz w:val="21"/>
                <w:szCs w:val="21"/>
                <w:lang w:val="en-US" w:eastAsia="zh-CN"/>
              </w:rPr>
              <w:t>化验室中心</w:t>
            </w:r>
            <w:r>
              <w:rPr>
                <w:rFonts w:hint="default" w:ascii="Times New Roman" w:hAnsi="Times New Roman" w:eastAsia="宋体" w:cs="Times New Roman"/>
                <w:color w:val="auto"/>
                <w:sz w:val="21"/>
                <w:szCs w:val="21"/>
                <w:lang w:val="en-US" w:eastAsia="zh-CN"/>
              </w:rPr>
              <w:t>位于G2成品仓库东侧，第三层，建筑面积780平方米，用于</w:t>
            </w:r>
            <w:r>
              <w:rPr>
                <w:rFonts w:hint="default" w:ascii="Times New Roman" w:hAnsi="Times New Roman" w:eastAsia="宋体" w:cs="Times New Roman"/>
                <w:kern w:val="21"/>
                <w:sz w:val="21"/>
                <w:szCs w:val="21"/>
                <w:lang w:val="en-US" w:eastAsia="zh-CN"/>
              </w:rPr>
              <w:t>山东豪瑞恩全球高端制剂项目</w:t>
            </w:r>
            <w:r>
              <w:rPr>
                <w:rFonts w:hint="default" w:ascii="Times New Roman" w:hAnsi="Times New Roman" w:eastAsia="宋体" w:cs="Times New Roman"/>
                <w:b w:val="0"/>
                <w:bCs w:val="0"/>
                <w:color w:val="000000"/>
                <w:sz w:val="21"/>
                <w:szCs w:val="21"/>
                <w:u w:val="none"/>
                <w:lang w:val="en-US" w:eastAsia="zh-CN"/>
              </w:rPr>
              <w:t>的检测化验阶段。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406"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631" w:type="pct"/>
            <w:vAlign w:val="center"/>
          </w:tcPr>
          <w:p>
            <w:pPr>
              <w:kinsoku w:val="0"/>
              <w:overflowPunct w:val="0"/>
              <w:autoSpaceDE w:val="0"/>
              <w:autoSpaceDN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门卫</w:t>
            </w:r>
          </w:p>
        </w:tc>
        <w:tc>
          <w:tcPr>
            <w:tcW w:w="1774" w:type="pct"/>
            <w:vAlign w:val="center"/>
          </w:tcPr>
          <w:p>
            <w:pPr>
              <w:jc w:val="both"/>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建筑面积43.19平方米。</w:t>
            </w:r>
          </w:p>
        </w:tc>
        <w:tc>
          <w:tcPr>
            <w:tcW w:w="1804" w:type="pc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1"/>
                <w:sz w:val="21"/>
                <w:szCs w:val="21"/>
                <w:lang w:val="en-US" w:eastAsia="zh-CN"/>
              </w:rPr>
            </w:pPr>
            <w:r>
              <w:rPr>
                <w:rFonts w:hint="eastAsia" w:ascii="Times New Roman" w:hAnsi="Times New Roman" w:eastAsia="宋体" w:cs="Times New Roman"/>
                <w:kern w:val="21"/>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restar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406" w:type="pct"/>
            <w:vMerge w:val="restar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公用工程</w:t>
            </w:r>
          </w:p>
        </w:tc>
        <w:tc>
          <w:tcPr>
            <w:tcW w:w="631" w:type="pct"/>
            <w:vAlign w:val="center"/>
          </w:tcPr>
          <w:p>
            <w:pPr>
              <w:kinsoku w:val="0"/>
              <w:overflowPunct w:val="0"/>
              <w:autoSpaceDE w:val="0"/>
              <w:autoSpaceDN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给水工程</w:t>
            </w:r>
          </w:p>
        </w:tc>
        <w:tc>
          <w:tcPr>
            <w:tcW w:w="1774" w:type="pct"/>
            <w:vAlign w:val="center"/>
          </w:tcPr>
          <w:p>
            <w:pPr>
              <w:kinsoku w:val="0"/>
              <w:overflowPunct w:val="0"/>
              <w:autoSpaceDE w:val="0"/>
              <w:autoSpaceDN w:val="0"/>
              <w:jc w:val="both"/>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由当地市政供水公司供给</w:t>
            </w:r>
            <w:r>
              <w:rPr>
                <w:rFonts w:hint="default" w:ascii="Times New Roman" w:hAnsi="Times New Roman" w:eastAsia="宋体" w:cs="Times New Roman"/>
                <w:sz w:val="21"/>
                <w:szCs w:val="21"/>
                <w:lang w:eastAsia="zh-CN"/>
              </w:rPr>
              <w:t>。</w:t>
            </w:r>
          </w:p>
        </w:tc>
        <w:tc>
          <w:tcPr>
            <w:tcW w:w="1804" w:type="pc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1"/>
                <w:sz w:val="21"/>
                <w:szCs w:val="21"/>
                <w:lang w:val="en-US" w:eastAsia="zh-CN"/>
              </w:rPr>
            </w:pPr>
            <w:r>
              <w:rPr>
                <w:rFonts w:hint="default" w:ascii="Times New Roman" w:hAnsi="Times New Roman" w:eastAsia="宋体" w:cs="Times New Roman"/>
                <w:kern w:val="21"/>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406"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631" w:type="pct"/>
            <w:vAlign w:val="center"/>
          </w:tcPr>
          <w:p>
            <w:pPr>
              <w:kinsoku w:val="0"/>
              <w:overflowPunct w:val="0"/>
              <w:autoSpaceDE w:val="0"/>
              <w:autoSpaceDN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供电工程</w:t>
            </w:r>
          </w:p>
        </w:tc>
        <w:tc>
          <w:tcPr>
            <w:tcW w:w="1774" w:type="pct"/>
            <w:vAlign w:val="center"/>
          </w:tcPr>
          <w:p>
            <w:pPr>
              <w:kinsoku w:val="0"/>
              <w:overflowPunct w:val="0"/>
              <w:autoSpaceDE w:val="0"/>
              <w:autoSpaceDN w:val="0"/>
              <w:jc w:val="both"/>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由当地供电所供给</w:t>
            </w:r>
            <w:r>
              <w:rPr>
                <w:rFonts w:hint="default" w:ascii="Times New Roman" w:hAnsi="Times New Roman" w:eastAsia="宋体" w:cs="Times New Roman"/>
                <w:sz w:val="21"/>
                <w:szCs w:val="21"/>
                <w:lang w:eastAsia="zh-CN"/>
              </w:rPr>
              <w:t>。</w:t>
            </w:r>
          </w:p>
        </w:tc>
        <w:tc>
          <w:tcPr>
            <w:tcW w:w="1804" w:type="pc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1"/>
                <w:sz w:val="21"/>
                <w:szCs w:val="21"/>
                <w:lang w:val="en-US" w:eastAsia="zh-CN"/>
              </w:rPr>
            </w:pPr>
            <w:r>
              <w:rPr>
                <w:rFonts w:hint="default" w:ascii="Times New Roman" w:hAnsi="Times New Roman" w:eastAsia="宋体" w:cs="Times New Roman"/>
                <w:kern w:val="21"/>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406"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631" w:type="pct"/>
            <w:vAlign w:val="center"/>
          </w:tcPr>
          <w:p>
            <w:pPr>
              <w:kinsoku w:val="0"/>
              <w:overflowPunct w:val="0"/>
              <w:autoSpaceDE w:val="0"/>
              <w:autoSpaceDN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供热工程</w:t>
            </w:r>
          </w:p>
        </w:tc>
        <w:tc>
          <w:tcPr>
            <w:tcW w:w="1774" w:type="pct"/>
            <w:vAlign w:val="center"/>
          </w:tcPr>
          <w:p>
            <w:pPr>
              <w:keepNext w:val="0"/>
              <w:keepLines w:val="0"/>
              <w:pageBreakBefore w:val="0"/>
              <w:widowControl w:val="0"/>
              <w:kinsoku/>
              <w:wordWrap w:val="0"/>
              <w:overflowPunct/>
              <w:topLinePunct w:val="0"/>
              <w:autoSpaceDE w:val="0"/>
              <w:autoSpaceDN w:val="0"/>
              <w:bidi w:val="0"/>
              <w:adjustRightInd/>
              <w:snapToGrid/>
              <w:jc w:val="both"/>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生活取暖采用空调，生产供热</w:t>
            </w:r>
            <w:r>
              <w:rPr>
                <w:rFonts w:hint="default" w:ascii="Times New Roman" w:hAnsi="Times New Roman" w:eastAsia="宋体" w:cs="Times New Roman"/>
                <w:color w:val="auto"/>
                <w:sz w:val="21"/>
                <w:szCs w:val="21"/>
                <w:lang w:val="en-US" w:eastAsia="zh-CN"/>
              </w:rPr>
              <w:t>由菏泽民生热力有限公司供应。</w:t>
            </w:r>
          </w:p>
        </w:tc>
        <w:tc>
          <w:tcPr>
            <w:tcW w:w="1804" w:type="pc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1"/>
                <w:sz w:val="21"/>
                <w:szCs w:val="21"/>
                <w:lang w:val="en-US" w:eastAsia="zh-CN"/>
              </w:rPr>
            </w:pPr>
            <w:r>
              <w:rPr>
                <w:rFonts w:hint="default" w:ascii="Times New Roman" w:hAnsi="Times New Roman" w:eastAsia="宋体" w:cs="Times New Roman"/>
                <w:kern w:val="21"/>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406"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631" w:type="pct"/>
            <w:vAlign w:val="center"/>
          </w:tcPr>
          <w:p>
            <w:pPr>
              <w:kinsoku w:val="0"/>
              <w:overflowPunct w:val="0"/>
              <w:autoSpaceDE w:val="0"/>
              <w:autoSpaceDN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排水工程</w:t>
            </w:r>
          </w:p>
        </w:tc>
        <w:tc>
          <w:tcPr>
            <w:tcW w:w="1774" w:type="pct"/>
            <w:vAlign w:val="center"/>
          </w:tcPr>
          <w:p>
            <w:pPr>
              <w:kinsoku w:val="0"/>
              <w:overflowPunct w:val="0"/>
              <w:autoSpaceDE w:val="0"/>
              <w:autoSpaceDN w:val="0"/>
              <w:jc w:val="both"/>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雨污分流，清污分流系统，厂区内设雨水管网</w:t>
            </w:r>
            <w:r>
              <w:rPr>
                <w:rFonts w:hint="default" w:ascii="Times New Roman" w:hAnsi="Times New Roman" w:eastAsia="宋体" w:cs="Times New Roman"/>
                <w:sz w:val="21"/>
                <w:szCs w:val="21"/>
                <w:lang w:eastAsia="zh-CN"/>
              </w:rPr>
              <w:t>。</w:t>
            </w:r>
          </w:p>
        </w:tc>
        <w:tc>
          <w:tcPr>
            <w:tcW w:w="1804" w:type="pc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1"/>
                <w:sz w:val="21"/>
                <w:szCs w:val="21"/>
                <w:lang w:val="en-US" w:eastAsia="zh-CN"/>
              </w:rPr>
            </w:pPr>
            <w:r>
              <w:rPr>
                <w:rFonts w:hint="default" w:ascii="Times New Roman" w:hAnsi="Times New Roman" w:eastAsia="宋体" w:cs="Times New Roman"/>
                <w:kern w:val="21"/>
                <w:sz w:val="21"/>
                <w:szCs w:val="21"/>
                <w:lang w:val="en-US" w:eastAsia="zh-CN"/>
              </w:rPr>
              <w:t>同环评一致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restar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5</w:t>
            </w:r>
          </w:p>
        </w:tc>
        <w:tc>
          <w:tcPr>
            <w:tcW w:w="406" w:type="pct"/>
            <w:vMerge w:val="restart"/>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环保工程</w:t>
            </w:r>
          </w:p>
        </w:tc>
        <w:tc>
          <w:tcPr>
            <w:tcW w:w="631" w:type="pct"/>
            <w:vAlign w:val="center"/>
          </w:tcPr>
          <w:p>
            <w:pPr>
              <w:kinsoku w:val="0"/>
              <w:overflowPunct w:val="0"/>
              <w:autoSpaceDE w:val="0"/>
              <w:autoSpaceDN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废气</w:t>
            </w:r>
          </w:p>
        </w:tc>
        <w:tc>
          <w:tcPr>
            <w:tcW w:w="1774" w:type="pct"/>
            <w:vAlign w:val="center"/>
          </w:tcPr>
          <w:p>
            <w:pPr>
              <w:pStyle w:val="69"/>
              <w:adjustRightInd w:val="0"/>
              <w:spacing w:before="0" w:after="0" w:line="240" w:lineRule="auto"/>
              <w:ind w:right="0"/>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注射剂生产车间产生的异味，通过车间内微负压收集，由中央空气净化系统处理后，经出风口排放；</w:t>
            </w:r>
          </w:p>
          <w:p>
            <w:pPr>
              <w:pStyle w:val="69"/>
              <w:adjustRightInd w:val="0"/>
              <w:spacing w:before="0" w:after="0" w:line="240" w:lineRule="auto"/>
              <w:ind w:right="0"/>
              <w:jc w:val="both"/>
              <w:rPr>
                <w:rFonts w:hint="default" w:ascii="Times New Roman" w:hAnsi="Times New Roman" w:eastAsia="宋体" w:cs="Times New Roman"/>
                <w:b w:val="0"/>
                <w:bCs w:val="0"/>
                <w:color w:val="000000"/>
                <w:spacing w:val="0"/>
                <w:w w:val="100"/>
                <w:kern w:val="0"/>
                <w:position w:val="0"/>
                <w:sz w:val="21"/>
                <w:szCs w:val="21"/>
                <w:lang w:val="en-US" w:eastAsia="zh-CN"/>
              </w:rPr>
            </w:pPr>
            <w:r>
              <w:rPr>
                <w:rFonts w:hint="default" w:ascii="Times New Roman" w:hAnsi="Times New Roman" w:eastAsia="宋体" w:cs="Times New Roman"/>
                <w:b w:val="0"/>
                <w:bCs w:val="0"/>
                <w:color w:val="000000"/>
                <w:spacing w:val="0"/>
                <w:w w:val="100"/>
                <w:kern w:val="0"/>
                <w:position w:val="0"/>
                <w:sz w:val="21"/>
                <w:szCs w:val="21"/>
                <w:lang w:val="en-US" w:eastAsia="zh-CN"/>
              </w:rPr>
              <w:t>污水处理站恶臭气体经二级活性炭吸附装置处理后，</w:t>
            </w:r>
            <w:r>
              <w:rPr>
                <w:rFonts w:hint="default" w:ascii="Times New Roman" w:hAnsi="Times New Roman" w:eastAsia="宋体" w:cs="Times New Roman"/>
                <w:kern w:val="2"/>
                <w:sz w:val="21"/>
                <w:szCs w:val="21"/>
                <w:lang w:val="en-US" w:eastAsia="zh-CN" w:bidi="ar-SA"/>
              </w:rPr>
              <w:t>最终通过1根15米高的排气筒（DA001）排放；</w:t>
            </w:r>
          </w:p>
          <w:p>
            <w:pPr>
              <w:pStyle w:val="69"/>
              <w:adjustRightInd w:val="0"/>
              <w:spacing w:before="0" w:after="0" w:line="240" w:lineRule="auto"/>
              <w:ind w:right="0" w:rightChars="0" w:firstLine="0" w:firstLineChars="0"/>
              <w:jc w:val="both"/>
              <w:rPr>
                <w:rFonts w:hint="default" w:ascii="Times New Roman" w:hAnsi="Times New Roman" w:eastAsia="宋体" w:cs="Times New Roman"/>
                <w:color w:val="0000FF"/>
                <w:kern w:val="0"/>
                <w:sz w:val="21"/>
                <w:szCs w:val="21"/>
                <w:lang w:val="en-US" w:eastAsia="zh-CN" w:bidi="ar-SA"/>
              </w:rPr>
            </w:pPr>
            <w:r>
              <w:rPr>
                <w:rFonts w:hint="default" w:ascii="Times New Roman" w:hAnsi="Times New Roman" w:eastAsia="宋体" w:cs="Times New Roman"/>
                <w:color w:val="auto"/>
                <w:sz w:val="21"/>
                <w:szCs w:val="21"/>
                <w:lang w:val="en-US" w:eastAsia="zh-CN"/>
              </w:rPr>
              <w:t>化验</w:t>
            </w:r>
            <w:r>
              <w:rPr>
                <w:rFonts w:hint="default" w:ascii="Times New Roman" w:hAnsi="Times New Roman" w:eastAsia="宋体" w:cs="Times New Roman"/>
                <w:b w:val="0"/>
                <w:bCs w:val="0"/>
                <w:color w:val="000000"/>
                <w:spacing w:val="0"/>
                <w:w w:val="100"/>
                <w:kern w:val="0"/>
                <w:position w:val="0"/>
                <w:sz w:val="21"/>
                <w:szCs w:val="21"/>
                <w:lang w:val="en-US" w:eastAsia="zh-CN"/>
              </w:rPr>
              <w:t>中心产生的有机废气经通风柜收集经“碱液喷淋塔+二级活性炭吸附装置”处理后，最终通过1根19米高的排气筒（DA002）排放（排气筒出口距离地面高度19m，排气筒高于楼层5米)。</w:t>
            </w:r>
          </w:p>
        </w:tc>
        <w:tc>
          <w:tcPr>
            <w:tcW w:w="1804" w:type="pct"/>
            <w:vAlign w:val="center"/>
          </w:tcPr>
          <w:p>
            <w:pPr>
              <w:pStyle w:val="69"/>
              <w:adjustRightInd w:val="0"/>
              <w:spacing w:before="0" w:after="0" w:line="240" w:lineRule="auto"/>
              <w:ind w:right="0"/>
              <w:jc w:val="both"/>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G1小容量注射剂（安瓿瓶、西林瓶）车间</w:t>
            </w:r>
            <w:r>
              <w:rPr>
                <w:rFonts w:hint="default" w:ascii="Times New Roman" w:hAnsi="Times New Roman" w:eastAsia="宋体" w:cs="Times New Roman"/>
                <w:color w:val="auto"/>
                <w:sz w:val="21"/>
                <w:szCs w:val="21"/>
                <w:lang w:val="en-US" w:eastAsia="zh-CN"/>
              </w:rPr>
              <w:t>产生的异味，通过车间内微负压收集，由中央空气净化系统处理后，经出风口排放；</w:t>
            </w:r>
          </w:p>
          <w:p>
            <w:pPr>
              <w:pStyle w:val="69"/>
              <w:adjustRightInd w:val="0"/>
              <w:spacing w:before="0" w:after="0" w:line="240" w:lineRule="auto"/>
              <w:ind w:right="0"/>
              <w:jc w:val="both"/>
              <w:rPr>
                <w:rFonts w:hint="default" w:ascii="Times New Roman" w:hAnsi="Times New Roman" w:eastAsia="宋体" w:cs="Times New Roman"/>
                <w:b w:val="0"/>
                <w:bCs w:val="0"/>
                <w:color w:val="000000"/>
                <w:spacing w:val="0"/>
                <w:w w:val="100"/>
                <w:kern w:val="0"/>
                <w:position w:val="0"/>
                <w:sz w:val="21"/>
                <w:szCs w:val="21"/>
                <w:lang w:val="en-US" w:eastAsia="zh-CN"/>
              </w:rPr>
            </w:pPr>
            <w:r>
              <w:rPr>
                <w:rFonts w:hint="default" w:ascii="Times New Roman" w:hAnsi="Times New Roman" w:eastAsia="宋体" w:cs="Times New Roman"/>
                <w:b w:val="0"/>
                <w:bCs w:val="0"/>
                <w:color w:val="000000"/>
                <w:spacing w:val="0"/>
                <w:w w:val="100"/>
                <w:kern w:val="0"/>
                <w:position w:val="0"/>
                <w:sz w:val="21"/>
                <w:szCs w:val="21"/>
                <w:lang w:val="en-US" w:eastAsia="zh-CN"/>
              </w:rPr>
              <w:t>污水处理站恶臭气体经</w:t>
            </w:r>
            <w:r>
              <w:rPr>
                <w:rFonts w:hint="eastAsia" w:ascii="宋体" w:hAnsi="宋体" w:eastAsia="宋体" w:cs="宋体"/>
                <w:b w:val="0"/>
                <w:bCs w:val="0"/>
                <w:color w:val="000000"/>
                <w:spacing w:val="0"/>
                <w:w w:val="100"/>
                <w:kern w:val="0"/>
                <w:position w:val="0"/>
                <w:sz w:val="21"/>
                <w:szCs w:val="21"/>
                <w:lang w:val="en-US" w:eastAsia="zh-CN"/>
              </w:rPr>
              <w:t>“碱液喷淋塔+二级活性炭吸附装置”处</w:t>
            </w:r>
            <w:r>
              <w:rPr>
                <w:rFonts w:hint="default" w:ascii="Times New Roman" w:hAnsi="Times New Roman" w:eastAsia="宋体" w:cs="Times New Roman"/>
                <w:b w:val="0"/>
                <w:bCs w:val="0"/>
                <w:color w:val="000000"/>
                <w:spacing w:val="0"/>
                <w:w w:val="100"/>
                <w:kern w:val="0"/>
                <w:position w:val="0"/>
                <w:sz w:val="21"/>
                <w:szCs w:val="21"/>
                <w:lang w:val="en-US" w:eastAsia="zh-CN"/>
              </w:rPr>
              <w:t>理后，</w:t>
            </w:r>
            <w:r>
              <w:rPr>
                <w:rFonts w:hint="default" w:ascii="Times New Roman" w:hAnsi="Times New Roman" w:eastAsia="宋体" w:cs="Times New Roman"/>
                <w:kern w:val="2"/>
                <w:sz w:val="21"/>
                <w:szCs w:val="21"/>
                <w:lang w:val="en-US" w:eastAsia="zh-CN" w:bidi="ar-SA"/>
              </w:rPr>
              <w:t>最终通过1根15米高的排气筒（DA001）排放；</w:t>
            </w:r>
          </w:p>
          <w:p>
            <w:pPr>
              <w:keepNext w:val="0"/>
              <w:keepLines w:val="0"/>
              <w:pageBreakBefore w:val="0"/>
              <w:kinsoku/>
              <w:wordWrap/>
              <w:overflowPunct/>
              <w:topLinePunct w:val="0"/>
              <w:autoSpaceDE/>
              <w:autoSpaceDN/>
              <w:bidi w:val="0"/>
              <w:spacing w:line="240" w:lineRule="auto"/>
              <w:jc w:val="both"/>
              <w:textAlignment w:val="auto"/>
              <w:rPr>
                <w:rFonts w:hint="default" w:ascii="Times New Roman" w:hAnsi="Times New Roman" w:eastAsia="宋体" w:cs="Times New Roman"/>
                <w:color w:val="FF0000"/>
                <w:sz w:val="21"/>
                <w:szCs w:val="21"/>
                <w:lang w:eastAsia="zh-CN"/>
              </w:rPr>
            </w:pPr>
            <w:r>
              <w:rPr>
                <w:rFonts w:hint="default" w:ascii="Times New Roman" w:hAnsi="Times New Roman" w:eastAsia="宋体" w:cs="Times New Roman"/>
                <w:color w:val="auto"/>
                <w:sz w:val="21"/>
                <w:szCs w:val="21"/>
                <w:lang w:val="en-US" w:eastAsia="zh-CN"/>
              </w:rPr>
              <w:t>化验</w:t>
            </w:r>
            <w:r>
              <w:rPr>
                <w:rFonts w:hint="default" w:ascii="Times New Roman" w:hAnsi="Times New Roman" w:eastAsia="宋体" w:cs="Times New Roman"/>
                <w:b w:val="0"/>
                <w:bCs w:val="0"/>
                <w:color w:val="000000"/>
                <w:spacing w:val="0"/>
                <w:w w:val="100"/>
                <w:kern w:val="0"/>
                <w:position w:val="0"/>
                <w:sz w:val="21"/>
                <w:szCs w:val="21"/>
                <w:lang w:val="en-US" w:eastAsia="zh-CN"/>
              </w:rPr>
              <w:t>中心产生的有机废气经通风柜收集经“碱液喷淋塔+二级活性炭吸附装置”处理后，最终通过1根</w:t>
            </w:r>
            <w:r>
              <w:rPr>
                <w:rFonts w:hint="eastAsia" w:ascii="Times New Roman" w:hAnsi="Times New Roman" w:eastAsia="宋体" w:cs="Times New Roman"/>
                <w:b w:val="0"/>
                <w:bCs w:val="0"/>
                <w:color w:val="000000"/>
                <w:spacing w:val="0"/>
                <w:w w:val="100"/>
                <w:kern w:val="0"/>
                <w:position w:val="0"/>
                <w:sz w:val="21"/>
                <w:szCs w:val="21"/>
                <w:lang w:val="en-US" w:eastAsia="zh-CN"/>
              </w:rPr>
              <w:t>20</w:t>
            </w:r>
            <w:r>
              <w:rPr>
                <w:rFonts w:hint="default" w:ascii="Times New Roman" w:hAnsi="Times New Roman" w:eastAsia="宋体" w:cs="Times New Roman"/>
                <w:b w:val="0"/>
                <w:bCs w:val="0"/>
                <w:color w:val="000000"/>
                <w:spacing w:val="0"/>
                <w:w w:val="100"/>
                <w:kern w:val="0"/>
                <w:position w:val="0"/>
                <w:sz w:val="21"/>
                <w:szCs w:val="21"/>
                <w:lang w:val="en-US" w:eastAsia="zh-CN"/>
              </w:rPr>
              <w:t>米高的排气筒（DA002）排放（排气筒出口距离地面高度</w:t>
            </w:r>
            <w:r>
              <w:rPr>
                <w:rFonts w:hint="eastAsia" w:ascii="Times New Roman" w:hAnsi="Times New Roman" w:eastAsia="宋体" w:cs="Times New Roman"/>
                <w:b w:val="0"/>
                <w:bCs w:val="0"/>
                <w:color w:val="000000"/>
                <w:spacing w:val="0"/>
                <w:w w:val="100"/>
                <w:kern w:val="0"/>
                <w:position w:val="0"/>
                <w:sz w:val="21"/>
                <w:szCs w:val="21"/>
                <w:lang w:val="en-US" w:eastAsia="zh-CN"/>
              </w:rPr>
              <w:t>20</w:t>
            </w:r>
            <w:r>
              <w:rPr>
                <w:rFonts w:hint="default" w:ascii="Times New Roman" w:hAnsi="Times New Roman" w:eastAsia="宋体" w:cs="Times New Roman"/>
                <w:b w:val="0"/>
                <w:bCs w:val="0"/>
                <w:color w:val="000000"/>
                <w:spacing w:val="0"/>
                <w:w w:val="100"/>
                <w:kern w:val="0"/>
                <w:position w:val="0"/>
                <w:sz w:val="21"/>
                <w:szCs w:val="21"/>
                <w:lang w:val="en-US" w:eastAsia="zh-CN"/>
              </w:rPr>
              <w:t>m，排气筒高于楼层5米)。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p>
        </w:tc>
        <w:tc>
          <w:tcPr>
            <w:tcW w:w="406" w:type="pct"/>
            <w:vMerge w:val="continue"/>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ascii="Times New Roman" w:hAnsi="Times New Roman" w:eastAsia="宋体" w:cs="Times New Roman"/>
                <w:color w:val="auto"/>
                <w:sz w:val="21"/>
                <w:szCs w:val="21"/>
              </w:rPr>
            </w:pPr>
          </w:p>
        </w:tc>
        <w:tc>
          <w:tcPr>
            <w:tcW w:w="631" w:type="pct"/>
            <w:vAlign w:val="center"/>
          </w:tcPr>
          <w:p>
            <w:pPr>
              <w:kinsoku w:val="0"/>
              <w:overflowPunct w:val="0"/>
              <w:autoSpaceDE w:val="0"/>
              <w:autoSpaceDN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废水</w:t>
            </w:r>
          </w:p>
        </w:tc>
        <w:tc>
          <w:tcPr>
            <w:tcW w:w="1774" w:type="pct"/>
            <w:vAlign w:val="center"/>
          </w:tcPr>
          <w:p>
            <w:pPr>
              <w:pStyle w:val="69"/>
              <w:adjustRightInd w:val="0"/>
              <w:spacing w:before="0" w:after="0" w:line="240" w:lineRule="auto"/>
              <w:ind w:right="0" w:rightChars="0" w:firstLine="0" w:firstLineChars="0"/>
              <w:jc w:val="both"/>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bCs/>
                <w:color w:val="auto"/>
                <w:sz w:val="21"/>
                <w:szCs w:val="21"/>
              </w:rPr>
              <w:t>本项目</w:t>
            </w:r>
            <w:r>
              <w:rPr>
                <w:rFonts w:hint="default" w:ascii="Times New Roman" w:hAnsi="Times New Roman" w:eastAsia="宋体" w:cs="Times New Roman"/>
                <w:color w:val="auto"/>
                <w:sz w:val="21"/>
                <w:szCs w:val="21"/>
                <w:lang w:val="en-US" w:eastAsia="zh-CN"/>
              </w:rPr>
              <w:t>雨水由厂区雨水沟排入厂外市政雨水管道，蒸汽冷凝水经冷凝池冷凝后，用于地面清洁及循环冷却用水。生产废水经自建污水处理站处理后，通过市政污水管网排入菏泽众兴牡丹水环境有限公司污水处理厂进行深度处理；生活污水经化粪池预处理后，定期掏运用作农肥，不外排；</w:t>
            </w:r>
            <w:r>
              <w:rPr>
                <w:rFonts w:hint="default" w:ascii="Times New Roman" w:hAnsi="Times New Roman" w:eastAsia="宋体" w:cs="Times New Roman"/>
                <w:sz w:val="21"/>
                <w:szCs w:val="21"/>
                <w:lang w:val="en-US" w:eastAsia="zh-CN"/>
              </w:rPr>
              <w:t>化验中心第一次清洗废水作为危废，委托有资质单位进行处置</w:t>
            </w:r>
            <w:r>
              <w:rPr>
                <w:rFonts w:hint="default" w:ascii="Times New Roman" w:hAnsi="Times New Roman" w:eastAsia="宋体" w:cs="Times New Roman"/>
                <w:color w:val="auto"/>
                <w:sz w:val="21"/>
                <w:szCs w:val="21"/>
                <w:lang w:val="en-US" w:eastAsia="zh-CN"/>
              </w:rPr>
              <w:t>。</w:t>
            </w:r>
          </w:p>
        </w:tc>
        <w:tc>
          <w:tcPr>
            <w:tcW w:w="1804" w:type="pct"/>
            <w:vAlign w:val="center"/>
          </w:tcPr>
          <w:p>
            <w:pPr>
              <w:keepNext w:val="0"/>
              <w:keepLines w:val="0"/>
              <w:pageBreakBefore w:val="0"/>
              <w:kinsoku/>
              <w:wordWrap/>
              <w:overflowPunct/>
              <w:topLinePunct w:val="0"/>
              <w:autoSpaceDE/>
              <w:autoSpaceDN/>
              <w:bidi w:val="0"/>
              <w:spacing w:line="240" w:lineRule="auto"/>
              <w:jc w:val="both"/>
              <w:textAlignment w:val="auto"/>
              <w:rPr>
                <w:rFonts w:hint="default" w:ascii="Times New Roman" w:hAnsi="Times New Roman" w:eastAsia="宋体" w:cs="Times New Roman"/>
                <w:color w:val="FF0000"/>
                <w:sz w:val="21"/>
                <w:szCs w:val="21"/>
                <w:lang w:val="en-US" w:eastAsia="zh-CN"/>
              </w:rPr>
            </w:pPr>
            <w:r>
              <w:rPr>
                <w:rFonts w:hint="default" w:ascii="Times New Roman" w:hAnsi="Times New Roman" w:eastAsia="宋体" w:cs="Times New Roman"/>
                <w:bCs/>
                <w:color w:val="auto"/>
                <w:sz w:val="21"/>
                <w:szCs w:val="21"/>
              </w:rPr>
              <w:t>本项目</w:t>
            </w:r>
            <w:r>
              <w:rPr>
                <w:rFonts w:hint="default" w:ascii="Times New Roman" w:hAnsi="Times New Roman" w:eastAsia="宋体" w:cs="Times New Roman"/>
                <w:color w:val="auto"/>
                <w:sz w:val="21"/>
                <w:szCs w:val="21"/>
                <w:lang w:val="en-US" w:eastAsia="zh-CN"/>
              </w:rPr>
              <w:t>雨水由厂区雨水沟排入厂外市政雨水管道，蒸汽冷凝水经冷凝池冷凝后，用于地面清洁及循环冷却用水。生产废水经自建污水处理站处理后，通过市政污水管网排入菏泽众兴牡丹水环境有限公司污水处理厂进行深度处理；生活污水经化粪池预处理后，定期掏运用作农肥，不外排；</w:t>
            </w:r>
            <w:r>
              <w:rPr>
                <w:rFonts w:hint="default" w:ascii="Times New Roman" w:hAnsi="Times New Roman" w:eastAsia="宋体" w:cs="Times New Roman"/>
                <w:sz w:val="21"/>
                <w:szCs w:val="21"/>
                <w:lang w:val="en-US" w:eastAsia="zh-CN"/>
              </w:rPr>
              <w:t>化验中心第一次清洗废水作为危废，委托有资质单位进行处置</w:t>
            </w:r>
            <w:r>
              <w:rPr>
                <w:rFonts w:hint="default" w:ascii="Times New Roman" w:hAnsi="Times New Roman" w:eastAsia="宋体" w:cs="Times New Roman"/>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vAlign w:val="center"/>
          </w:tcPr>
          <w:p>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宋体" w:cs="Times New Roman"/>
                <w:color w:val="auto"/>
                <w:sz w:val="21"/>
                <w:szCs w:val="21"/>
              </w:rPr>
            </w:pPr>
          </w:p>
        </w:tc>
        <w:tc>
          <w:tcPr>
            <w:tcW w:w="406" w:type="pct"/>
            <w:vMerge w:val="continue"/>
            <w:vAlign w:val="center"/>
          </w:tcPr>
          <w:p>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宋体" w:cs="Times New Roman"/>
                <w:color w:val="auto"/>
                <w:sz w:val="21"/>
                <w:szCs w:val="21"/>
              </w:rPr>
            </w:pPr>
          </w:p>
        </w:tc>
        <w:tc>
          <w:tcPr>
            <w:tcW w:w="631" w:type="pct"/>
            <w:vAlign w:val="center"/>
          </w:tcPr>
          <w:p>
            <w:pPr>
              <w:kinsoku w:val="0"/>
              <w:overflowPunct w:val="0"/>
              <w:autoSpaceDE w:val="0"/>
              <w:autoSpaceDN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噪声</w:t>
            </w:r>
          </w:p>
        </w:tc>
        <w:tc>
          <w:tcPr>
            <w:tcW w:w="1774" w:type="pct"/>
            <w:vAlign w:val="center"/>
          </w:tcPr>
          <w:p>
            <w:pPr>
              <w:keepNext w:val="0"/>
              <w:keepLines w:val="0"/>
              <w:pageBreakBefore w:val="0"/>
              <w:widowControl/>
              <w:suppressLineNumbers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通过合理布置噪声源位置，针对噪声源位置和噪声的特点分别采用减振、隔声等措施减低噪声。</w:t>
            </w:r>
          </w:p>
        </w:tc>
        <w:tc>
          <w:tcPr>
            <w:tcW w:w="1804" w:type="pct"/>
            <w:vAlign w:val="center"/>
          </w:tcPr>
          <w:p>
            <w:pPr>
              <w:keepNext w:val="0"/>
              <w:keepLines w:val="0"/>
              <w:pageBreakBefore w:val="0"/>
              <w:kinsoku/>
              <w:wordWrap/>
              <w:overflowPunct/>
              <w:topLinePunct w:val="0"/>
              <w:autoSpaceDE/>
              <w:autoSpaceDN/>
              <w:bidi w:val="0"/>
              <w:spacing w:line="240" w:lineRule="auto"/>
              <w:jc w:val="both"/>
              <w:textAlignment w:val="auto"/>
              <w:rPr>
                <w:rFonts w:hint="default" w:ascii="Times New Roman" w:hAnsi="Times New Roman" w:eastAsia="宋体" w:cs="Times New Roman"/>
                <w:color w:val="FF0000"/>
                <w:sz w:val="21"/>
                <w:szCs w:val="21"/>
                <w:highlight w:val="yellow"/>
              </w:rPr>
            </w:pPr>
            <w:r>
              <w:rPr>
                <w:rFonts w:hint="default" w:ascii="Times New Roman" w:hAnsi="Times New Roman" w:eastAsia="宋体" w:cs="Times New Roman"/>
                <w:color w:val="auto"/>
                <w:kern w:val="0"/>
                <w:sz w:val="21"/>
                <w:szCs w:val="21"/>
                <w:lang w:val="en-US" w:eastAsia="zh-CN" w:bidi="ar"/>
              </w:rPr>
              <w:t>通过合理布置噪声源位置，针对噪声源位置和噪声的特点分别采用减振、隔声等措施减低噪声。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 w:type="pct"/>
            <w:vMerge w:val="continue"/>
            <w:vAlign w:val="center"/>
          </w:tcPr>
          <w:p>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宋体" w:cs="Times New Roman"/>
                <w:color w:val="auto"/>
                <w:sz w:val="21"/>
                <w:szCs w:val="21"/>
              </w:rPr>
            </w:pPr>
          </w:p>
        </w:tc>
        <w:tc>
          <w:tcPr>
            <w:tcW w:w="406" w:type="pct"/>
            <w:vMerge w:val="continue"/>
            <w:vAlign w:val="center"/>
          </w:tcPr>
          <w:p>
            <w:pPr>
              <w:keepNext w:val="0"/>
              <w:keepLines w:val="0"/>
              <w:pageBreakBefore w:val="0"/>
              <w:kinsoku/>
              <w:wordWrap/>
              <w:overflowPunct/>
              <w:topLinePunct w:val="0"/>
              <w:autoSpaceDE/>
              <w:autoSpaceDN/>
              <w:bidi w:val="0"/>
              <w:spacing w:line="240" w:lineRule="auto"/>
              <w:textAlignment w:val="auto"/>
              <w:rPr>
                <w:rFonts w:hint="default" w:ascii="Times New Roman" w:hAnsi="Times New Roman" w:eastAsia="宋体" w:cs="Times New Roman"/>
                <w:color w:val="auto"/>
                <w:sz w:val="21"/>
                <w:szCs w:val="21"/>
              </w:rPr>
            </w:pPr>
          </w:p>
        </w:tc>
        <w:tc>
          <w:tcPr>
            <w:tcW w:w="631" w:type="pct"/>
            <w:vAlign w:val="center"/>
          </w:tcPr>
          <w:p>
            <w:pPr>
              <w:kinsoku w:val="0"/>
              <w:overflowPunct w:val="0"/>
              <w:autoSpaceDE w:val="0"/>
              <w:autoSpaceDN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固废</w:t>
            </w:r>
          </w:p>
        </w:tc>
        <w:tc>
          <w:tcPr>
            <w:tcW w:w="1774"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color w:val="0000FF"/>
                <w:kern w:val="0"/>
                <w:sz w:val="21"/>
                <w:szCs w:val="21"/>
                <w:lang w:val="en-US" w:eastAsia="zh-CN" w:bidi="ar"/>
              </w:rPr>
            </w:pPr>
            <w:r>
              <w:rPr>
                <w:rFonts w:hint="default" w:ascii="Times New Roman" w:hAnsi="Times New Roman" w:eastAsia="宋体" w:cs="Times New Roman"/>
                <w:sz w:val="21"/>
                <w:szCs w:val="21"/>
                <w:lang w:val="en-US" w:eastAsia="zh-CN"/>
              </w:rPr>
              <w:t>污水处理站污泥、报废药品、危化品包装材料、化验中心危废、废活性炭滤芯、废空气滤芯、</w:t>
            </w:r>
            <w:r>
              <w:rPr>
                <w:rFonts w:hint="default" w:ascii="Times New Roman" w:hAnsi="Times New Roman" w:eastAsia="宋体" w:cs="Times New Roman"/>
                <w:bCs/>
                <w:sz w:val="21"/>
                <w:szCs w:val="21"/>
                <w:lang w:val="en-US" w:eastAsia="zh-CN"/>
              </w:rPr>
              <w:t>废活性炭属于</w:t>
            </w:r>
            <w:r>
              <w:rPr>
                <w:rFonts w:hint="default" w:ascii="Times New Roman" w:hAnsi="Times New Roman" w:eastAsia="宋体" w:cs="Times New Roman"/>
                <w:kern w:val="2"/>
                <w:sz w:val="21"/>
                <w:szCs w:val="21"/>
                <w:lang w:val="en-US" w:eastAsia="zh-CN" w:bidi="ar-SA"/>
              </w:rPr>
              <w:t>危险废物，收集后暂存于危险废物暂存间内，定期委托有资质单位处置；废外包材料、集中收集后外售；纯水制备过程中的废石英砂、废活性炭、废反渗透膜由厂家更换回收；生活垃圾交由环卫部门定期清运处理。</w:t>
            </w:r>
          </w:p>
        </w:tc>
        <w:tc>
          <w:tcPr>
            <w:tcW w:w="1804" w:type="pct"/>
            <w:vAlign w:val="center"/>
          </w:tcPr>
          <w:p>
            <w:pPr>
              <w:keepNext w:val="0"/>
              <w:keepLines w:val="0"/>
              <w:pageBreakBefore w:val="0"/>
              <w:kinsoku/>
              <w:wordWrap/>
              <w:overflowPunct/>
              <w:topLinePunct w:val="0"/>
              <w:autoSpaceDE/>
              <w:autoSpaceDN/>
              <w:bidi w:val="0"/>
              <w:spacing w:line="240" w:lineRule="auto"/>
              <w:jc w:val="both"/>
              <w:textAlignment w:val="auto"/>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eastAsia="宋体" w:cs="Times New Roman"/>
                <w:sz w:val="21"/>
                <w:szCs w:val="21"/>
                <w:lang w:val="en-US" w:eastAsia="zh-CN"/>
              </w:rPr>
              <w:t>污水处理站污泥、报废药品、危化品包装材料、化验中心危废、废活性炭滤芯、废空气滤芯、</w:t>
            </w:r>
            <w:r>
              <w:rPr>
                <w:rFonts w:hint="default" w:ascii="Times New Roman" w:hAnsi="Times New Roman" w:eastAsia="宋体" w:cs="Times New Roman"/>
                <w:bCs/>
                <w:sz w:val="21"/>
                <w:szCs w:val="21"/>
                <w:lang w:val="en-US" w:eastAsia="zh-CN"/>
              </w:rPr>
              <w:t>废活性炭属于</w:t>
            </w:r>
            <w:r>
              <w:rPr>
                <w:rFonts w:hint="default" w:ascii="Times New Roman" w:hAnsi="Times New Roman" w:eastAsia="宋体" w:cs="Times New Roman"/>
                <w:kern w:val="2"/>
                <w:sz w:val="21"/>
                <w:szCs w:val="21"/>
                <w:lang w:val="en-US" w:eastAsia="zh-CN" w:bidi="ar-SA"/>
              </w:rPr>
              <w:t>危险废物，收集后暂存于危险废物暂存间内，定期委托有资质单位处置；废外包材料、集中收集后外售；纯水制备过程中的废石英砂、废活性炭、废反渗透膜由厂家更换回收；生活垃圾交由环卫部门定期清运处理。</w:t>
            </w:r>
          </w:p>
        </w:tc>
      </w:tr>
    </w:tbl>
    <w:p>
      <w:pPr>
        <w:pStyle w:val="38"/>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outlineLvl w:val="1"/>
        <w:rPr>
          <w:rFonts w:hint="default" w:ascii="Times New Roman" w:hAnsi="Times New Roman" w:eastAsia="宋体" w:cs="Times New Roman"/>
          <w:b/>
          <w:sz w:val="28"/>
          <w:szCs w:val="32"/>
        </w:rPr>
      </w:pPr>
      <w:bookmarkStart w:id="23" w:name="_Toc32131"/>
      <w:r>
        <w:rPr>
          <w:rFonts w:hint="default" w:ascii="Times New Roman" w:hAnsi="Times New Roman" w:eastAsia="宋体" w:cs="Times New Roman"/>
          <w:b/>
          <w:sz w:val="28"/>
          <w:szCs w:val="32"/>
        </w:rPr>
        <w:t>3.3主要原辅材料</w:t>
      </w:r>
      <w:bookmarkEnd w:id="22"/>
      <w:r>
        <w:rPr>
          <w:rFonts w:hint="default" w:ascii="Times New Roman" w:hAnsi="Times New Roman" w:eastAsia="宋体" w:cs="Times New Roman"/>
          <w:b/>
          <w:sz w:val="28"/>
          <w:szCs w:val="32"/>
        </w:rPr>
        <w:t>及生产设备</w:t>
      </w:r>
      <w:bookmarkEnd w:id="23"/>
    </w:p>
    <w:p>
      <w:pPr>
        <w:spacing w:line="360" w:lineRule="auto"/>
        <w:ind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该项目原辅材料及产品详见表3-3。</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表3-3  项目主要原辅料及产品一览表</w:t>
      </w:r>
    </w:p>
    <w:tbl>
      <w:tblPr>
        <w:tblStyle w:val="25"/>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79"/>
        <w:gridCol w:w="2377"/>
        <w:gridCol w:w="1697"/>
        <w:gridCol w:w="1084"/>
        <w:gridCol w:w="278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b/>
                <w:bCs/>
                <w:sz w:val="21"/>
                <w:szCs w:val="21"/>
              </w:rPr>
            </w:pPr>
            <w:bookmarkStart w:id="24" w:name="_Hlk27747451"/>
            <w:r>
              <w:rPr>
                <w:rFonts w:hint="default" w:ascii="Times New Roman" w:hAnsi="Times New Roman" w:eastAsia="宋体" w:cs="Times New Roman"/>
                <w:b/>
                <w:sz w:val="21"/>
                <w:szCs w:val="21"/>
              </w:rPr>
              <w:t>序号</w:t>
            </w:r>
          </w:p>
        </w:tc>
        <w:tc>
          <w:tcPr>
            <w:tcW w:w="1395"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名称</w:t>
            </w:r>
          </w:p>
        </w:tc>
        <w:tc>
          <w:tcPr>
            <w:tcW w:w="996"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环评规划量</w:t>
            </w:r>
          </w:p>
        </w:tc>
        <w:tc>
          <w:tcPr>
            <w:tcW w:w="636"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实际量</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bCs/>
                <w:color w:val="000000"/>
                <w:sz w:val="21"/>
                <w:szCs w:val="21"/>
                <w:lang w:val="en-US" w:eastAsia="zh-CN"/>
              </w:rPr>
              <w:t>产品方案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bCs w:val="0"/>
                <w:kern w:val="0"/>
                <w:sz w:val="21"/>
                <w:szCs w:val="21"/>
                <w:lang w:val="en-US" w:eastAsia="zh-CN"/>
              </w:rPr>
              <w:t>一、</w:t>
            </w:r>
            <w:r>
              <w:rPr>
                <w:rFonts w:hint="default" w:ascii="Times New Roman" w:hAnsi="Times New Roman" w:eastAsia="宋体" w:cs="Times New Roman"/>
                <w:b/>
                <w:bCs w:val="0"/>
                <w:sz w:val="21"/>
                <w:szCs w:val="21"/>
                <w:lang w:val="en-US" w:eastAsia="zh-CN"/>
              </w:rPr>
              <w:t>大容量（软袋）注射剂产品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1</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color w:val="000000"/>
                <w:kern w:val="2"/>
                <w:sz w:val="21"/>
                <w:szCs w:val="21"/>
                <w:lang w:val="en-US" w:eastAsia="zh-CN" w:bidi="ar-SA"/>
              </w:rPr>
            </w:pPr>
            <w:r>
              <w:rPr>
                <w:rFonts w:hint="default" w:ascii="Times New Roman" w:hAnsi="Times New Roman" w:eastAsia="宋体" w:cs="Times New Roman"/>
                <w:b w:val="0"/>
                <w:bCs/>
                <w:kern w:val="0"/>
                <w:sz w:val="21"/>
                <w:szCs w:val="21"/>
                <w:lang w:val="en-US" w:eastAsia="zh-CN"/>
              </w:rPr>
              <w:t>左氧氟沙星氯化钠注射液</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color w:val="000000"/>
                <w:kern w:val="2"/>
                <w:sz w:val="21"/>
                <w:szCs w:val="21"/>
                <w:lang w:val="en-US" w:eastAsia="zh-CN" w:bidi="ar-SA"/>
              </w:rPr>
            </w:pPr>
            <w:r>
              <w:rPr>
                <w:rFonts w:hint="default" w:ascii="Times New Roman" w:hAnsi="Times New Roman" w:eastAsia="宋体" w:cs="Times New Roman"/>
                <w:b w:val="0"/>
                <w:bCs/>
                <w:kern w:val="0"/>
                <w:sz w:val="21"/>
                <w:szCs w:val="21"/>
                <w:lang w:val="en-US" w:eastAsia="zh-CN"/>
              </w:rPr>
              <w:t>3250万袋/年</w:t>
            </w:r>
          </w:p>
        </w:tc>
        <w:tc>
          <w:tcPr>
            <w:tcW w:w="636" w:type="pct"/>
            <w:tcBorders>
              <w:tl2br w:val="nil"/>
              <w:tr2bl w:val="nil"/>
            </w:tcBorders>
            <w:vAlign w:val="center"/>
          </w:tcPr>
          <w:p>
            <w:pPr>
              <w:keepNext w:val="0"/>
              <w:keepLines w:val="0"/>
              <w:pageBreakBefore w:val="0"/>
              <w:tabs>
                <w:tab w:val="left" w:pos="540"/>
                <w:tab w:val="left" w:pos="720"/>
              </w:tabs>
              <w:wordWrap/>
              <w:topLinePunct w:val="0"/>
              <w:bidi w:val="0"/>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一期未建设，作为二期</w:t>
            </w:r>
            <w:r>
              <w:rPr>
                <w:rFonts w:hint="default" w:ascii="Times New Roman" w:hAnsi="Times New Roman" w:eastAsia="宋体" w:cs="Times New Roman"/>
                <w:sz w:val="21"/>
                <w:szCs w:val="21"/>
                <w:lang w:val="en-US" w:eastAsia="zh-CN"/>
              </w:rPr>
              <w:t>验收</w:t>
            </w:r>
            <w:r>
              <w:rPr>
                <w:rFonts w:hint="default" w:ascii="Times New Roman" w:hAnsi="Times New Roman" w:cs="Times New Roman"/>
                <w:sz w:val="21"/>
                <w:szCs w:val="21"/>
                <w:lang w:val="en-US" w:eastAsia="zh-CN"/>
              </w:rPr>
              <w:t>建设内容</w:t>
            </w:r>
            <w:r>
              <w:rPr>
                <w:rFonts w:hint="eastAsia" w:ascii="Times New Roman" w:hAnsi="Times New Roman" w:cs="Times New Roman"/>
                <w:sz w:val="21"/>
                <w:szCs w:val="21"/>
                <w:lang w:val="en-US" w:eastAsia="zh-CN"/>
              </w:rPr>
              <w:t>，二期暂未建设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2</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color w:val="000000"/>
                <w:kern w:val="2"/>
                <w:sz w:val="21"/>
                <w:szCs w:val="21"/>
                <w:lang w:val="en-US" w:eastAsia="zh-CN" w:bidi="ar-SA"/>
              </w:rPr>
            </w:pPr>
            <w:r>
              <w:rPr>
                <w:rFonts w:hint="default" w:ascii="Times New Roman" w:hAnsi="Times New Roman" w:eastAsia="宋体" w:cs="Times New Roman"/>
                <w:b w:val="0"/>
                <w:bCs/>
                <w:kern w:val="0"/>
                <w:sz w:val="21"/>
                <w:szCs w:val="21"/>
                <w:lang w:val="en-US" w:eastAsia="zh-CN"/>
              </w:rPr>
              <w:t>氟康唑氯化钠注射液</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color w:val="000000"/>
                <w:kern w:val="2"/>
                <w:sz w:val="21"/>
                <w:szCs w:val="21"/>
                <w:lang w:val="en-US" w:eastAsia="zh-CN" w:bidi="ar-SA"/>
              </w:rPr>
            </w:pPr>
            <w:r>
              <w:rPr>
                <w:rFonts w:hint="default" w:ascii="Times New Roman" w:hAnsi="Times New Roman" w:eastAsia="宋体" w:cs="Times New Roman"/>
                <w:b w:val="0"/>
                <w:bCs/>
                <w:kern w:val="0"/>
                <w:sz w:val="21"/>
                <w:szCs w:val="21"/>
                <w:lang w:val="en-US" w:eastAsia="zh-CN"/>
              </w:rPr>
              <w:t>64万袋/年</w:t>
            </w:r>
          </w:p>
        </w:tc>
        <w:tc>
          <w:tcPr>
            <w:tcW w:w="636" w:type="pct"/>
            <w:tcBorders>
              <w:tl2br w:val="nil"/>
              <w:tr2bl w:val="nil"/>
            </w:tcBorders>
            <w:vAlign w:val="center"/>
          </w:tcPr>
          <w:p>
            <w:pPr>
              <w:keepNext w:val="0"/>
              <w:keepLines w:val="0"/>
              <w:pageBreakBefore w:val="0"/>
              <w:wordWrap/>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一期未建设，作为二期</w:t>
            </w:r>
            <w:r>
              <w:rPr>
                <w:rFonts w:hint="default" w:ascii="Times New Roman" w:hAnsi="Times New Roman" w:eastAsia="宋体" w:cs="Times New Roman"/>
                <w:sz w:val="21"/>
                <w:szCs w:val="21"/>
                <w:lang w:val="en-US" w:eastAsia="zh-CN"/>
              </w:rPr>
              <w:t>验收</w:t>
            </w:r>
            <w:r>
              <w:rPr>
                <w:rFonts w:hint="default" w:ascii="Times New Roman" w:hAnsi="Times New Roman" w:cs="Times New Roman"/>
                <w:sz w:val="21"/>
                <w:szCs w:val="21"/>
                <w:lang w:val="en-US" w:eastAsia="zh-CN"/>
              </w:rPr>
              <w:t>建设内容</w:t>
            </w:r>
            <w:r>
              <w:rPr>
                <w:rFonts w:hint="eastAsia" w:ascii="Times New Roman" w:hAnsi="Times New Roman" w:cs="Times New Roman"/>
                <w:sz w:val="21"/>
                <w:szCs w:val="21"/>
                <w:lang w:val="en-US" w:eastAsia="zh-CN"/>
              </w:rPr>
              <w:t>，二期暂未建设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3</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米力农葡萄糖注射液</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200万袋/年</w:t>
            </w:r>
          </w:p>
        </w:tc>
        <w:tc>
          <w:tcPr>
            <w:tcW w:w="636" w:type="pct"/>
            <w:tcBorders>
              <w:tl2br w:val="nil"/>
              <w:tr2bl w:val="nil"/>
            </w:tcBorders>
            <w:vAlign w:val="center"/>
          </w:tcPr>
          <w:p>
            <w:pPr>
              <w:keepNext w:val="0"/>
              <w:keepLines w:val="0"/>
              <w:pageBreakBefore w:val="0"/>
              <w:wordWrap/>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一期未建设，作为二期</w:t>
            </w:r>
            <w:r>
              <w:rPr>
                <w:rFonts w:hint="default" w:ascii="Times New Roman" w:hAnsi="Times New Roman" w:eastAsia="宋体" w:cs="Times New Roman"/>
                <w:sz w:val="21"/>
                <w:szCs w:val="21"/>
                <w:lang w:val="en-US" w:eastAsia="zh-CN"/>
              </w:rPr>
              <w:t>验收</w:t>
            </w:r>
            <w:r>
              <w:rPr>
                <w:rFonts w:hint="default" w:ascii="Times New Roman" w:hAnsi="Times New Roman" w:cs="Times New Roman"/>
                <w:sz w:val="21"/>
                <w:szCs w:val="21"/>
                <w:lang w:val="en-US" w:eastAsia="zh-CN"/>
              </w:rPr>
              <w:t>建设内容</w:t>
            </w:r>
            <w:r>
              <w:rPr>
                <w:rFonts w:hint="eastAsia" w:ascii="Times New Roman" w:hAnsi="Times New Roman" w:cs="Times New Roman"/>
                <w:sz w:val="21"/>
                <w:szCs w:val="21"/>
                <w:lang w:val="en-US" w:eastAsia="zh-CN"/>
              </w:rPr>
              <w:t>，二期暂未建设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4</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复方氨基酸注射液（18AA-SF）</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800万袋/年</w:t>
            </w:r>
          </w:p>
        </w:tc>
        <w:tc>
          <w:tcPr>
            <w:tcW w:w="636" w:type="pct"/>
            <w:tcBorders>
              <w:tl2br w:val="nil"/>
              <w:tr2bl w:val="nil"/>
            </w:tcBorders>
            <w:vAlign w:val="center"/>
          </w:tcPr>
          <w:p>
            <w:pPr>
              <w:keepNext w:val="0"/>
              <w:keepLines w:val="0"/>
              <w:pageBreakBefore w:val="0"/>
              <w:wordWrap/>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一期未建设，作为二期</w:t>
            </w:r>
            <w:r>
              <w:rPr>
                <w:rFonts w:hint="default" w:ascii="Times New Roman" w:hAnsi="Times New Roman" w:eastAsia="宋体" w:cs="Times New Roman"/>
                <w:sz w:val="21"/>
                <w:szCs w:val="21"/>
                <w:lang w:val="en-US" w:eastAsia="zh-CN"/>
              </w:rPr>
              <w:t>验收</w:t>
            </w:r>
            <w:r>
              <w:rPr>
                <w:rFonts w:hint="default" w:ascii="Times New Roman" w:hAnsi="Times New Roman" w:cs="Times New Roman"/>
                <w:sz w:val="21"/>
                <w:szCs w:val="21"/>
                <w:lang w:val="en-US" w:eastAsia="zh-CN"/>
              </w:rPr>
              <w:t>建设内容</w:t>
            </w:r>
            <w:r>
              <w:rPr>
                <w:rFonts w:hint="eastAsia" w:ascii="Times New Roman" w:hAnsi="Times New Roman" w:cs="Times New Roman"/>
                <w:sz w:val="21"/>
                <w:szCs w:val="21"/>
                <w:lang w:val="en-US" w:eastAsia="zh-CN"/>
              </w:rPr>
              <w:t>，二期暂未建设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bCs w:val="0"/>
                <w:kern w:val="0"/>
                <w:sz w:val="21"/>
                <w:szCs w:val="21"/>
                <w:lang w:val="en-US" w:eastAsia="zh-CN"/>
              </w:rPr>
              <w:t>二、大容量（玻璃瓶）注射剂产品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1</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丙氨酰谷氨酰胺注射液</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200万瓶/年</w:t>
            </w:r>
          </w:p>
        </w:tc>
        <w:tc>
          <w:tcPr>
            <w:tcW w:w="636" w:type="pct"/>
            <w:tcBorders>
              <w:tl2br w:val="nil"/>
              <w:tr2bl w:val="nil"/>
            </w:tcBorders>
            <w:vAlign w:val="center"/>
          </w:tcPr>
          <w:p>
            <w:pPr>
              <w:keepNext w:val="0"/>
              <w:keepLines w:val="0"/>
              <w:pageBreakBefore w:val="0"/>
              <w:wordWrap/>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一期未建设，作为二期</w:t>
            </w:r>
            <w:r>
              <w:rPr>
                <w:rFonts w:hint="default" w:ascii="Times New Roman" w:hAnsi="Times New Roman" w:eastAsia="宋体" w:cs="Times New Roman"/>
                <w:sz w:val="21"/>
                <w:szCs w:val="21"/>
                <w:lang w:val="en-US" w:eastAsia="zh-CN"/>
              </w:rPr>
              <w:t>验收</w:t>
            </w:r>
            <w:r>
              <w:rPr>
                <w:rFonts w:hint="default" w:ascii="Times New Roman" w:hAnsi="Times New Roman" w:cs="Times New Roman"/>
                <w:sz w:val="21"/>
                <w:szCs w:val="21"/>
                <w:lang w:val="en-US" w:eastAsia="zh-CN"/>
              </w:rPr>
              <w:t>建设内容</w:t>
            </w:r>
            <w:r>
              <w:rPr>
                <w:rFonts w:hint="eastAsia" w:ascii="Times New Roman" w:hAnsi="Times New Roman" w:cs="Times New Roman"/>
                <w:sz w:val="21"/>
                <w:szCs w:val="21"/>
                <w:lang w:val="en-US" w:eastAsia="zh-CN"/>
              </w:rPr>
              <w:t>，二期暂未建设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2</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复方氨基酸注射液（18AA）</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150万瓶/年</w:t>
            </w:r>
          </w:p>
        </w:tc>
        <w:tc>
          <w:tcPr>
            <w:tcW w:w="636" w:type="pct"/>
            <w:tcBorders>
              <w:tl2br w:val="nil"/>
              <w:tr2bl w:val="nil"/>
            </w:tcBorders>
            <w:vAlign w:val="center"/>
          </w:tcPr>
          <w:p>
            <w:pPr>
              <w:keepNext w:val="0"/>
              <w:keepLines w:val="0"/>
              <w:pageBreakBefore w:val="0"/>
              <w:wordWrap/>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一期未建设，作为二期</w:t>
            </w:r>
            <w:r>
              <w:rPr>
                <w:rFonts w:hint="default" w:ascii="Times New Roman" w:hAnsi="Times New Roman" w:eastAsia="宋体" w:cs="Times New Roman"/>
                <w:sz w:val="21"/>
                <w:szCs w:val="21"/>
                <w:lang w:val="en-US" w:eastAsia="zh-CN"/>
              </w:rPr>
              <w:t>验收</w:t>
            </w:r>
            <w:r>
              <w:rPr>
                <w:rFonts w:hint="default" w:ascii="Times New Roman" w:hAnsi="Times New Roman" w:cs="Times New Roman"/>
                <w:sz w:val="21"/>
                <w:szCs w:val="21"/>
                <w:lang w:val="en-US" w:eastAsia="zh-CN"/>
              </w:rPr>
              <w:t>建设内容</w:t>
            </w:r>
            <w:r>
              <w:rPr>
                <w:rFonts w:hint="eastAsia" w:ascii="Times New Roman" w:hAnsi="Times New Roman" w:cs="Times New Roman"/>
                <w:sz w:val="21"/>
                <w:szCs w:val="21"/>
                <w:lang w:val="en-US" w:eastAsia="zh-CN"/>
              </w:rPr>
              <w:t>，二期暂未建设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3</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复方氨基酸注射液（18AA--Ⅶ）</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850万瓶/年</w:t>
            </w:r>
          </w:p>
        </w:tc>
        <w:tc>
          <w:tcPr>
            <w:tcW w:w="636" w:type="pct"/>
            <w:tcBorders>
              <w:tl2br w:val="nil"/>
              <w:tr2bl w:val="nil"/>
            </w:tcBorders>
            <w:vAlign w:val="center"/>
          </w:tcPr>
          <w:p>
            <w:pPr>
              <w:keepNext w:val="0"/>
              <w:keepLines w:val="0"/>
              <w:pageBreakBefore w:val="0"/>
              <w:wordWrap/>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一期未建设，作为二期</w:t>
            </w:r>
            <w:r>
              <w:rPr>
                <w:rFonts w:hint="default" w:ascii="Times New Roman" w:hAnsi="Times New Roman" w:eastAsia="宋体" w:cs="Times New Roman"/>
                <w:sz w:val="21"/>
                <w:szCs w:val="21"/>
                <w:lang w:val="en-US" w:eastAsia="zh-CN"/>
              </w:rPr>
              <w:t>验收</w:t>
            </w:r>
            <w:r>
              <w:rPr>
                <w:rFonts w:hint="default" w:ascii="Times New Roman" w:hAnsi="Times New Roman" w:cs="Times New Roman"/>
                <w:sz w:val="21"/>
                <w:szCs w:val="21"/>
                <w:lang w:val="en-US" w:eastAsia="zh-CN"/>
              </w:rPr>
              <w:t>建设内容</w:t>
            </w:r>
            <w:r>
              <w:rPr>
                <w:rFonts w:hint="eastAsia" w:ascii="Times New Roman" w:hAnsi="Times New Roman" w:cs="Times New Roman"/>
                <w:sz w:val="21"/>
                <w:szCs w:val="21"/>
                <w:lang w:val="en-US" w:eastAsia="zh-CN"/>
              </w:rPr>
              <w:t>，二期暂未建设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4</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复方氨基酸注射液（14AA）</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500万瓶/年</w:t>
            </w:r>
          </w:p>
        </w:tc>
        <w:tc>
          <w:tcPr>
            <w:tcW w:w="636" w:type="pct"/>
            <w:tcBorders>
              <w:tl2br w:val="nil"/>
              <w:tr2bl w:val="nil"/>
            </w:tcBorders>
            <w:vAlign w:val="center"/>
          </w:tcPr>
          <w:p>
            <w:pPr>
              <w:keepNext w:val="0"/>
              <w:keepLines w:val="0"/>
              <w:pageBreakBefore w:val="0"/>
              <w:wordWrap/>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一期未建设，作为二期</w:t>
            </w:r>
            <w:r>
              <w:rPr>
                <w:rFonts w:hint="default" w:ascii="Times New Roman" w:hAnsi="Times New Roman" w:eastAsia="宋体" w:cs="Times New Roman"/>
                <w:sz w:val="21"/>
                <w:szCs w:val="21"/>
                <w:lang w:val="en-US" w:eastAsia="zh-CN"/>
              </w:rPr>
              <w:t>验收</w:t>
            </w:r>
            <w:r>
              <w:rPr>
                <w:rFonts w:hint="default" w:ascii="Times New Roman" w:hAnsi="Times New Roman" w:cs="Times New Roman"/>
                <w:sz w:val="21"/>
                <w:szCs w:val="21"/>
                <w:lang w:val="en-US" w:eastAsia="zh-CN"/>
              </w:rPr>
              <w:t>建设内容</w:t>
            </w:r>
            <w:r>
              <w:rPr>
                <w:rFonts w:hint="eastAsia" w:ascii="Times New Roman" w:hAnsi="Times New Roman" w:cs="Times New Roman"/>
                <w:sz w:val="21"/>
                <w:szCs w:val="21"/>
                <w:lang w:val="en-US" w:eastAsia="zh-CN"/>
              </w:rPr>
              <w:t>，二期暂未建设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5</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复方氨基酸注射液（14AA-SF）</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800万瓶/年</w:t>
            </w:r>
          </w:p>
        </w:tc>
        <w:tc>
          <w:tcPr>
            <w:tcW w:w="636" w:type="pct"/>
            <w:tcBorders>
              <w:tl2br w:val="nil"/>
              <w:tr2bl w:val="nil"/>
            </w:tcBorders>
            <w:vAlign w:val="center"/>
          </w:tcPr>
          <w:p>
            <w:pPr>
              <w:keepNext w:val="0"/>
              <w:keepLines w:val="0"/>
              <w:pageBreakBefore w:val="0"/>
              <w:wordWrap/>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一期未建设，作为二期</w:t>
            </w:r>
            <w:r>
              <w:rPr>
                <w:rFonts w:hint="default" w:ascii="Times New Roman" w:hAnsi="Times New Roman" w:eastAsia="宋体" w:cs="Times New Roman"/>
                <w:sz w:val="21"/>
                <w:szCs w:val="21"/>
                <w:lang w:val="en-US" w:eastAsia="zh-CN"/>
              </w:rPr>
              <w:t>验收</w:t>
            </w:r>
            <w:r>
              <w:rPr>
                <w:rFonts w:hint="default" w:ascii="Times New Roman" w:hAnsi="Times New Roman" w:cs="Times New Roman"/>
                <w:sz w:val="21"/>
                <w:szCs w:val="21"/>
                <w:lang w:val="en-US" w:eastAsia="zh-CN"/>
              </w:rPr>
              <w:t>建设内容</w:t>
            </w:r>
            <w:r>
              <w:rPr>
                <w:rFonts w:hint="eastAsia" w:ascii="Times New Roman" w:hAnsi="Times New Roman" w:cs="Times New Roman"/>
                <w:sz w:val="21"/>
                <w:szCs w:val="21"/>
                <w:lang w:val="en-US" w:eastAsia="zh-CN"/>
              </w:rPr>
              <w:t>，二期暂未建设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bCs w:val="0"/>
                <w:kern w:val="0"/>
                <w:sz w:val="21"/>
                <w:szCs w:val="21"/>
                <w:lang w:val="en-US" w:eastAsia="zh-CN"/>
              </w:rPr>
              <w:t>三、小容量（安瓿瓶）注射剂产品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1</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氨甲环酸注射液</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1000万支/年</w:t>
            </w:r>
          </w:p>
        </w:tc>
        <w:tc>
          <w:tcPr>
            <w:tcW w:w="636" w:type="pct"/>
            <w:tcBorders>
              <w:tl2br w:val="nil"/>
              <w:tr2bl w:val="nil"/>
            </w:tcBorders>
            <w:vAlign w:val="center"/>
          </w:tcPr>
          <w:p>
            <w:pPr>
              <w:keepNext w:val="0"/>
              <w:keepLines w:val="0"/>
              <w:pageBreakBefore w:val="0"/>
              <w:wordWrap/>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一期未建设，作为二期</w:t>
            </w:r>
            <w:r>
              <w:rPr>
                <w:rFonts w:hint="default" w:ascii="Times New Roman" w:hAnsi="Times New Roman" w:eastAsia="宋体" w:cs="Times New Roman"/>
                <w:sz w:val="21"/>
                <w:szCs w:val="21"/>
                <w:lang w:val="en-US" w:eastAsia="zh-CN"/>
              </w:rPr>
              <w:t>验收</w:t>
            </w:r>
            <w:r>
              <w:rPr>
                <w:rFonts w:hint="default" w:ascii="Times New Roman" w:hAnsi="Times New Roman" w:cs="Times New Roman"/>
                <w:sz w:val="21"/>
                <w:szCs w:val="21"/>
                <w:lang w:val="en-US" w:eastAsia="zh-CN"/>
              </w:rPr>
              <w:t>建设内容</w:t>
            </w:r>
            <w:r>
              <w:rPr>
                <w:rFonts w:hint="eastAsia" w:ascii="Times New Roman" w:hAnsi="Times New Roman" w:cs="Times New Roman"/>
                <w:sz w:val="21"/>
                <w:szCs w:val="21"/>
                <w:lang w:val="en-US" w:eastAsia="zh-CN"/>
              </w:rPr>
              <w:t>，二期暂未建设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2</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胞磷胆碱钠注射液</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10000万支/年</w:t>
            </w:r>
          </w:p>
        </w:tc>
        <w:tc>
          <w:tcPr>
            <w:tcW w:w="636" w:type="pct"/>
            <w:tcBorders>
              <w:tl2br w:val="nil"/>
              <w:tr2bl w:val="nil"/>
            </w:tcBorders>
            <w:vAlign w:val="center"/>
          </w:tcPr>
          <w:p>
            <w:pPr>
              <w:keepNext w:val="0"/>
              <w:keepLines w:val="0"/>
              <w:pageBreakBefore w:val="0"/>
              <w:wordWrap/>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一期未建设，作为二期</w:t>
            </w:r>
            <w:r>
              <w:rPr>
                <w:rFonts w:hint="default" w:ascii="Times New Roman" w:hAnsi="Times New Roman" w:eastAsia="宋体" w:cs="Times New Roman"/>
                <w:sz w:val="21"/>
                <w:szCs w:val="21"/>
                <w:lang w:val="en-US" w:eastAsia="zh-CN"/>
              </w:rPr>
              <w:t>验收</w:t>
            </w:r>
            <w:r>
              <w:rPr>
                <w:rFonts w:hint="default" w:ascii="Times New Roman" w:hAnsi="Times New Roman" w:cs="Times New Roman"/>
                <w:sz w:val="21"/>
                <w:szCs w:val="21"/>
                <w:lang w:val="en-US" w:eastAsia="zh-CN"/>
              </w:rPr>
              <w:t>建设内容</w:t>
            </w:r>
            <w:r>
              <w:rPr>
                <w:rFonts w:hint="eastAsia" w:ascii="Times New Roman" w:hAnsi="Times New Roman" w:cs="Times New Roman"/>
                <w:sz w:val="21"/>
                <w:szCs w:val="21"/>
                <w:lang w:val="en-US" w:eastAsia="zh-CN"/>
              </w:rPr>
              <w:t>，二期暂未建设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3</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维生素C注射液</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10000万支/年</w:t>
            </w:r>
          </w:p>
        </w:tc>
        <w:tc>
          <w:tcPr>
            <w:tcW w:w="636" w:type="pct"/>
            <w:tcBorders>
              <w:tl2br w:val="nil"/>
              <w:tr2bl w:val="nil"/>
            </w:tcBorders>
            <w:vAlign w:val="center"/>
          </w:tcPr>
          <w:p>
            <w:pPr>
              <w:keepNext w:val="0"/>
              <w:keepLines w:val="0"/>
              <w:pageBreakBefore w:val="0"/>
              <w:tabs>
                <w:tab w:val="left" w:pos="540"/>
                <w:tab w:val="left" w:pos="720"/>
              </w:tabs>
              <w:wordWrap/>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一期未建设，作为二期验收建设内容</w:t>
            </w:r>
            <w:r>
              <w:rPr>
                <w:rFonts w:hint="eastAsia" w:ascii="Times New Roman" w:hAnsi="Times New Roman" w:cs="Times New Roman"/>
                <w:sz w:val="21"/>
                <w:szCs w:val="21"/>
                <w:lang w:val="en-US" w:eastAsia="zh-CN"/>
              </w:rPr>
              <w:t>，二期暂未建设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4</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维生素B6注射液</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500万支/年</w:t>
            </w:r>
          </w:p>
        </w:tc>
        <w:tc>
          <w:tcPr>
            <w:tcW w:w="63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500万支/年</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lang w:val="en-US" w:eastAsia="zh-CN"/>
              </w:rPr>
              <w:t>5</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钠钾镁钙注射用浓溶液</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800万支/年</w:t>
            </w:r>
          </w:p>
        </w:tc>
        <w:tc>
          <w:tcPr>
            <w:tcW w:w="63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800万支/年</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bCs w:val="0"/>
                <w:kern w:val="0"/>
                <w:sz w:val="21"/>
                <w:szCs w:val="21"/>
                <w:lang w:val="en-US" w:eastAsia="zh-CN"/>
              </w:rPr>
              <w:t>四、小容量（西林瓶）冻干注射剂产品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kern w:val="2"/>
                <w:sz w:val="21"/>
                <w:szCs w:val="21"/>
                <w:lang w:val="en-US" w:eastAsia="zh-CN" w:bidi="ar-SA"/>
              </w:rPr>
              <w:t>1</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注射用奥美拉唑钠</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1000万支/年</w:t>
            </w:r>
          </w:p>
        </w:tc>
        <w:tc>
          <w:tcPr>
            <w:tcW w:w="636" w:type="pct"/>
            <w:tcBorders>
              <w:tl2br w:val="nil"/>
              <w:tr2bl w:val="nil"/>
            </w:tcBorders>
            <w:vAlign w:val="center"/>
          </w:tcPr>
          <w:p>
            <w:pPr>
              <w:keepNext w:val="0"/>
              <w:keepLines w:val="0"/>
              <w:pageBreakBefore w:val="0"/>
              <w:tabs>
                <w:tab w:val="left" w:pos="540"/>
                <w:tab w:val="left" w:pos="720"/>
              </w:tabs>
              <w:wordWrap/>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一期未建设，作为二期验收建设内容</w:t>
            </w:r>
            <w:r>
              <w:rPr>
                <w:rFonts w:hint="eastAsia" w:ascii="Times New Roman" w:hAnsi="Times New Roman" w:eastAsia="宋体" w:cs="Times New Roman"/>
                <w:sz w:val="21"/>
                <w:szCs w:val="21"/>
                <w:lang w:val="en-US" w:eastAsia="zh-CN"/>
              </w:rPr>
              <w:t>，</w:t>
            </w:r>
            <w:r>
              <w:rPr>
                <w:rFonts w:hint="eastAsia" w:ascii="Times New Roman" w:hAnsi="Times New Roman" w:cs="Times New Roman"/>
                <w:sz w:val="21"/>
                <w:szCs w:val="21"/>
                <w:lang w:val="en-US" w:eastAsia="zh-CN"/>
              </w:rPr>
              <w:t>，二期暂未建设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kern w:val="2"/>
                <w:sz w:val="21"/>
                <w:szCs w:val="21"/>
                <w:lang w:val="en-US" w:eastAsia="zh-CN" w:bidi="ar-SA"/>
              </w:rPr>
              <w:t>2</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注射用盐酸罗沙替丁醋酸酯</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300万支/年</w:t>
            </w:r>
          </w:p>
        </w:tc>
        <w:tc>
          <w:tcPr>
            <w:tcW w:w="636" w:type="pct"/>
            <w:tcBorders>
              <w:tl2br w:val="nil"/>
              <w:tr2bl w:val="nil"/>
            </w:tcBorders>
            <w:vAlign w:val="center"/>
          </w:tcPr>
          <w:p>
            <w:pPr>
              <w:keepNext w:val="0"/>
              <w:keepLines w:val="0"/>
              <w:pageBreakBefore w:val="0"/>
              <w:tabs>
                <w:tab w:val="left" w:pos="540"/>
                <w:tab w:val="left" w:pos="720"/>
              </w:tabs>
              <w:wordWrap/>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kern w:val="0"/>
                <w:sz w:val="21"/>
                <w:szCs w:val="21"/>
                <w:lang w:val="en-US" w:eastAsia="zh-CN"/>
              </w:rPr>
              <w:t>80万支/年</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本次一期验收80</w:t>
            </w:r>
            <w:r>
              <w:rPr>
                <w:rFonts w:hint="default" w:ascii="Times New Roman" w:hAnsi="Times New Roman" w:eastAsia="宋体" w:cs="Times New Roman"/>
                <w:b w:val="0"/>
                <w:bCs/>
                <w:kern w:val="0"/>
                <w:sz w:val="21"/>
                <w:szCs w:val="21"/>
                <w:lang w:val="en-US" w:eastAsia="zh-CN"/>
              </w:rPr>
              <w:t>万支/年</w:t>
            </w:r>
            <w:r>
              <w:rPr>
                <w:rFonts w:hint="default" w:ascii="Times New Roman" w:hAnsi="Times New Roman" w:eastAsia="宋体" w:cs="Times New Roman"/>
                <w:sz w:val="21"/>
                <w:szCs w:val="21"/>
                <w:lang w:val="en-US" w:eastAsia="zh-CN"/>
              </w:rPr>
              <w:t>，剩余产能作为二期验收建设内容</w:t>
            </w:r>
            <w:r>
              <w:rPr>
                <w:rFonts w:hint="eastAsia" w:ascii="Times New Roman" w:hAnsi="Times New Roman" w:cs="Times New Roman"/>
                <w:sz w:val="21"/>
                <w:szCs w:val="21"/>
                <w:lang w:val="en-US" w:eastAsia="zh-CN"/>
              </w:rPr>
              <w:t>，二期暂未建设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wordWrap/>
              <w:topLinePunct w:val="0"/>
              <w:bidi w:val="0"/>
              <w:jc w:val="center"/>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kern w:val="2"/>
                <w:sz w:val="21"/>
                <w:szCs w:val="21"/>
                <w:lang w:val="en-US" w:eastAsia="zh-CN" w:bidi="ar-SA"/>
              </w:rPr>
              <w:t>3</w:t>
            </w:r>
          </w:p>
        </w:tc>
        <w:tc>
          <w:tcPr>
            <w:tcW w:w="1395"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注射用地尔硫卓</w:t>
            </w:r>
          </w:p>
        </w:tc>
        <w:tc>
          <w:tcPr>
            <w:tcW w:w="996" w:type="pct"/>
            <w:tcBorders>
              <w:tl2br w:val="nil"/>
              <w:tr2bl w:val="nil"/>
            </w:tcBorders>
            <w:vAlign w:val="center"/>
          </w:tcPr>
          <w:p>
            <w:pPr>
              <w:keepNext w:val="0"/>
              <w:keepLines w:val="0"/>
              <w:pageBreakBefore w:val="0"/>
              <w:widowControl/>
              <w:wordWrap/>
              <w:topLinePunct w:val="0"/>
              <w:bidi w:val="0"/>
              <w:jc w:val="center"/>
              <w:rPr>
                <w:rFonts w:hint="default" w:ascii="Times New Roman" w:hAnsi="Times New Roman" w:eastAsia="宋体" w:cs="Times New Roman"/>
                <w:b w:val="0"/>
                <w:bCs/>
                <w:kern w:val="0"/>
                <w:sz w:val="21"/>
                <w:szCs w:val="21"/>
                <w:lang w:val="en-US" w:eastAsia="zh-CN" w:bidi="ar-SA"/>
              </w:rPr>
            </w:pPr>
            <w:r>
              <w:rPr>
                <w:rFonts w:hint="default" w:ascii="Times New Roman" w:hAnsi="Times New Roman" w:eastAsia="宋体" w:cs="Times New Roman"/>
                <w:b w:val="0"/>
                <w:bCs/>
                <w:kern w:val="0"/>
                <w:sz w:val="21"/>
                <w:szCs w:val="21"/>
                <w:lang w:val="en-US" w:eastAsia="zh-CN"/>
              </w:rPr>
              <w:t>300万支/年</w:t>
            </w:r>
          </w:p>
        </w:tc>
        <w:tc>
          <w:tcPr>
            <w:tcW w:w="636" w:type="pct"/>
            <w:tcBorders>
              <w:tl2br w:val="nil"/>
              <w:tr2bl w:val="nil"/>
            </w:tcBorders>
            <w:vAlign w:val="center"/>
          </w:tcPr>
          <w:p>
            <w:pPr>
              <w:keepNext w:val="0"/>
              <w:keepLines w:val="0"/>
              <w:pageBreakBefore w:val="0"/>
              <w:tabs>
                <w:tab w:val="left" w:pos="540"/>
                <w:tab w:val="left" w:pos="720"/>
              </w:tabs>
              <w:wordWrap/>
              <w:topLinePunct w:val="0"/>
              <w:bidi w:val="0"/>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kern w:val="0"/>
                <w:sz w:val="21"/>
                <w:szCs w:val="21"/>
                <w:lang w:val="en-US" w:eastAsia="zh-CN"/>
              </w:rPr>
              <w:t>80万支/年</w:t>
            </w:r>
          </w:p>
        </w:tc>
        <w:tc>
          <w:tcPr>
            <w:tcW w:w="1632" w:type="pct"/>
            <w:tcBorders>
              <w:tl2br w:val="nil"/>
              <w:tr2bl w:val="nil"/>
            </w:tcBorders>
            <w:vAlign w:val="center"/>
          </w:tcPr>
          <w:p>
            <w:pPr>
              <w:keepNext w:val="0"/>
              <w:keepLines w:val="0"/>
              <w:pageBreakBefore w:val="0"/>
              <w:kinsoku/>
              <w:wordWrap/>
              <w:overflowPunct/>
              <w:topLinePunct w:val="0"/>
              <w:autoSpaceDE/>
              <w:autoSpaceDN/>
              <w:bidi w:val="0"/>
              <w:snapToGrid/>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本次一期验收80</w:t>
            </w:r>
            <w:r>
              <w:rPr>
                <w:rFonts w:hint="default" w:ascii="Times New Roman" w:hAnsi="Times New Roman" w:eastAsia="宋体" w:cs="Times New Roman"/>
                <w:b w:val="0"/>
                <w:bCs/>
                <w:kern w:val="0"/>
                <w:sz w:val="21"/>
                <w:szCs w:val="21"/>
                <w:lang w:val="en-US" w:eastAsia="zh-CN"/>
              </w:rPr>
              <w:t>万支/年</w:t>
            </w:r>
            <w:r>
              <w:rPr>
                <w:rFonts w:hint="default" w:ascii="Times New Roman" w:hAnsi="Times New Roman" w:eastAsia="宋体" w:cs="Times New Roman"/>
                <w:sz w:val="21"/>
                <w:szCs w:val="21"/>
                <w:lang w:val="en-US" w:eastAsia="zh-CN"/>
              </w:rPr>
              <w:t>，剩余产能作为二期验收建设内容</w:t>
            </w:r>
            <w:r>
              <w:rPr>
                <w:rFonts w:hint="eastAsia" w:ascii="Times New Roman" w:hAnsi="Times New Roman" w:eastAsia="宋体" w:cs="Times New Roman"/>
                <w:sz w:val="21"/>
                <w:szCs w:val="21"/>
                <w:lang w:val="en-US" w:eastAsia="zh-CN"/>
              </w:rPr>
              <w:t>，</w:t>
            </w:r>
            <w:r>
              <w:rPr>
                <w:rFonts w:hint="eastAsia" w:ascii="Times New Roman" w:hAnsi="Times New Roman" w:cs="Times New Roman"/>
                <w:sz w:val="21"/>
                <w:szCs w:val="21"/>
                <w:lang w:val="en-US" w:eastAsia="zh-CN"/>
              </w:rPr>
              <w:t>二期暂未建设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000" w:type="pct"/>
            <w:gridSpan w:val="5"/>
            <w:tcBorders>
              <w:tl2br w:val="nil"/>
              <w:tr2bl w:val="nil"/>
            </w:tcBorders>
            <w:vAlign w:val="center"/>
          </w:tcPr>
          <w:p>
            <w:pPr>
              <w:keepNext w:val="0"/>
              <w:keepLines w:val="0"/>
              <w:pageBreakBefore w:val="0"/>
              <w:widowControl/>
              <w:suppressLineNumbers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bCs/>
                <w:color w:val="000000"/>
                <w:kern w:val="0"/>
                <w:sz w:val="21"/>
                <w:szCs w:val="21"/>
                <w:lang w:val="en-US" w:eastAsia="zh-CN" w:bidi="ar"/>
              </w:rPr>
              <w:t>原辅料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bCs/>
                <w:color w:val="000000"/>
                <w:sz w:val="21"/>
                <w:szCs w:val="21"/>
                <w:lang w:val="en-US" w:eastAsia="zh-CN"/>
              </w:rPr>
              <w:t>大容量（软袋）注射剂产品主要原辅料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val="0"/>
                <w:bCs/>
                <w:kern w:val="0"/>
                <w:sz w:val="21"/>
                <w:szCs w:val="21"/>
                <w:lang w:val="en-US" w:eastAsia="zh-CN"/>
              </w:rPr>
              <w:t>1、左氧氟沙星氯化钠注射液</w:t>
            </w:r>
            <w:r>
              <w:rPr>
                <w:rFonts w:hint="default" w:ascii="Times New Roman" w:hAnsi="Times New Roman" w:eastAsia="宋体" w:cs="Times New Roman"/>
                <w:kern w:val="0"/>
                <w:sz w:val="21"/>
                <w:szCs w:val="21"/>
                <w:lang w:val="en-US" w:eastAsia="zh-CN"/>
              </w:rPr>
              <w:t>原辅材料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spacing w:val="0"/>
                <w:kern w:val="2"/>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左氧氟沙星</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000000"/>
                <w:spacing w:val="1"/>
                <w:kern w:val="0"/>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16656.25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spacing w:val="0"/>
                <w:kern w:val="2"/>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氯化钠</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000000"/>
                <w:spacing w:val="1"/>
                <w:kern w:val="0"/>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29250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spacing w:val="0"/>
                <w:kern w:val="2"/>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五层共挤输液用膜</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000000"/>
                <w:spacing w:val="1"/>
                <w:kern w:val="0"/>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325000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spacing w:val="0"/>
                <w:kern w:val="2"/>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输液用聚丙烯接口</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000000"/>
                <w:spacing w:val="1"/>
                <w:kern w:val="0"/>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3250（万支）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spacing w:val="0"/>
                <w:kern w:val="2"/>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塑料输液容器用聚丙烯组合盖（拉环式）</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color w:val="000000"/>
                <w:spacing w:val="1"/>
                <w:kern w:val="0"/>
                <w:sz w:val="21"/>
                <w:szCs w:val="21"/>
                <w:lang w:val="en-US" w:eastAsia="zh-CN" w:bidi="ar-SA"/>
              </w:rPr>
            </w:pPr>
            <w:r>
              <w:rPr>
                <w:rFonts w:hint="default" w:ascii="Times New Roman" w:hAnsi="Times New Roman" w:eastAsia="宋体" w:cs="Times New Roman"/>
                <w:i w:val="0"/>
                <w:color w:val="000000"/>
                <w:kern w:val="0"/>
                <w:sz w:val="21"/>
                <w:szCs w:val="21"/>
                <w:u w:val="none"/>
                <w:lang w:val="en-US" w:eastAsia="zh-CN" w:bidi="ar"/>
              </w:rPr>
              <w:t>3250（万支）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kern w:val="0"/>
                <w:sz w:val="21"/>
                <w:szCs w:val="21"/>
                <w:lang w:val="en-US" w:eastAsia="zh-CN"/>
              </w:rPr>
              <w:t>2、氟康唑氯化钠注射液</w:t>
            </w:r>
            <w:r>
              <w:rPr>
                <w:rFonts w:hint="default" w:ascii="Times New Roman" w:hAnsi="Times New Roman" w:eastAsia="宋体" w:cs="Times New Roman"/>
                <w:kern w:val="0"/>
                <w:sz w:val="21"/>
                <w:szCs w:val="21"/>
                <w:lang w:val="en-US" w:eastAsia="zh-CN"/>
              </w:rPr>
              <w:t>原辅材料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氟康唑</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128</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氯化钠（供注射用）</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576</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五层共挤输液用膜</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6400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4</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塑料输液容器用聚丙烯接口</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64（万支）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5</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塑料输液容器用聚丙烯组合盖（拉环式）</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64（万支）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kern w:val="0"/>
                <w:sz w:val="21"/>
                <w:szCs w:val="21"/>
                <w:lang w:val="en-US" w:eastAsia="zh-CN"/>
              </w:rPr>
              <w:t>3、米力农葡萄糖注射液</w:t>
            </w:r>
            <w:r>
              <w:rPr>
                <w:rFonts w:hint="default" w:ascii="Times New Roman" w:hAnsi="Times New Roman" w:eastAsia="宋体" w:cs="Times New Roman"/>
                <w:kern w:val="0"/>
                <w:sz w:val="21"/>
                <w:szCs w:val="21"/>
                <w:lang w:val="en-US" w:eastAsia="zh-CN"/>
              </w:rPr>
              <w:t>原辅材料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米力农</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33</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无水葡萄糖</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1551</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乳酸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36.96</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4</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五层共挤输液用膜</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5</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塑料输液容器用聚丙烯接口</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200（万支）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塑料输液容器用聚丙烯组合盖（拉环式）</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200（万支）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kern w:val="0"/>
                <w:sz w:val="21"/>
                <w:szCs w:val="21"/>
                <w:lang w:val="en-US" w:eastAsia="zh-CN"/>
              </w:rPr>
              <w:t>4、</w:t>
            </w:r>
            <w:r>
              <w:rPr>
                <w:rFonts w:hint="default" w:ascii="Times New Roman" w:hAnsi="Times New Roman" w:eastAsia="宋体" w:cs="Times New Roman"/>
                <w:i w:val="0"/>
                <w:color w:val="000000"/>
                <w:kern w:val="0"/>
                <w:sz w:val="21"/>
                <w:szCs w:val="21"/>
                <w:u w:val="none"/>
                <w:lang w:val="en-US" w:eastAsia="zh-CN" w:bidi="ar"/>
              </w:rPr>
              <w:t>复方氨基酸（18AA-SF）注射液原辅包材清</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异亮氨酸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7040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亮氨酸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9800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苯丙氨酸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10660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甲硫氨酸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4500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苏氨酸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色氨酸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1800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缬氨酸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7200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丙氨酸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脯氨酸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丝氨酸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甘氨酸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15200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12</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盐酸精氨酸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10000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13</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盐酸组氨酸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14</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盐酸赖氨酸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8600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门冬氨酸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16</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酪氨酸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17</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谷氨酸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1500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胱氨酸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19</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山梨醇</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100000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氢氧化钠</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2664</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21</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盐酸</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适量</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注射用水</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适量</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23</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三层共挤输液用膜</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1120（千米）</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24</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塑料输液容器接口</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800（万个）</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25</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塑料输液容器用聚丙烯组合盖</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800（万个）</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26</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热转印膜</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9.6（千米）</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27</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脱氧剂</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800（万个）</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28</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输液用外袋</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800（万个）</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bCs w:val="0"/>
                <w:kern w:val="0"/>
                <w:sz w:val="21"/>
                <w:szCs w:val="21"/>
                <w:lang w:val="en-US" w:eastAsia="zh-CN"/>
              </w:rPr>
              <w:t>二、大容量（玻璃瓶）注射剂产品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kern w:val="0"/>
                <w:sz w:val="21"/>
                <w:szCs w:val="21"/>
                <w:lang w:val="en-US" w:eastAsia="zh-CN"/>
              </w:rPr>
              <w:t>1、丙氨酰谷氨酰胺注射液</w:t>
            </w:r>
            <w:r>
              <w:rPr>
                <w:rFonts w:hint="default" w:ascii="Times New Roman" w:hAnsi="Times New Roman" w:eastAsia="宋体" w:cs="Times New Roman"/>
                <w:kern w:val="0"/>
                <w:sz w:val="21"/>
                <w:szCs w:val="21"/>
                <w:lang w:val="en-US" w:eastAsia="zh-CN"/>
              </w:rPr>
              <w:t>原辅材料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丙氨酰谷氨酰胺</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注射液用卤化丁基橡胶塞（溴化）</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200（万支）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输液瓶用铝盖（银色）</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200（万支）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中硼硅玻璃输液瓶</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200（万支）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kern w:val="0"/>
                <w:sz w:val="21"/>
                <w:szCs w:val="21"/>
                <w:lang w:val="en-US" w:eastAsia="zh-CN"/>
              </w:rPr>
              <w:t>2、复方氨基酸注射液（18AA）</w:t>
            </w:r>
            <w:r>
              <w:rPr>
                <w:rFonts w:hint="default" w:ascii="Times New Roman" w:hAnsi="Times New Roman" w:eastAsia="宋体" w:cs="Times New Roman"/>
                <w:kern w:val="0"/>
                <w:sz w:val="21"/>
                <w:szCs w:val="21"/>
                <w:lang w:val="en-US" w:eastAsia="zh-CN"/>
              </w:rPr>
              <w:t>原辅材料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脯氨酸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375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kern w:val="0"/>
                <w:sz w:val="21"/>
                <w:szCs w:val="21"/>
                <w:lang w:val="en-US" w:eastAsia="zh-CN"/>
              </w:rPr>
              <w:t>丝氨酸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375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丙氨酸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750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4</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kern w:val="0"/>
                <w:sz w:val="21"/>
                <w:szCs w:val="21"/>
                <w:lang w:val="en-US" w:eastAsia="zh-CN"/>
              </w:rPr>
              <w:t>异亮氨酸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1320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5</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亮氨酸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1837.5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6</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门冬氨酸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937.5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7</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酪氨酸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93.75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8</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谷氨酸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281.25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9</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苯丙氨酸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1998.75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10</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盐酸精氨酸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1875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11</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盐酸赖氨酸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1612.5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12</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缬氨酸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1350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13</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苏氨酸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937.5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14</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盐酸组氨酸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937.5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15</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色氨酸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337.5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16</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甲硫氨酸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843.75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17</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胱氨酸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37.5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18</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甘氨酸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2850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19</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山梨醇</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18750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20</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亚硫酸氢钠</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150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21</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盐酸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49996</w:t>
            </w:r>
            <w:r>
              <w:rPr>
                <w:rFonts w:hint="default" w:ascii="Times New Roman" w:hAnsi="Times New Roman" w:eastAsia="宋体" w:cs="Times New Roman"/>
                <w:color w:val="000000"/>
                <w:spacing w:val="1"/>
                <w:kern w:val="0"/>
                <w:sz w:val="21"/>
                <w:szCs w:val="21"/>
                <w:lang w:val="en-US" w:eastAsia="zh-CN"/>
              </w:rPr>
              <w:t>ml</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22</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氢氧化钠</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499</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23</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钠钙玻璃输液瓶</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150（万支）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24</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注射液用卤化丁基橡胶塞 （溴化）</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150（万支）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25</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输液瓶用铝盖</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150（万支）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kern w:val="0"/>
                <w:sz w:val="21"/>
                <w:szCs w:val="21"/>
                <w:lang w:val="en-US" w:eastAsia="zh-CN"/>
              </w:rPr>
              <w:t>3、复方氨基酸注射液（18AA--Ⅶ）原</w:t>
            </w:r>
            <w:r>
              <w:rPr>
                <w:rFonts w:hint="default" w:ascii="Times New Roman" w:hAnsi="Times New Roman" w:eastAsia="宋体" w:cs="Times New Roman"/>
                <w:kern w:val="0"/>
                <w:sz w:val="21"/>
                <w:szCs w:val="21"/>
                <w:lang w:val="en-US" w:eastAsia="zh-CN"/>
              </w:rPr>
              <w:t>辅材料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异亮氨酸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7735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亮氨酸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10965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醋酸赖氨酸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8500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4</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甲硫氨酸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3740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5</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苯丙氨酸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5950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6</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苏氨酸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6375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7</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色氨酸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1105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8</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缬氨酸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11900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9</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丙氨酸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6035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10</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精氨酸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7650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11</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门冬氨酸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850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12</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谷氨酸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425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13</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组氨酸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4250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14</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脯氨酸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4250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15</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丝氨酸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1445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16</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酪氨酸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340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17</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甘氨酸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5950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18</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半胱氨酸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297.5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19</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亚硫酸氢钠</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255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20</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冰醋酸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2337.5</w:t>
            </w:r>
            <w:r>
              <w:rPr>
                <w:rFonts w:hint="default" w:ascii="Times New Roman" w:hAnsi="Times New Roman" w:eastAsia="宋体" w:cs="Times New Roman"/>
                <w:color w:val="000000"/>
                <w:spacing w:val="1"/>
                <w:kern w:val="0"/>
                <w:sz w:val="21"/>
                <w:szCs w:val="21"/>
                <w:lang w:val="en-US" w:eastAsia="zh-CN"/>
              </w:rPr>
              <w:t>ml</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21</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钠钙玻璃输液瓶</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850（万支）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22</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注射液用卤化丁基橡胶塞 （溴化）</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850（万支）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23</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输液瓶用铝盖</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850（万支）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kern w:val="0"/>
                <w:sz w:val="21"/>
                <w:szCs w:val="21"/>
                <w:lang w:val="en-US" w:eastAsia="zh-CN"/>
              </w:rPr>
              <w:t>4、复方氨基酸注射液（14AA）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异亮氨酸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2625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亮氨酸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3375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苯丙氨酸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2125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4</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甲硫氨酸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2000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5</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苏氨酸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1500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6</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色氨酸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575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7</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缬氨酸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2500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8</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丙氨酸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2625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9</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脯氨酸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4250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10</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丝氨酸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2250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11</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甘氨酸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5250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12</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精氨酸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3625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13</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组氨酸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1062.5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14</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醋酸赖氨酸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3875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15</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甘油</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60000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16</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冰醋酸</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L）</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4000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17</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注射用水</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适量</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18</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钠钙玻璃输液瓶（250ml）</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500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19</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注射液用卤化丁基橡胶塞（溴化）</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500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20</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输液瓶用铝盖</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500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kern w:val="0"/>
                <w:sz w:val="21"/>
                <w:szCs w:val="21"/>
                <w:lang w:val="en-US" w:eastAsia="zh-CN"/>
              </w:rPr>
              <w:t>5、复方氨基酸注射液（14AA-SF）</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异亮氨酸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11800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亮氨酸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15400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3</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苯丙氨酸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9600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4</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甲硫氨酸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9000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5</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苏氨酸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6800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6</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色氨酸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2600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7</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缬氨酸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11200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8</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丙氨酸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12000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9</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脯氨酸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19000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10</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丝氨酸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10000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11</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甘氨酸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23800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12</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精氨酸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16200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13</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组氨酸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4800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14</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醋酸赖氨酸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17400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15</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冰醋酸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7000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16</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注射用水</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适量</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17</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钠钙玻璃输液瓶（250ml）</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800</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万个）/a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注射液用卤化丁基橡胶塞（溴化）</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800</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万个）/a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19</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输液瓶用铝盖</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800</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万个）/a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bCs w:val="0"/>
                <w:kern w:val="0"/>
                <w:sz w:val="21"/>
                <w:szCs w:val="21"/>
                <w:lang w:val="en-US" w:eastAsia="zh-CN"/>
              </w:rPr>
              <w:t>三、小容量（安瓿瓶）注射剂产品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kern w:val="0"/>
                <w:sz w:val="21"/>
                <w:szCs w:val="21"/>
                <w:lang w:val="en-US" w:eastAsia="zh-CN"/>
              </w:rPr>
              <w:t>1、氨甲环酸注射液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氨甲环酸</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2500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无色透明中硼硅玻璃安瓿（3ml）</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1000</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万个）/a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kern w:val="0"/>
                <w:sz w:val="21"/>
                <w:szCs w:val="21"/>
                <w:lang w:val="en-US" w:eastAsia="zh-CN"/>
              </w:rPr>
              <w:t>2、胞磷胆碱钠注射液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胞磷胆碱钠</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522500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无色透明中硼硅玻璃安瓿（2ml）</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10000</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万个）/a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kern w:val="0"/>
                <w:sz w:val="21"/>
                <w:szCs w:val="21"/>
                <w:lang w:val="en-US" w:eastAsia="zh-CN"/>
              </w:rPr>
              <w:t>3、维生素C注射液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维生素C</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50000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碳酸氢钠</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24000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无色透明中硼硅玻璃安瓿（3ml）</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10000</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万个）/a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kern w:val="0"/>
                <w:sz w:val="21"/>
                <w:szCs w:val="21"/>
                <w:lang w:val="en-US" w:eastAsia="zh-CN"/>
              </w:rPr>
              <w:t>4、维生素B6注射液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维生素B6</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注射用水</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适量</w:t>
            </w:r>
          </w:p>
        </w:tc>
        <w:tc>
          <w:tcPr>
            <w:tcW w:w="63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适量</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1395" w:type="pct"/>
            <w:tcBorders>
              <w:tl2br w:val="nil"/>
              <w:tr2bl w:val="nil"/>
            </w:tcBorders>
            <w:vAlign w:val="center"/>
          </w:tcPr>
          <w:p>
            <w:pPr>
              <w:pStyle w:val="38"/>
              <w:keepNext w:val="0"/>
              <w:keepLines w:val="0"/>
              <w:pageBreakBefore w:val="0"/>
              <w:widowControl w:val="0"/>
              <w:wordWrap/>
              <w:topLinePunct w:val="0"/>
              <w:bidi w:val="0"/>
              <w:adjustRightInd w:val="0"/>
              <w:snapToGrid w:val="0"/>
              <w:spacing w:line="240" w:lineRule="auto"/>
              <w:ind w:left="0" w:leftChars="0" w:firstLine="0" w:firstLineChars="0"/>
              <w:jc w:val="both"/>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中硼硅玻璃安瓿瓶（棕色，2ml）</w:t>
            </w:r>
          </w:p>
        </w:tc>
        <w:tc>
          <w:tcPr>
            <w:tcW w:w="99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500</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万个）/a</w:t>
            </w:r>
          </w:p>
        </w:tc>
        <w:tc>
          <w:tcPr>
            <w:tcW w:w="636" w:type="pct"/>
            <w:tcBorders>
              <w:tl2br w:val="nil"/>
              <w:tr2bl w:val="nil"/>
            </w:tcBorders>
            <w:vAlign w:val="center"/>
          </w:tcPr>
          <w:p>
            <w:pPr>
              <w:keepNext w:val="0"/>
              <w:keepLines w:val="0"/>
              <w:pageBreakBefore w:val="0"/>
              <w:widowControl/>
              <w:suppressLineNumbers w:val="0"/>
              <w:wordWrap/>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500</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万个）/a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lang w:val="en-US" w:eastAsia="zh-CN"/>
              </w:rPr>
              <w:t>5、钠钾镁钙注射用浓溶液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氯化钠</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2560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2560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氯化钾</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11920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11920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氯化镁</w:t>
            </w:r>
          </w:p>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（六水氯化镁）</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4080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4080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氯化钙</w:t>
            </w:r>
          </w:p>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（二水氯化钙）</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2640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2640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醋酸钠三水合物</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32080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32080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盐酸</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L）</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192</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192</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注射用水</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适量</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适量</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eastAsia="zh-CN"/>
              </w:rPr>
              <w:t>20ml中硼硅玻璃安瓿</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800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800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同环评一致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bCs w:val="0"/>
                <w:kern w:val="0"/>
                <w:sz w:val="21"/>
                <w:szCs w:val="21"/>
                <w:lang w:val="en-US" w:eastAsia="zh-CN"/>
              </w:rPr>
              <w:t>四、小容量（西林瓶）冻干注射剂产品</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kern w:val="0"/>
                <w:sz w:val="21"/>
                <w:szCs w:val="21"/>
                <w:lang w:val="en-US" w:eastAsia="zh-CN"/>
              </w:rPr>
              <w:t>1、注射用奥美拉唑钠</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奥美拉唑钠</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426</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依地酸二钠</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中硼硅玻璃管制注射剂瓶（10ml无色）</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1000（万支）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1395"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注射用冷冻干燥无菌粉末用卤化丁基橡胶塞（溴化）</w:t>
            </w:r>
          </w:p>
        </w:tc>
        <w:tc>
          <w:tcPr>
            <w:tcW w:w="996" w:type="pct"/>
            <w:tcBorders>
              <w:tl2br w:val="nil"/>
              <w:tr2bl w:val="nil"/>
            </w:tcBorders>
            <w:vAlign w:val="center"/>
          </w:tcPr>
          <w:p>
            <w:pPr>
              <w:keepNext w:val="0"/>
              <w:keepLines w:val="0"/>
              <w:pageBreakBefore w:val="0"/>
              <w:widowControl/>
              <w:suppressLineNumbers w:val="0"/>
              <w:kinsoku/>
              <w:wordWrap/>
              <w:overflowPunct/>
              <w:topLinePunct w:val="0"/>
              <w:bidi w:val="0"/>
              <w:spacing w:line="240" w:lineRule="auto"/>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1000（万支）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0</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未建设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kern w:val="0"/>
                <w:sz w:val="21"/>
                <w:szCs w:val="21"/>
                <w:lang w:val="en-US" w:eastAsia="zh-CN"/>
              </w:rPr>
              <w:t>2、注射用盐酸罗沙替丁醋酸酯</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rPr>
              <w:t>盐酸罗沙替丁醋酸酯</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225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60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本次验收为80万支</w:t>
            </w:r>
            <w:r>
              <w:rPr>
                <w:rFonts w:hint="default" w:ascii="Times New Roman" w:hAnsi="Times New Roman" w:eastAsia="宋体" w:cs="Times New Roman"/>
                <w:color w:val="000000"/>
                <w:spacing w:val="1"/>
                <w:kern w:val="0"/>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rPr>
              <w:t>甘氨酸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225</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60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本次验收为80万支</w:t>
            </w:r>
            <w:r>
              <w:rPr>
                <w:rFonts w:hint="default" w:ascii="Times New Roman" w:hAnsi="Times New Roman" w:eastAsia="宋体" w:cs="Times New Roman"/>
                <w:color w:val="000000"/>
                <w:spacing w:val="1"/>
                <w:kern w:val="0"/>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rPr>
              <w:t>盐酸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适量</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适量</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本次验收为80万支</w:t>
            </w:r>
            <w:r>
              <w:rPr>
                <w:rFonts w:hint="default" w:ascii="Times New Roman" w:hAnsi="Times New Roman" w:eastAsia="宋体" w:cs="Times New Roman"/>
                <w:color w:val="000000"/>
                <w:spacing w:val="1"/>
                <w:kern w:val="0"/>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rPr>
              <w:t>7ml中硼硅玻璃管制注射剂瓶</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300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80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本次验收为80万支</w:t>
            </w:r>
            <w:r>
              <w:rPr>
                <w:rFonts w:hint="default" w:ascii="Times New Roman" w:hAnsi="Times New Roman" w:eastAsia="宋体" w:cs="Times New Roman"/>
                <w:color w:val="000000"/>
                <w:spacing w:val="1"/>
                <w:kern w:val="0"/>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1395" w:type="pct"/>
            <w:tcBorders>
              <w:tl2br w:val="nil"/>
              <w:tr2bl w:val="nil"/>
            </w:tcBorders>
            <w:vAlign w:val="center"/>
          </w:tcPr>
          <w:p>
            <w:pPr>
              <w:keepNext w:val="0"/>
              <w:keepLines w:val="0"/>
              <w:pageBreakBefore w:val="0"/>
              <w:wordWrap/>
              <w:topLinePunct w:val="0"/>
              <w:bidi w:val="0"/>
              <w:spacing w:line="240" w:lineRule="auto"/>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kern w:val="0"/>
                <w:sz w:val="21"/>
                <w:szCs w:val="21"/>
              </w:rPr>
              <w:t>注射用冷冻干燥用覆聚乙烯-四氟乙烯膜氯化丁基橡胶塞</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300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80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本次验收为80万支</w:t>
            </w:r>
            <w:r>
              <w:rPr>
                <w:rFonts w:hint="default" w:ascii="Times New Roman" w:hAnsi="Times New Roman" w:eastAsia="宋体" w:cs="Times New Roman"/>
                <w:color w:val="000000"/>
                <w:spacing w:val="1"/>
                <w:kern w:val="0"/>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kern w:val="0"/>
                <w:sz w:val="21"/>
                <w:szCs w:val="21"/>
              </w:rPr>
              <w:t>抗生素瓶用铝塑组合盖</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300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80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本次验收为80万支</w:t>
            </w:r>
            <w:r>
              <w:rPr>
                <w:rFonts w:hint="default" w:ascii="Times New Roman" w:hAnsi="Times New Roman" w:eastAsia="宋体" w:cs="Times New Roman"/>
                <w:color w:val="000000"/>
                <w:spacing w:val="1"/>
                <w:kern w:val="0"/>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rPr>
              <w:t>盐酸罗沙替丁醋酸酯</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300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000000"/>
                <w:sz w:val="21"/>
                <w:szCs w:val="21"/>
                <w:lang w:val="en-US" w:eastAsia="zh-CN"/>
              </w:rPr>
              <w:t>80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本次验收为80万支</w:t>
            </w:r>
            <w:r>
              <w:rPr>
                <w:rFonts w:hint="default" w:ascii="Times New Roman" w:hAnsi="Times New Roman" w:eastAsia="宋体" w:cs="Times New Roman"/>
                <w:color w:val="000000"/>
                <w:spacing w:val="1"/>
                <w:kern w:val="0"/>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kern w:val="0"/>
                <w:sz w:val="21"/>
                <w:szCs w:val="21"/>
                <w:lang w:val="en-US" w:eastAsia="zh-CN"/>
              </w:rPr>
              <w:t>3、注射用地尔硫卓</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盐酸地尔硫䓬</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30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8</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本次验收为80万支</w:t>
            </w:r>
            <w:r>
              <w:rPr>
                <w:rFonts w:hint="default" w:ascii="Times New Roman" w:hAnsi="Times New Roman" w:eastAsia="宋体" w:cs="Times New Roman"/>
                <w:color w:val="000000"/>
                <w:spacing w:val="1"/>
                <w:kern w:val="0"/>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甘露醇</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210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56</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本次验收为80万支</w:t>
            </w:r>
            <w:r>
              <w:rPr>
                <w:rFonts w:hint="default" w:ascii="Times New Roman" w:hAnsi="Times New Roman" w:eastAsia="宋体" w:cs="Times New Roman"/>
                <w:color w:val="000000"/>
                <w:spacing w:val="1"/>
                <w:kern w:val="0"/>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盐酸</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适量</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适量</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本次验收为80万支</w:t>
            </w:r>
            <w:r>
              <w:rPr>
                <w:rFonts w:hint="default" w:ascii="Times New Roman" w:hAnsi="Times New Roman" w:eastAsia="宋体" w:cs="Times New Roman"/>
                <w:color w:val="000000"/>
                <w:spacing w:val="1"/>
                <w:kern w:val="0"/>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氢氧化钠</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适量</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适量</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本次验收为80万支</w:t>
            </w:r>
            <w:r>
              <w:rPr>
                <w:rFonts w:hint="default" w:ascii="Times New Roman" w:hAnsi="Times New Roman" w:eastAsia="宋体" w:cs="Times New Roman"/>
                <w:color w:val="000000"/>
                <w:spacing w:val="1"/>
                <w:kern w:val="0"/>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中硼硅玻璃管制</w:t>
            </w:r>
          </w:p>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注射剂瓶</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300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80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本次验收为80万支</w:t>
            </w:r>
            <w:r>
              <w:rPr>
                <w:rFonts w:hint="default" w:ascii="Times New Roman" w:hAnsi="Times New Roman" w:eastAsia="宋体" w:cs="Times New Roman"/>
                <w:color w:val="000000"/>
                <w:spacing w:val="1"/>
                <w:kern w:val="0"/>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1395" w:type="pct"/>
            <w:tcBorders>
              <w:tl2br w:val="nil"/>
              <w:tr2bl w:val="nil"/>
            </w:tcBorders>
            <w:vAlign w:val="center"/>
          </w:tcPr>
          <w:p>
            <w:pPr>
              <w:keepNext w:val="0"/>
              <w:keepLines w:val="0"/>
              <w:pageBreakBefore w:val="0"/>
              <w:wordWrap/>
              <w:topLinePunct w:val="0"/>
              <w:bidi w:val="0"/>
              <w:spacing w:line="240" w:lineRule="auto"/>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rPr>
              <w:t>注射用冷冻干燥无菌粉末用卤化丁基橡胶塞（氯化）</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300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80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本次验收为80万支</w:t>
            </w:r>
            <w:r>
              <w:rPr>
                <w:rFonts w:hint="default" w:ascii="Times New Roman" w:hAnsi="Times New Roman" w:eastAsia="宋体" w:cs="Times New Roman"/>
                <w:color w:val="000000"/>
                <w:spacing w:val="1"/>
                <w:kern w:val="0"/>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kern w:val="0"/>
                <w:sz w:val="21"/>
                <w:szCs w:val="21"/>
              </w:rPr>
              <w:t>抗生素瓶用铝塑组合盖</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300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80</w:t>
            </w:r>
            <w:r>
              <w:rPr>
                <w:rFonts w:hint="default" w:ascii="Times New Roman" w:hAnsi="Times New Roman" w:eastAsia="宋体" w:cs="Times New Roman"/>
                <w:i w:val="0"/>
                <w:color w:val="000000"/>
                <w:kern w:val="0"/>
                <w:sz w:val="21"/>
                <w:szCs w:val="21"/>
                <w:u w:val="none"/>
                <w:lang w:val="en-US" w:eastAsia="zh-CN" w:bidi="ar"/>
              </w:rPr>
              <w:t>（万支）</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本次验收为80万支</w:t>
            </w:r>
            <w:r>
              <w:rPr>
                <w:rFonts w:hint="default" w:ascii="Times New Roman" w:hAnsi="Times New Roman" w:eastAsia="宋体" w:cs="Times New Roman"/>
                <w:color w:val="000000"/>
                <w:spacing w:val="1"/>
                <w:kern w:val="0"/>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kern w:val="0"/>
                <w:sz w:val="21"/>
                <w:szCs w:val="21"/>
                <w:lang w:val="en-US" w:eastAsia="zh-CN"/>
              </w:rPr>
              <w:t>消毒</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乙醇</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300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30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-270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rPr>
              <w:t>无菌苯酚溶液</w:t>
            </w:r>
          </w:p>
        </w:tc>
        <w:tc>
          <w:tcPr>
            <w:tcW w:w="996" w:type="pct"/>
            <w:tcBorders>
              <w:tl2br w:val="nil"/>
              <w:tr2bl w:val="nil"/>
            </w:tcBorders>
            <w:vAlign w:val="center"/>
          </w:tcPr>
          <w:p>
            <w:pPr>
              <w:keepNext w:val="0"/>
              <w:keepLines w:val="0"/>
              <w:pageBreakBefore w:val="0"/>
              <w:wordWrap/>
              <w:topLinePunct w:val="0"/>
              <w:bidi w:val="0"/>
              <w:spacing w:line="240" w:lineRule="auto"/>
              <w:jc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color w:val="auto"/>
                <w:sz w:val="21"/>
                <w:szCs w:val="21"/>
                <w:lang w:val="en-US" w:eastAsia="zh-CN"/>
              </w:rPr>
              <w:t>260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pacing w:val="1"/>
                <w:kern w:val="0"/>
                <w:sz w:val="21"/>
                <w:szCs w:val="21"/>
                <w:lang w:val="en-US" w:eastAsia="zh-CN"/>
              </w:rPr>
              <w:t>26kg</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-234</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5"/>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000000"/>
                <w:sz w:val="21"/>
                <w:szCs w:val="21"/>
                <w:lang w:val="en-US" w:eastAsia="zh-CN"/>
              </w:rPr>
              <w:t>能源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395" w:type="pct"/>
            <w:tcBorders>
              <w:tl2br w:val="nil"/>
              <w:tr2bl w:val="nil"/>
            </w:tcBorders>
            <w:vAlign w:val="center"/>
          </w:tcPr>
          <w:p>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kern w:val="2"/>
                <w:sz w:val="21"/>
                <w:szCs w:val="21"/>
                <w:highlight w:val="yellow"/>
                <w:lang w:val="en-US" w:eastAsia="zh-CN" w:bidi="ar-SA"/>
              </w:rPr>
            </w:pPr>
            <w:r>
              <w:rPr>
                <w:rFonts w:hint="default" w:ascii="Times New Roman" w:hAnsi="Times New Roman" w:eastAsia="宋体" w:cs="Times New Roman"/>
                <w:color w:val="auto"/>
                <w:kern w:val="0"/>
                <w:sz w:val="21"/>
                <w:szCs w:val="21"/>
                <w:lang w:val="en-US" w:eastAsia="zh-CN"/>
              </w:rPr>
              <w:t>氮气</w:t>
            </w:r>
          </w:p>
        </w:tc>
        <w:tc>
          <w:tcPr>
            <w:tcW w:w="996" w:type="pct"/>
            <w:tcBorders>
              <w:tl2br w:val="nil"/>
              <w:tr2bl w:val="nil"/>
            </w:tcBorders>
            <w:vAlign w:val="center"/>
          </w:tcPr>
          <w:p>
            <w:pPr>
              <w:pStyle w:val="70"/>
              <w:keepNext w:val="0"/>
              <w:keepLines w:val="0"/>
              <w:pageBreakBefore w:val="0"/>
              <w:kinsoku/>
              <w:wordWrap/>
              <w:overflowPunct/>
              <w:topLinePunct w:val="0"/>
              <w:bidi w:val="0"/>
              <w:spacing w:line="240" w:lineRule="auto"/>
              <w:rPr>
                <w:rFonts w:hint="default" w:ascii="Times New Roman" w:hAnsi="Times New Roman" w:eastAsia="宋体" w:cs="Times New Roman"/>
                <w:spacing w:val="2"/>
                <w:kern w:val="2"/>
                <w:sz w:val="21"/>
                <w:szCs w:val="21"/>
                <w:lang w:val="en-US" w:eastAsia="zh-CN" w:bidi="ar-SA"/>
              </w:rPr>
            </w:pPr>
            <w:r>
              <w:rPr>
                <w:rFonts w:hint="default" w:ascii="Times New Roman" w:hAnsi="Times New Roman" w:eastAsia="宋体" w:cs="Times New Roman"/>
                <w:i w:val="0"/>
                <w:color w:val="000000"/>
                <w:spacing w:val="0"/>
                <w:kern w:val="0"/>
                <w:sz w:val="21"/>
                <w:szCs w:val="21"/>
                <w:u w:val="none"/>
                <w:lang w:val="en-US" w:eastAsia="zh-CN" w:bidi="ar"/>
              </w:rPr>
              <w:t>21416</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2080</w:t>
            </w:r>
            <w:r>
              <w:rPr>
                <w:rFonts w:hint="default" w:ascii="Times New Roman" w:hAnsi="Times New Roman" w:eastAsia="宋体" w:cs="Times New Roman"/>
                <w:color w:val="000000"/>
                <w:spacing w:val="1"/>
                <w:kern w:val="0"/>
                <w:sz w:val="21"/>
                <w:szCs w:val="21"/>
                <w:lang w:val="en-US" w:eastAsia="zh-CN"/>
              </w:rPr>
              <w:t>kg</w:t>
            </w:r>
            <w:r>
              <w:rPr>
                <w:rFonts w:hint="default" w:ascii="Times New Roman" w:hAnsi="Times New Roman" w:eastAsia="宋体" w:cs="Times New Roman"/>
                <w:color w:val="000000"/>
                <w:spacing w:val="1"/>
                <w:kern w:val="0"/>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本次</w:t>
            </w:r>
            <w:r>
              <w:rPr>
                <w:rFonts w:hint="default" w:ascii="Times New Roman" w:hAnsi="Times New Roman" w:eastAsia="宋体" w:cs="Times New Roman"/>
                <w:sz w:val="21"/>
                <w:szCs w:val="21"/>
                <w:lang w:val="en-US" w:eastAsia="zh-CN"/>
              </w:rPr>
              <w:t>验收内容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395" w:type="pct"/>
            <w:tcBorders>
              <w:tl2br w:val="nil"/>
              <w:tr2bl w:val="nil"/>
            </w:tcBorders>
            <w:vAlign w:val="center"/>
          </w:tcPr>
          <w:p>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自来水</w:t>
            </w:r>
          </w:p>
        </w:tc>
        <w:tc>
          <w:tcPr>
            <w:tcW w:w="996" w:type="pct"/>
            <w:tcBorders>
              <w:tl2br w:val="nil"/>
              <w:tr2bl w:val="nil"/>
            </w:tcBorders>
            <w:vAlign w:val="center"/>
          </w:tcPr>
          <w:p>
            <w:pPr>
              <w:pStyle w:val="70"/>
              <w:keepNext w:val="0"/>
              <w:keepLines w:val="0"/>
              <w:pageBreakBefore w:val="0"/>
              <w:kinsoku/>
              <w:wordWrap/>
              <w:overflowPunct/>
              <w:topLinePunct w:val="0"/>
              <w:bidi w:val="0"/>
              <w:spacing w:line="240" w:lineRule="auto"/>
              <w:rPr>
                <w:rFonts w:hint="default" w:ascii="Times New Roman" w:hAnsi="Times New Roman" w:eastAsia="宋体" w:cs="Times New Roman"/>
                <w:color w:val="FF0000"/>
                <w:spacing w:val="2"/>
                <w:kern w:val="2"/>
                <w:sz w:val="21"/>
                <w:szCs w:val="21"/>
                <w:lang w:val="en-US" w:eastAsia="zh-CN" w:bidi="ar-SA"/>
              </w:rPr>
            </w:pPr>
            <w:r>
              <w:rPr>
                <w:rFonts w:hint="default" w:ascii="Times New Roman" w:hAnsi="Times New Roman" w:eastAsia="宋体" w:cs="Times New Roman"/>
                <w:color w:val="auto"/>
                <w:sz w:val="21"/>
                <w:szCs w:val="21"/>
                <w:lang w:val="en-US" w:eastAsia="zh-CN"/>
              </w:rPr>
              <w:t>60192.7</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15542.2</w:t>
            </w:r>
            <w:r>
              <w:rPr>
                <w:rFonts w:hint="default" w:ascii="Times New Roman" w:hAnsi="Times New Roman" w:eastAsia="宋体" w:cs="Times New Roman"/>
                <w:sz w:val="21"/>
                <w:szCs w:val="21"/>
                <w:highlight w:val="none"/>
              </w:rPr>
              <w:t>m</w:t>
            </w:r>
            <w:r>
              <w:rPr>
                <w:rFonts w:hint="default" w:ascii="Times New Roman" w:hAnsi="Times New Roman" w:eastAsia="宋体" w:cs="Times New Roman"/>
                <w:sz w:val="21"/>
                <w:szCs w:val="21"/>
                <w:highlight w:val="none"/>
                <w:vertAlign w:val="superscript"/>
              </w:rPr>
              <w:t>3</w:t>
            </w:r>
            <w:r>
              <w:rPr>
                <w:rFonts w:hint="default" w:ascii="Times New Roman" w:hAnsi="Times New Roman" w:eastAsia="宋体" w:cs="Times New Roman"/>
                <w:sz w:val="21"/>
                <w:szCs w:val="21"/>
                <w:highlight w:val="none"/>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本次</w:t>
            </w:r>
            <w:r>
              <w:rPr>
                <w:rFonts w:hint="default" w:ascii="Times New Roman" w:hAnsi="Times New Roman" w:eastAsia="宋体" w:cs="Times New Roman"/>
                <w:sz w:val="21"/>
                <w:szCs w:val="21"/>
                <w:lang w:val="en-US" w:eastAsia="zh-CN"/>
              </w:rPr>
              <w:t>验收内容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1395" w:type="pct"/>
            <w:tcBorders>
              <w:tl2br w:val="nil"/>
              <w:tr2bl w:val="nil"/>
            </w:tcBorders>
            <w:vAlign w:val="center"/>
          </w:tcPr>
          <w:p>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蒸汽</w:t>
            </w:r>
          </w:p>
        </w:tc>
        <w:tc>
          <w:tcPr>
            <w:tcW w:w="996" w:type="pct"/>
            <w:tcBorders>
              <w:tl2br w:val="nil"/>
              <w:tr2bl w:val="nil"/>
            </w:tcBorders>
            <w:vAlign w:val="center"/>
          </w:tcPr>
          <w:p>
            <w:pPr>
              <w:pStyle w:val="70"/>
              <w:keepNext w:val="0"/>
              <w:keepLines w:val="0"/>
              <w:pageBreakBefore w:val="0"/>
              <w:kinsoku/>
              <w:wordWrap/>
              <w:overflowPunct/>
              <w:topLinePunct w:val="0"/>
              <w:bidi w:val="0"/>
              <w:spacing w:line="240" w:lineRule="auto"/>
              <w:rPr>
                <w:rFonts w:hint="default" w:ascii="Times New Roman" w:hAnsi="Times New Roman" w:eastAsia="宋体" w:cs="Times New Roman"/>
                <w:color w:val="auto"/>
                <w:spacing w:val="2"/>
                <w:kern w:val="2"/>
                <w:sz w:val="21"/>
                <w:szCs w:val="21"/>
                <w:lang w:val="en-US" w:eastAsia="zh-CN" w:bidi="ar-SA"/>
              </w:rPr>
            </w:pPr>
            <w:r>
              <w:rPr>
                <w:rFonts w:hint="default" w:ascii="Times New Roman" w:hAnsi="Times New Roman" w:eastAsia="宋体" w:cs="Times New Roman"/>
                <w:color w:val="auto"/>
                <w:sz w:val="21"/>
                <w:szCs w:val="21"/>
                <w:lang w:val="en-US" w:eastAsia="zh-CN"/>
              </w:rPr>
              <w:t>15000</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/a</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1500</w:t>
            </w:r>
            <w:r>
              <w:rPr>
                <w:rFonts w:hint="default" w:ascii="Times New Roman" w:hAnsi="Times New Roman" w:eastAsia="宋体" w:cs="Times New Roman"/>
                <w:sz w:val="21"/>
                <w:szCs w:val="21"/>
              </w:rPr>
              <w:t>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/a</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本次</w:t>
            </w:r>
            <w:r>
              <w:rPr>
                <w:rFonts w:hint="default" w:ascii="Times New Roman" w:hAnsi="Times New Roman" w:eastAsia="宋体" w:cs="Times New Roman"/>
                <w:sz w:val="21"/>
                <w:szCs w:val="21"/>
                <w:lang w:val="en-US" w:eastAsia="zh-CN"/>
              </w:rPr>
              <w:t>验收内容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40" w:type="pct"/>
            <w:tcBorders>
              <w:tl2br w:val="nil"/>
              <w:tr2bl w:val="nil"/>
            </w:tcBorders>
            <w:vAlign w:val="center"/>
          </w:tcPr>
          <w:p>
            <w:pPr>
              <w:keepNext w:val="0"/>
              <w:keepLines w:val="0"/>
              <w:pageBreakBefore w:val="0"/>
              <w:kinsoku/>
              <w:wordWrap/>
              <w:overflowPunct/>
              <w:topLinePunct w:val="0"/>
              <w:autoSpaceDE/>
              <w:autoSpaceDN/>
              <w:bidi w:val="0"/>
              <w:snapToGrid/>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1395" w:type="pct"/>
            <w:tcBorders>
              <w:tl2br w:val="nil"/>
              <w:tr2bl w:val="nil"/>
            </w:tcBorders>
            <w:vAlign w:val="center"/>
          </w:tcPr>
          <w:p>
            <w:pPr>
              <w:keepNext w:val="0"/>
              <w:keepLines w:val="0"/>
              <w:pageBreakBefore w:val="0"/>
              <w:kinsoku/>
              <w:wordWrap/>
              <w:overflowPunct/>
              <w:topLinePunct w:val="0"/>
              <w:bidi w:val="0"/>
              <w:adjustRightInd w:val="0"/>
              <w:snapToGrid w:val="0"/>
              <w:spacing w:line="240" w:lineRule="auto"/>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rPr>
              <w:t>电</w:t>
            </w:r>
          </w:p>
        </w:tc>
        <w:tc>
          <w:tcPr>
            <w:tcW w:w="996" w:type="pct"/>
            <w:tcBorders>
              <w:tl2br w:val="nil"/>
              <w:tr2bl w:val="nil"/>
            </w:tcBorders>
            <w:vAlign w:val="center"/>
          </w:tcPr>
          <w:p>
            <w:pPr>
              <w:pStyle w:val="70"/>
              <w:keepNext w:val="0"/>
              <w:keepLines w:val="0"/>
              <w:pageBreakBefore w:val="0"/>
              <w:kinsoku/>
              <w:wordWrap/>
              <w:overflowPunct/>
              <w:topLinePunct w:val="0"/>
              <w:bidi w:val="0"/>
              <w:spacing w:line="240" w:lineRule="auto"/>
              <w:rPr>
                <w:rFonts w:hint="default" w:ascii="Times New Roman" w:hAnsi="Times New Roman" w:eastAsia="宋体" w:cs="Times New Roman"/>
                <w:spacing w:val="2"/>
                <w:kern w:val="2"/>
                <w:sz w:val="21"/>
                <w:szCs w:val="21"/>
                <w:lang w:val="en-US" w:eastAsia="zh-CN" w:bidi="ar-SA"/>
              </w:rPr>
            </w:pPr>
            <w:r>
              <w:rPr>
                <w:rFonts w:hint="default" w:ascii="Times New Roman" w:hAnsi="Times New Roman" w:eastAsia="宋体" w:cs="Times New Roman"/>
                <w:sz w:val="21"/>
                <w:szCs w:val="21"/>
                <w:lang w:val="en-US" w:eastAsia="zh-CN"/>
              </w:rPr>
              <w:t>27.5</w:t>
            </w:r>
            <w:r>
              <w:rPr>
                <w:rFonts w:hint="default" w:ascii="Times New Roman" w:hAnsi="Times New Roman" w:eastAsia="宋体" w:cs="Times New Roman"/>
                <w:sz w:val="21"/>
                <w:szCs w:val="21"/>
              </w:rPr>
              <w:t>万kw·</w:t>
            </w:r>
            <w:r>
              <w:rPr>
                <w:rFonts w:hint="default" w:ascii="Times New Roman" w:hAnsi="Times New Roman" w:eastAsia="宋体" w:cs="Times New Roman"/>
                <w:sz w:val="21"/>
                <w:szCs w:val="21"/>
                <w:lang w:val="en-US" w:eastAsia="zh-CN"/>
              </w:rPr>
              <w:t>h</w:t>
            </w:r>
          </w:p>
        </w:tc>
        <w:tc>
          <w:tcPr>
            <w:tcW w:w="636" w:type="pct"/>
            <w:tcBorders>
              <w:tl2br w:val="nil"/>
              <w:tr2bl w:val="nil"/>
            </w:tcBorders>
            <w:vAlign w:val="center"/>
          </w:tcPr>
          <w:p>
            <w:pPr>
              <w:keepNext w:val="0"/>
              <w:keepLines w:val="0"/>
              <w:pageBreakBefore w:val="0"/>
              <w:widowControl w:val="0"/>
              <w:kinsoku w:val="0"/>
              <w:wordWrap/>
              <w:overflowPunct w:val="0"/>
              <w:topLinePunct w:val="0"/>
              <w:autoSpaceDE w:val="0"/>
              <w:autoSpaceDN w:val="0"/>
              <w:bidi w:val="0"/>
              <w:adjustRightInd w:val="0"/>
              <w:snapToGrid w:val="0"/>
              <w:spacing w:line="240" w:lineRule="auto"/>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3.5</w:t>
            </w:r>
            <w:r>
              <w:rPr>
                <w:rFonts w:hint="default" w:ascii="Times New Roman" w:hAnsi="Times New Roman" w:eastAsia="宋体" w:cs="Times New Roman"/>
                <w:sz w:val="21"/>
                <w:szCs w:val="21"/>
              </w:rPr>
              <w:t>万kw·</w:t>
            </w:r>
            <w:r>
              <w:rPr>
                <w:rFonts w:hint="default" w:ascii="Times New Roman" w:hAnsi="Times New Roman" w:eastAsia="宋体" w:cs="Times New Roman"/>
                <w:sz w:val="21"/>
                <w:szCs w:val="21"/>
                <w:lang w:val="en-US" w:eastAsia="zh-CN"/>
              </w:rPr>
              <w:t>h</w:t>
            </w:r>
          </w:p>
        </w:tc>
        <w:tc>
          <w:tcPr>
            <w:tcW w:w="1632" w:type="pct"/>
            <w:tcBorders>
              <w:tl2br w:val="nil"/>
              <w:tr2bl w:val="nil"/>
            </w:tcBorders>
            <w:vAlign w:val="center"/>
          </w:tcPr>
          <w:p>
            <w:pPr>
              <w:keepNext w:val="0"/>
              <w:keepLines w:val="0"/>
              <w:pageBreakBefore w:val="0"/>
              <w:kinsoku/>
              <w:wordWrap/>
              <w:overflowPunct/>
              <w:topLinePunct w:val="0"/>
              <w:autoSpaceDE/>
              <w:autoSpaceDN/>
              <w:bidi w:val="0"/>
              <w:adjustRightInd w:val="0"/>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本次</w:t>
            </w:r>
            <w:r>
              <w:rPr>
                <w:rFonts w:hint="default" w:ascii="Times New Roman" w:hAnsi="Times New Roman" w:eastAsia="宋体" w:cs="Times New Roman"/>
                <w:sz w:val="21"/>
                <w:szCs w:val="21"/>
                <w:lang w:val="en-US" w:eastAsia="zh-CN"/>
              </w:rPr>
              <w:t>验收内容</w:t>
            </w:r>
          </w:p>
        </w:tc>
      </w:tr>
      <w:bookmarkEnd w:id="24"/>
    </w:tbl>
    <w:p>
      <w:pPr>
        <w:spacing w:line="360" w:lineRule="auto"/>
        <w:ind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该项目主要生产设备及环保设施详见表3-4。</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rPr>
      </w:pPr>
      <w:bookmarkStart w:id="25" w:name="_Toc1336"/>
      <w:r>
        <w:rPr>
          <w:rFonts w:hint="default" w:ascii="Times New Roman" w:hAnsi="Times New Roman" w:eastAsia="宋体" w:cs="Times New Roman"/>
          <w:b/>
          <w:sz w:val="21"/>
          <w:szCs w:val="21"/>
        </w:rPr>
        <w:t>表3-4  项目主要生产设备及环保设施一览表</w:t>
      </w:r>
      <w:bookmarkEnd w:id="25"/>
    </w:p>
    <w:tbl>
      <w:tblPr>
        <w:tblStyle w:val="25"/>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707"/>
        <w:gridCol w:w="1796"/>
        <w:gridCol w:w="1152"/>
        <w:gridCol w:w="1021"/>
        <w:gridCol w:w="1487"/>
        <w:gridCol w:w="235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bidi w:val="0"/>
              <w:spacing w:line="240" w:lineRule="auto"/>
              <w:ind w:left="0" w:firstLine="0" w:firstLineChars="0"/>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序号</w:t>
            </w:r>
          </w:p>
        </w:tc>
        <w:tc>
          <w:tcPr>
            <w:tcW w:w="1054" w:type="pct"/>
            <w:tcBorders>
              <w:tl2br w:val="nil"/>
              <w:tr2bl w:val="nil"/>
            </w:tcBorders>
            <w:noWrap w:val="0"/>
            <w:vAlign w:val="center"/>
          </w:tcPr>
          <w:p>
            <w:pPr>
              <w:keepNext w:val="0"/>
              <w:keepLines w:val="0"/>
              <w:pageBreakBefore w:val="0"/>
              <w:kinsoku/>
              <w:wordWrap/>
              <w:overflowPunct/>
              <w:topLinePunct w:val="0"/>
              <w:bidi w:val="0"/>
              <w:spacing w:line="240" w:lineRule="auto"/>
              <w:ind w:left="0" w:firstLine="0" w:firstLineChars="0"/>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设备名称</w:t>
            </w:r>
          </w:p>
        </w:tc>
        <w:tc>
          <w:tcPr>
            <w:tcW w:w="676" w:type="pct"/>
            <w:tcBorders>
              <w:tl2br w:val="nil"/>
              <w:tr2bl w:val="nil"/>
            </w:tcBorders>
            <w:noWrap w:val="0"/>
            <w:vAlign w:val="center"/>
          </w:tcPr>
          <w:p>
            <w:pPr>
              <w:keepNext w:val="0"/>
              <w:keepLines w:val="0"/>
              <w:pageBreakBefore w:val="0"/>
              <w:kinsoku/>
              <w:wordWrap/>
              <w:overflowPunct/>
              <w:topLinePunct w:val="0"/>
              <w:autoSpaceDE/>
              <w:autoSpaceDN/>
              <w:bidi w:val="0"/>
              <w:jc w:val="center"/>
              <w:textAlignment w:val="auto"/>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sz w:val="21"/>
                <w:szCs w:val="21"/>
              </w:rPr>
              <w:t>环评数量（台/套）</w:t>
            </w:r>
          </w:p>
        </w:tc>
        <w:tc>
          <w:tcPr>
            <w:tcW w:w="599" w:type="pct"/>
            <w:tcBorders>
              <w:tl2br w:val="nil"/>
              <w:tr2bl w:val="nil"/>
            </w:tcBorders>
            <w:noWrap w:val="0"/>
            <w:vAlign w:val="center"/>
          </w:tcPr>
          <w:p>
            <w:pPr>
              <w:keepNext w:val="0"/>
              <w:keepLines w:val="0"/>
              <w:pageBreakBefore w:val="0"/>
              <w:kinsoku/>
              <w:wordWrap/>
              <w:overflowPunct/>
              <w:topLinePunct w:val="0"/>
              <w:autoSpaceDE/>
              <w:autoSpaceDN/>
              <w:bidi w:val="0"/>
              <w:jc w:val="center"/>
              <w:textAlignment w:val="auto"/>
              <w:rPr>
                <w:rFonts w:hint="default" w:ascii="Times New Roman" w:hAnsi="Times New Roman" w:eastAsia="宋体" w:cs="Times New Roman"/>
                <w:b/>
                <w:color w:val="auto"/>
                <w:kern w:val="2"/>
                <w:sz w:val="21"/>
                <w:szCs w:val="21"/>
                <w:lang w:val="en-US" w:eastAsia="zh-CN" w:bidi="ar-SA"/>
              </w:rPr>
            </w:pPr>
            <w:r>
              <w:rPr>
                <w:rFonts w:hint="default" w:ascii="Times New Roman" w:hAnsi="Times New Roman" w:eastAsia="宋体" w:cs="Times New Roman"/>
                <w:b/>
                <w:color w:val="auto"/>
                <w:sz w:val="21"/>
                <w:szCs w:val="21"/>
              </w:rPr>
              <w:t>实际数（台/套）</w:t>
            </w:r>
          </w:p>
        </w:tc>
        <w:tc>
          <w:tcPr>
            <w:tcW w:w="873" w:type="pct"/>
            <w:tcBorders>
              <w:tl2br w:val="nil"/>
              <w:tr2bl w:val="nil"/>
            </w:tcBorders>
            <w:noWrap w:val="0"/>
            <w:vAlign w:val="center"/>
          </w:tcPr>
          <w:p>
            <w:pPr>
              <w:keepNext w:val="0"/>
              <w:keepLines w:val="0"/>
              <w:pageBreakBefore w:val="0"/>
              <w:kinsoku/>
              <w:wordWrap/>
              <w:overflowPunct/>
              <w:topLinePunct w:val="0"/>
              <w:bidi w:val="0"/>
              <w:spacing w:line="240" w:lineRule="auto"/>
              <w:ind w:left="0" w:firstLine="0" w:firstLineChars="0"/>
              <w:jc w:val="center"/>
              <w:rPr>
                <w:rFonts w:hint="default" w:ascii="Times New Roman" w:hAnsi="Times New Roman" w:eastAsia="宋体" w:cs="Times New Roman"/>
                <w:b/>
                <w:color w:val="000000"/>
                <w:sz w:val="21"/>
                <w:szCs w:val="21"/>
                <w:lang w:val="en-US" w:eastAsia="zh-CN"/>
              </w:rPr>
            </w:pPr>
            <w:r>
              <w:rPr>
                <w:rFonts w:hint="eastAsia" w:ascii="Times New Roman" w:hAnsi="Times New Roman" w:eastAsia="宋体" w:cs="Times New Roman"/>
                <w:b/>
                <w:color w:val="000000"/>
                <w:sz w:val="21"/>
                <w:szCs w:val="21"/>
                <w:lang w:val="en-US" w:eastAsia="zh-CN"/>
              </w:rPr>
              <w:t>变化情况</w:t>
            </w:r>
          </w:p>
        </w:tc>
        <w:tc>
          <w:tcPr>
            <w:tcW w:w="1381" w:type="pct"/>
            <w:tcBorders>
              <w:tl2br w:val="nil"/>
              <w:tr2bl w:val="nil"/>
            </w:tcBorders>
            <w:noWrap w:val="0"/>
            <w:vAlign w:val="center"/>
          </w:tcPr>
          <w:p>
            <w:pPr>
              <w:keepNext w:val="0"/>
              <w:keepLines w:val="0"/>
              <w:pageBreakBefore w:val="0"/>
              <w:kinsoku/>
              <w:wordWrap/>
              <w:overflowPunct/>
              <w:topLinePunct w:val="0"/>
              <w:bidi w:val="0"/>
              <w:spacing w:line="240" w:lineRule="auto"/>
              <w:ind w:left="0" w:firstLine="0" w:firstLineChars="0"/>
              <w:jc w:val="center"/>
              <w:rPr>
                <w:rFonts w:hint="default" w:ascii="Times New Roman" w:hAnsi="Times New Roman" w:eastAsia="宋体" w:cs="Times New Roman"/>
                <w:b/>
                <w:color w:val="000000"/>
                <w:sz w:val="21"/>
                <w:szCs w:val="21"/>
              </w:rPr>
            </w:pPr>
            <w:r>
              <w:rPr>
                <w:rFonts w:hint="default" w:ascii="Times New Roman" w:hAnsi="Times New Roman" w:eastAsia="宋体" w:cs="Times New Roman"/>
                <w:b/>
                <w:color w:val="000000"/>
                <w:sz w:val="21"/>
                <w:szCs w:val="21"/>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6"/>
            <w:tcBorders>
              <w:tl2br w:val="nil"/>
              <w:tr2bl w:val="nil"/>
            </w:tcBorders>
            <w:noWrap w:val="0"/>
            <w:vAlign w:val="center"/>
          </w:tcPr>
          <w:p>
            <w:pPr>
              <w:keepNext w:val="0"/>
              <w:keepLines w:val="0"/>
              <w:pageBreakBefore w:val="0"/>
              <w:kinsoku/>
              <w:wordWrap/>
              <w:overflowPunct/>
              <w:topLinePunct w:val="0"/>
              <w:bidi w:val="0"/>
              <w:spacing w:line="240" w:lineRule="auto"/>
              <w:ind w:left="0" w:firstLine="0" w:firstLineChars="0"/>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lang w:val="en-US" w:eastAsia="zh-CN"/>
              </w:rPr>
              <w:t>大容量（软袋）注射剂产品主要设备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b/>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软袋配液系统</w:t>
            </w:r>
          </w:p>
        </w:tc>
        <w:tc>
          <w:tcPr>
            <w:tcW w:w="676" w:type="pct"/>
            <w:tcBorders>
              <w:tl2br w:val="nil"/>
              <w:tr2bl w:val="nil"/>
            </w:tcBorders>
            <w:noWrap w:val="0"/>
            <w:vAlign w:val="center"/>
          </w:tcPr>
          <w:p>
            <w:pPr>
              <w:keepNext w:val="0"/>
              <w:keepLines w:val="0"/>
              <w:pageBreakBefore w:val="0"/>
              <w:kinsoku/>
              <w:wordWrap/>
              <w:overflowPunct/>
              <w:topLinePunct w:val="0"/>
              <w:bidi w:val="0"/>
              <w:spacing w:line="240" w:lineRule="auto"/>
              <w:ind w:left="0" w:leftChars="0" w:firstLine="0" w:firstLineChars="0"/>
              <w:jc w:val="center"/>
              <w:rPr>
                <w:rFonts w:hint="default" w:ascii="Times New Roman" w:hAnsi="Times New Roman" w:eastAsia="宋体" w:cs="Times New Roman"/>
                <w:color w:val="000000"/>
                <w:kern w:val="1"/>
                <w:sz w:val="21"/>
                <w:szCs w:val="21"/>
                <w:lang w:val="en-US" w:eastAsia="zh-CN" w:bidi="ar-SA"/>
              </w:rPr>
            </w:pPr>
            <w:r>
              <w:rPr>
                <w:rFonts w:hint="default" w:ascii="Times New Roman" w:hAnsi="Times New Roman" w:eastAsia="宋体" w:cs="Times New Roman"/>
                <w:color w:val="000000"/>
                <w:kern w:val="1"/>
                <w:sz w:val="21"/>
                <w:szCs w:val="21"/>
                <w:lang w:val="en-US" w:eastAsia="zh-CN"/>
              </w:rPr>
              <w:t>4</w:t>
            </w:r>
          </w:p>
        </w:tc>
        <w:tc>
          <w:tcPr>
            <w:tcW w:w="599" w:type="pct"/>
            <w:tcBorders>
              <w:tl2br w:val="nil"/>
              <w:tr2bl w:val="nil"/>
            </w:tcBorders>
            <w:noWrap w:val="0"/>
            <w:vAlign w:val="center"/>
          </w:tcPr>
          <w:p>
            <w:pPr>
              <w:keepNext w:val="0"/>
              <w:keepLines w:val="0"/>
              <w:pageBreakBefore w:val="0"/>
              <w:kinsoku/>
              <w:wordWrap/>
              <w:overflowPunct/>
              <w:topLinePunct w:val="0"/>
              <w:bidi w:val="0"/>
              <w:spacing w:line="240" w:lineRule="auto"/>
              <w:ind w:left="0" w:leftChars="0" w:firstLine="0" w:firstLineChars="0"/>
              <w:jc w:val="center"/>
              <w:rPr>
                <w:rFonts w:hint="default" w:ascii="Times New Roman" w:hAnsi="Times New Roman" w:eastAsia="宋体" w:cs="Times New Roman"/>
                <w:color w:val="000000"/>
                <w:kern w:val="1"/>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1"/>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b/>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10T/h</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2</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非PVC制袋灌封一体机</w:t>
            </w:r>
          </w:p>
        </w:tc>
        <w:tc>
          <w:tcPr>
            <w:tcW w:w="676"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4</w:t>
            </w:r>
          </w:p>
        </w:tc>
        <w:tc>
          <w:tcPr>
            <w:tcW w:w="599"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1"/>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sz w:val="21"/>
                <w:szCs w:val="21"/>
                <w:lang w:val="en-US" w:eastAsia="zh-CN"/>
              </w:rPr>
              <w:t>5500袋/h</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3</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水浴式灭菌柜</w:t>
            </w:r>
          </w:p>
        </w:tc>
        <w:tc>
          <w:tcPr>
            <w:tcW w:w="676"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1"/>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12000袋/柜</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4</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软袋烘干机</w:t>
            </w:r>
          </w:p>
        </w:tc>
        <w:tc>
          <w:tcPr>
            <w:tcW w:w="676"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1"/>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6000袋/h</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软袋灯检机</w:t>
            </w:r>
          </w:p>
        </w:tc>
        <w:tc>
          <w:tcPr>
            <w:tcW w:w="676"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1"/>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6000袋/h</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6</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软袋枕式包装机</w:t>
            </w:r>
          </w:p>
        </w:tc>
        <w:tc>
          <w:tcPr>
            <w:tcW w:w="676"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1"/>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6000袋/h</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7</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装箱一体机</w:t>
            </w:r>
          </w:p>
        </w:tc>
        <w:tc>
          <w:tcPr>
            <w:tcW w:w="676"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1"/>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6000袋/h</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6"/>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firstLine="0" w:firstLineChars="0"/>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lang w:val="en-US" w:eastAsia="zh-CN"/>
              </w:rPr>
              <w:t>大容量（</w:t>
            </w:r>
            <w:r>
              <w:rPr>
                <w:rFonts w:hint="eastAsia" w:ascii="Times New Roman" w:hAnsi="Times New Roman" w:eastAsia="宋体" w:cs="Times New Roman"/>
                <w:b/>
                <w:bCs/>
                <w:color w:val="000000"/>
                <w:sz w:val="21"/>
                <w:szCs w:val="21"/>
                <w:lang w:val="en-US" w:eastAsia="zh-CN"/>
              </w:rPr>
              <w:t>玻璃瓶</w:t>
            </w:r>
            <w:r>
              <w:rPr>
                <w:rFonts w:hint="default" w:ascii="Times New Roman" w:hAnsi="Times New Roman" w:eastAsia="宋体" w:cs="Times New Roman"/>
                <w:b/>
                <w:bCs/>
                <w:color w:val="000000"/>
                <w:sz w:val="21"/>
                <w:szCs w:val="21"/>
                <w:lang w:val="en-US" w:eastAsia="zh-CN"/>
              </w:rPr>
              <w:t>）注射剂产品主要设备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玻璃瓶</w:t>
            </w:r>
            <w:r>
              <w:rPr>
                <w:rFonts w:hint="default" w:ascii="Times New Roman" w:hAnsi="Times New Roman" w:eastAsia="宋体" w:cs="Times New Roman"/>
                <w:color w:val="000000"/>
                <w:sz w:val="21"/>
                <w:szCs w:val="21"/>
                <w:lang w:val="en-US" w:eastAsia="zh-CN"/>
              </w:rPr>
              <w:t>配液系统</w:t>
            </w:r>
          </w:p>
        </w:tc>
        <w:tc>
          <w:tcPr>
            <w:tcW w:w="676"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10T/h</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2</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1"/>
                <w:sz w:val="21"/>
                <w:szCs w:val="21"/>
                <w:lang w:val="en-US" w:eastAsia="zh-CN" w:bidi="ar-SA"/>
              </w:rPr>
            </w:pPr>
            <w:r>
              <w:rPr>
                <w:rFonts w:hint="default" w:ascii="Times New Roman" w:hAnsi="Times New Roman" w:eastAsia="宋体" w:cs="Times New Roman"/>
                <w:color w:val="000000"/>
                <w:sz w:val="21"/>
                <w:szCs w:val="21"/>
                <w:lang w:val="en-US" w:eastAsia="zh-CN"/>
              </w:rPr>
              <w:t>超声波粗洗机</w:t>
            </w:r>
          </w:p>
        </w:tc>
        <w:tc>
          <w:tcPr>
            <w:tcW w:w="676"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180~300瓶/分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3</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1"/>
                <w:sz w:val="21"/>
                <w:szCs w:val="21"/>
                <w:lang w:val="en-US" w:eastAsia="zh-CN" w:bidi="ar-SA"/>
              </w:rPr>
            </w:pPr>
            <w:r>
              <w:rPr>
                <w:rFonts w:hint="default" w:ascii="Times New Roman" w:hAnsi="Times New Roman" w:eastAsia="宋体" w:cs="Times New Roman"/>
                <w:color w:val="000000"/>
                <w:sz w:val="21"/>
                <w:szCs w:val="21"/>
                <w:lang w:val="en-US" w:eastAsia="zh-CN"/>
              </w:rPr>
              <w:t>精洗机</w:t>
            </w:r>
          </w:p>
        </w:tc>
        <w:tc>
          <w:tcPr>
            <w:tcW w:w="676"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180~300瓶/分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1"/>
                <w:sz w:val="21"/>
                <w:szCs w:val="21"/>
                <w:lang w:val="en-US" w:eastAsia="zh-CN" w:bidi="ar-SA"/>
              </w:rPr>
            </w:pPr>
            <w:r>
              <w:rPr>
                <w:rFonts w:hint="default" w:ascii="Times New Roman" w:hAnsi="Times New Roman" w:eastAsia="宋体" w:cs="Times New Roman"/>
                <w:color w:val="000000"/>
                <w:sz w:val="21"/>
                <w:szCs w:val="21"/>
                <w:lang w:val="en-US" w:eastAsia="zh-CN"/>
              </w:rPr>
              <w:t>旋转式灌装充氮压塞机</w:t>
            </w:r>
          </w:p>
        </w:tc>
        <w:tc>
          <w:tcPr>
            <w:tcW w:w="676"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200~350瓶/分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1"/>
                <w:sz w:val="21"/>
                <w:szCs w:val="21"/>
                <w:lang w:val="en-US" w:eastAsia="zh-CN" w:bidi="ar-SA"/>
              </w:rPr>
            </w:pPr>
            <w:r>
              <w:rPr>
                <w:rFonts w:hint="default" w:ascii="Times New Roman" w:hAnsi="Times New Roman" w:eastAsia="宋体" w:cs="Times New Roman"/>
                <w:color w:val="000000"/>
                <w:sz w:val="21"/>
                <w:szCs w:val="21"/>
                <w:lang w:val="en-US" w:eastAsia="zh-CN"/>
              </w:rPr>
              <w:t>轧盖机</w:t>
            </w:r>
          </w:p>
        </w:tc>
        <w:tc>
          <w:tcPr>
            <w:tcW w:w="676"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200~450瓶/分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6</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1"/>
                <w:sz w:val="21"/>
                <w:szCs w:val="21"/>
                <w:lang w:val="en-US" w:eastAsia="zh-CN" w:bidi="ar-SA"/>
              </w:rPr>
            </w:pPr>
            <w:r>
              <w:rPr>
                <w:rFonts w:hint="default" w:ascii="Times New Roman" w:hAnsi="Times New Roman" w:eastAsia="宋体" w:cs="Times New Roman"/>
                <w:color w:val="000000"/>
                <w:sz w:val="21"/>
                <w:szCs w:val="21"/>
                <w:lang w:val="en-US" w:eastAsia="zh-CN"/>
              </w:rPr>
              <w:t>水浴式灭菌柜</w:t>
            </w:r>
          </w:p>
        </w:tc>
        <w:tc>
          <w:tcPr>
            <w:tcW w:w="676"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8</w:t>
            </w:r>
          </w:p>
        </w:tc>
        <w:tc>
          <w:tcPr>
            <w:tcW w:w="599"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7200瓶/柜</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7</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1"/>
                <w:sz w:val="21"/>
                <w:szCs w:val="21"/>
                <w:lang w:val="en-US" w:eastAsia="zh-CN" w:bidi="ar-SA"/>
              </w:rPr>
            </w:pPr>
            <w:r>
              <w:rPr>
                <w:rFonts w:hint="default" w:ascii="Times New Roman" w:hAnsi="Times New Roman" w:eastAsia="宋体" w:cs="Times New Roman"/>
                <w:color w:val="000000"/>
                <w:sz w:val="21"/>
                <w:szCs w:val="21"/>
                <w:lang w:val="en-US" w:eastAsia="zh-CN"/>
              </w:rPr>
              <w:t>干燥机</w:t>
            </w:r>
          </w:p>
        </w:tc>
        <w:tc>
          <w:tcPr>
            <w:tcW w:w="676"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180~350瓶/分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8</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1"/>
                <w:sz w:val="21"/>
                <w:szCs w:val="21"/>
                <w:lang w:val="en-US" w:eastAsia="zh-CN" w:bidi="ar-SA"/>
              </w:rPr>
            </w:pPr>
            <w:r>
              <w:rPr>
                <w:rFonts w:hint="default" w:ascii="Times New Roman" w:hAnsi="Times New Roman" w:eastAsia="宋体" w:cs="Times New Roman"/>
                <w:color w:val="000000"/>
                <w:sz w:val="21"/>
                <w:szCs w:val="21"/>
                <w:lang w:val="en-US" w:eastAsia="zh-CN"/>
              </w:rPr>
              <w:t>全自动灯检机</w:t>
            </w:r>
          </w:p>
        </w:tc>
        <w:tc>
          <w:tcPr>
            <w:tcW w:w="676"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180~350瓶/分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9</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1"/>
                <w:sz w:val="21"/>
                <w:szCs w:val="21"/>
                <w:lang w:val="en-US" w:eastAsia="zh-CN" w:bidi="ar-SA"/>
              </w:rPr>
            </w:pPr>
            <w:r>
              <w:rPr>
                <w:rFonts w:hint="default" w:ascii="Times New Roman" w:hAnsi="Times New Roman" w:eastAsia="宋体" w:cs="Times New Roman"/>
                <w:color w:val="000000"/>
                <w:sz w:val="21"/>
                <w:szCs w:val="21"/>
                <w:lang w:val="en-US" w:eastAsia="zh-CN"/>
              </w:rPr>
              <w:t>贴标机</w:t>
            </w:r>
          </w:p>
        </w:tc>
        <w:tc>
          <w:tcPr>
            <w:tcW w:w="676"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180~350瓶/分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10</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装箱机</w:t>
            </w:r>
          </w:p>
        </w:tc>
        <w:tc>
          <w:tcPr>
            <w:tcW w:w="676"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widowControl/>
              <w:kinsoku/>
              <w:wordWrap/>
              <w:overflowPunct/>
              <w:topLinePunct w:val="0"/>
              <w:bidi w:val="0"/>
              <w:spacing w:line="240" w:lineRule="auto"/>
              <w:ind w:left="0" w:leftChars="0" w:firstLine="0" w:firstLineChars="0"/>
              <w:jc w:val="center"/>
              <w:textAlignment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1"/>
                <w:sz w:val="21"/>
                <w:szCs w:val="21"/>
                <w:lang w:val="en-US" w:eastAsia="zh-CN" w:bidi="ar-SA"/>
              </w:rPr>
              <w:t>0</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lang w:val="en-US" w:eastAsia="zh-CN"/>
              </w:rPr>
              <w:t>未建设</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180~350瓶/分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6"/>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firstLine="0" w:firstLineChars="0"/>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lang w:val="en-US" w:eastAsia="zh-CN"/>
              </w:rPr>
              <w:t>小容量（西林瓶）冻干注射剂产品主要设备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s="Times New Roman"/>
                <w:color w:val="000000"/>
                <w:sz w:val="21"/>
                <w:szCs w:val="21"/>
                <w:lang w:val="en-US" w:eastAsia="zh-CN"/>
              </w:rPr>
            </w:pPr>
            <w:r>
              <w:rPr>
                <w:rFonts w:hint="default" w:ascii="Times New Roman" w:hAnsi="Times New Roman" w:eastAsia="宋体" w:cs="Times New Roman"/>
                <w:color w:val="000000"/>
                <w:sz w:val="21"/>
                <w:szCs w:val="21"/>
              </w:rPr>
              <w:t>1</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小容量配液系统</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-3</w:t>
            </w:r>
          </w:p>
        </w:tc>
        <w:tc>
          <w:tcPr>
            <w:tcW w:w="1381"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3T/h</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s="Times New Roman"/>
                <w:color w:val="000000"/>
                <w:sz w:val="21"/>
                <w:szCs w:val="21"/>
                <w:lang w:val="en-US" w:eastAsia="zh-CN"/>
              </w:rPr>
            </w:pPr>
            <w:r>
              <w:rPr>
                <w:rFonts w:hint="default" w:ascii="Times New Roman" w:hAnsi="Times New Roman" w:eastAsia="宋体" w:cs="Times New Roman"/>
                <w:color w:val="000000"/>
                <w:sz w:val="21"/>
                <w:szCs w:val="21"/>
              </w:rPr>
              <w:t>2</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立式超声波洗瓶机</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-3</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180~300瓶/分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3</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隧道式灭菌干燥器</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-3</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180~300瓶/分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灌装加塞机</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-3</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200~350瓶/分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5</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轧盖机</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-3</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200~450瓶/分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6</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真空冷冻干燥机</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-3</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100000瓶/柜</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7</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全自动清洗干燥机</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5</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-4</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180~350瓶/分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8</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全自动灯检机</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5</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-4</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180~350瓶/分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9</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全自动包装线</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1</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0</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kern w:val="2"/>
                <w:sz w:val="21"/>
                <w:szCs w:val="21"/>
                <w:lang w:val="en-US" w:eastAsia="zh-CN" w:bidi="ar-SA"/>
              </w:rPr>
              <w:t>180~350瓶/分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6"/>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firstLine="0" w:firstLineChars="0"/>
              <w:jc w:val="center"/>
              <w:rPr>
                <w:rFonts w:hint="default" w:ascii="Times New Roman" w:hAnsi="Times New Roman" w:eastAsia="宋体" w:cs="Times New Roman"/>
                <w:b/>
                <w:bCs/>
                <w:color w:val="000000"/>
                <w:sz w:val="21"/>
                <w:szCs w:val="21"/>
                <w:lang w:val="en-US" w:eastAsia="zh-CN"/>
              </w:rPr>
            </w:pPr>
            <w:r>
              <w:rPr>
                <w:rFonts w:hint="default" w:ascii="Times New Roman" w:hAnsi="Times New Roman" w:eastAsia="宋体" w:cs="Times New Roman"/>
                <w:b/>
                <w:bCs/>
                <w:color w:val="000000"/>
                <w:sz w:val="21"/>
                <w:szCs w:val="21"/>
                <w:lang w:val="en-US" w:eastAsia="zh-CN"/>
              </w:rPr>
              <w:t>小容量（安瓿瓶）注射剂产品主要设备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s="Times New Roman"/>
                <w:color w:val="000000"/>
                <w:sz w:val="21"/>
                <w:szCs w:val="21"/>
                <w:lang w:val="en-US" w:eastAsia="zh-CN"/>
              </w:rPr>
            </w:pPr>
            <w:r>
              <w:rPr>
                <w:rFonts w:hint="default" w:ascii="Times New Roman" w:hAnsi="Times New Roman" w:eastAsia="宋体" w:cs="Times New Roman"/>
                <w:color w:val="000000"/>
                <w:sz w:val="21"/>
                <w:szCs w:val="21"/>
              </w:rPr>
              <w:t>1</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小容量配液系统</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9</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-8</w:t>
            </w:r>
          </w:p>
        </w:tc>
        <w:tc>
          <w:tcPr>
            <w:tcW w:w="1381"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3T/h</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s="Times New Roman"/>
                <w:color w:val="000000"/>
                <w:sz w:val="21"/>
                <w:szCs w:val="21"/>
                <w:lang w:val="en-US" w:eastAsia="zh-CN"/>
              </w:rPr>
            </w:pPr>
            <w:r>
              <w:rPr>
                <w:rFonts w:hint="default" w:ascii="Times New Roman" w:hAnsi="Times New Roman" w:eastAsia="宋体" w:cs="Times New Roman"/>
                <w:color w:val="000000"/>
                <w:sz w:val="21"/>
                <w:szCs w:val="21"/>
              </w:rPr>
              <w:t>2</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立式超声波洗瓶机</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9</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-8</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180~300瓶/分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3</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隧道式灭菌干燥器</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9</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-8</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180~300瓶/分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4</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拉丝灌封机</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9</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cs="Times New Roman"/>
                <w:color w:val="000000"/>
                <w:kern w:val="2"/>
                <w:sz w:val="21"/>
                <w:szCs w:val="21"/>
                <w:lang w:val="en-US" w:eastAsia="zh-CN" w:bidi="ar-SA"/>
              </w:rPr>
              <w:t>-8</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200~350瓶/分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6</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水浴式灭菌柜</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5</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-4</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100000瓶/柜</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7</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全自动清洗干燥机</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9</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kern w:val="2"/>
                <w:sz w:val="21"/>
                <w:szCs w:val="21"/>
                <w:lang w:val="en-US" w:eastAsia="zh-CN" w:bidi="ar-SA"/>
              </w:rPr>
              <w:t>-8</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180~350瓶/分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8</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全自动灯检机</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9</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kern w:val="2"/>
                <w:sz w:val="21"/>
                <w:szCs w:val="21"/>
                <w:lang w:val="en-US" w:eastAsia="zh-CN" w:bidi="ar-SA"/>
              </w:rPr>
              <w:t>-8</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180~350瓶/分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9</w:t>
            </w:r>
          </w:p>
        </w:tc>
        <w:tc>
          <w:tcPr>
            <w:tcW w:w="1054"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全自动包装线</w:t>
            </w:r>
          </w:p>
        </w:tc>
        <w:tc>
          <w:tcPr>
            <w:tcW w:w="6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1</w:t>
            </w:r>
          </w:p>
        </w:tc>
        <w:tc>
          <w:tcPr>
            <w:tcW w:w="599"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kern w:val="2"/>
                <w:sz w:val="21"/>
                <w:szCs w:val="21"/>
                <w:lang w:val="en-US" w:eastAsia="zh-CN" w:bidi="ar-SA"/>
              </w:rPr>
              <w:t>-8</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lang w:val="en-US" w:eastAsia="zh-CN"/>
              </w:rPr>
              <w:t>180~350瓶/分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6"/>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firstLine="0" w:firstLineChars="0"/>
              <w:jc w:val="center"/>
              <w:rPr>
                <w:rFonts w:hint="eastAsia"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val="en-US" w:eastAsia="zh-CN"/>
              </w:rPr>
              <w:t>制水设备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c>
          <w:tcPr>
            <w:tcW w:w="1054"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eastAsia" w:ascii="宋体" w:hAnsi="宋体" w:eastAsia="宋体" w:cs="宋体"/>
                <w:color w:val="000000"/>
                <w:sz w:val="21"/>
                <w:szCs w:val="21"/>
                <w:lang w:val="en-US" w:eastAsia="zh-CN"/>
              </w:rPr>
              <w:t>纯化水制备系统</w:t>
            </w:r>
          </w:p>
        </w:tc>
        <w:tc>
          <w:tcPr>
            <w:tcW w:w="676" w:type="pct"/>
            <w:tcBorders>
              <w:tl2br w:val="nil"/>
              <w:tr2bl w:val="nil"/>
            </w:tcBorders>
            <w:noWrap w:val="0"/>
            <w:vAlign w:val="center"/>
          </w:tcPr>
          <w:p>
            <w:pPr>
              <w:keepNext w:val="0"/>
              <w:keepLines w:val="0"/>
              <w:pageBreakBefore w:val="0"/>
              <w:kinsoku/>
              <w:wordWrap/>
              <w:overflowPunct/>
              <w:topLinePunct w:val="0"/>
              <w:bidi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kinsoku/>
              <w:wordWrap/>
              <w:overflowPunct/>
              <w:topLinePunct w:val="0"/>
              <w:bidi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20T/h</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pStyle w:val="20"/>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w:t>
            </w:r>
          </w:p>
        </w:tc>
        <w:tc>
          <w:tcPr>
            <w:tcW w:w="1054" w:type="pct"/>
            <w:tcBorders>
              <w:tl2br w:val="nil"/>
              <w:tr2bl w:val="nil"/>
            </w:tcBorders>
            <w:noWrap w:val="0"/>
            <w:vAlign w:val="center"/>
          </w:tcPr>
          <w:p>
            <w:pPr>
              <w:adjustRightInd w:val="0"/>
              <w:snapToGrid w:val="0"/>
              <w:jc w:val="center"/>
              <w:rPr>
                <w:rFonts w:hint="default" w:ascii="Times New Roman" w:hAnsi="Times New Roman" w:eastAsia="宋体" w:cs="Times New Roman"/>
                <w:color w:val="000000"/>
                <w:sz w:val="21"/>
                <w:szCs w:val="21"/>
              </w:rPr>
            </w:pPr>
            <w:r>
              <w:rPr>
                <w:rFonts w:hint="eastAsia" w:ascii="宋体" w:hAnsi="宋体" w:eastAsia="宋体" w:cs="宋体"/>
                <w:color w:val="000000"/>
                <w:sz w:val="21"/>
                <w:szCs w:val="21"/>
                <w:lang w:val="en-US" w:eastAsia="zh-CN"/>
              </w:rPr>
              <w:t>注射用水制备系统</w:t>
            </w:r>
          </w:p>
        </w:tc>
        <w:tc>
          <w:tcPr>
            <w:tcW w:w="676" w:type="pct"/>
            <w:tcBorders>
              <w:tl2br w:val="nil"/>
              <w:tr2bl w:val="nil"/>
            </w:tcBorders>
            <w:noWrap w:val="0"/>
            <w:vAlign w:val="center"/>
          </w:tcPr>
          <w:p>
            <w:pPr>
              <w:keepNext w:val="0"/>
              <w:keepLines w:val="0"/>
              <w:pageBreakBefore w:val="0"/>
              <w:kinsoku/>
              <w:wordWrap/>
              <w:overflowPunct/>
              <w:topLinePunct w:val="0"/>
              <w:bidi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4</w:t>
            </w:r>
          </w:p>
        </w:tc>
        <w:tc>
          <w:tcPr>
            <w:tcW w:w="599" w:type="pct"/>
            <w:tcBorders>
              <w:tl2br w:val="nil"/>
              <w:tr2bl w:val="nil"/>
            </w:tcBorders>
            <w:noWrap w:val="0"/>
            <w:vAlign w:val="center"/>
          </w:tcPr>
          <w:p>
            <w:pPr>
              <w:keepNext w:val="0"/>
              <w:keepLines w:val="0"/>
              <w:pageBreakBefore w:val="0"/>
              <w:kinsoku/>
              <w:wordWrap/>
              <w:overflowPunct/>
              <w:topLinePunct w:val="0"/>
              <w:bidi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kern w:val="2"/>
                <w:sz w:val="21"/>
                <w:szCs w:val="21"/>
                <w:lang w:val="en-US" w:eastAsia="zh-CN" w:bidi="ar-SA"/>
              </w:rPr>
              <w:t>1</w:t>
            </w:r>
          </w:p>
        </w:tc>
        <w:tc>
          <w:tcPr>
            <w:tcW w:w="873"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w:t>
            </w:r>
          </w:p>
        </w:tc>
        <w:tc>
          <w:tcPr>
            <w:tcW w:w="138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240" w:lineRule="auto"/>
              <w:ind w:left="0" w:lef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5T</w:t>
            </w:r>
            <w:r>
              <w:rPr>
                <w:rFonts w:hint="eastAsia" w:ascii="Times New Roman" w:hAnsi="Times New Roman" w:eastAsia="宋体" w:cs="Times New Roman"/>
                <w:color w:val="000000"/>
                <w:sz w:val="21"/>
                <w:szCs w:val="21"/>
              </w:rPr>
              <w:t>/</w:t>
            </w:r>
            <w:r>
              <w:rPr>
                <w:rFonts w:hint="eastAsia" w:ascii="Times New Roman" w:hAnsi="Times New Roman" w:eastAsia="宋体" w:cs="Times New Roman"/>
                <w:color w:val="000000"/>
                <w:sz w:val="21"/>
                <w:szCs w:val="21"/>
                <w:lang w:val="en-US" w:eastAsia="zh-CN"/>
              </w:rPr>
              <w:t>h</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000" w:type="pct"/>
            <w:gridSpan w:val="6"/>
            <w:tcBorders>
              <w:tl2br w:val="nil"/>
              <w:tr2bl w:val="nil"/>
            </w:tcBorders>
            <w:noWrap w:val="0"/>
            <w:vAlign w:val="center"/>
          </w:tcPr>
          <w:p>
            <w:pPr>
              <w:keepNext w:val="0"/>
              <w:keepLines w:val="0"/>
              <w:pageBreakBefore w:val="0"/>
              <w:kinsoku/>
              <w:wordWrap/>
              <w:overflowPunct/>
              <w:topLinePunct w:val="0"/>
              <w:bidi w:val="0"/>
              <w:spacing w:line="240" w:lineRule="auto"/>
              <w:ind w:left="0" w:firstLine="0" w:firstLineChars="0"/>
              <w:jc w:val="center"/>
              <w:rPr>
                <w:rFonts w:hint="eastAsia" w:ascii="Times New Roman" w:hAnsi="Times New Roman" w:eastAsia="宋体" w:cs="Times New Roman"/>
                <w:b/>
                <w:bCs/>
                <w:color w:val="000000"/>
                <w:sz w:val="21"/>
                <w:szCs w:val="21"/>
                <w:lang w:val="en-US" w:eastAsia="zh-CN"/>
              </w:rPr>
            </w:pPr>
            <w:r>
              <w:rPr>
                <w:rFonts w:hint="eastAsia" w:ascii="Times New Roman" w:hAnsi="Times New Roman" w:eastAsia="宋体" w:cs="Times New Roman"/>
                <w:b/>
                <w:bCs/>
                <w:color w:val="000000"/>
                <w:sz w:val="21"/>
                <w:szCs w:val="21"/>
                <w:lang w:val="en-US" w:eastAsia="zh-CN"/>
              </w:rPr>
              <w:t>其他</w:t>
            </w:r>
            <w:r>
              <w:rPr>
                <w:rFonts w:hint="default" w:ascii="Times New Roman" w:hAnsi="Times New Roman" w:eastAsia="宋体" w:cs="Times New Roman"/>
                <w:b/>
                <w:bCs/>
                <w:color w:val="000000"/>
                <w:sz w:val="21"/>
                <w:szCs w:val="21"/>
                <w:lang w:val="en-US" w:eastAsia="zh-CN"/>
              </w:rPr>
              <w:t>设备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1</w:t>
            </w:r>
          </w:p>
        </w:tc>
        <w:tc>
          <w:tcPr>
            <w:tcW w:w="1054" w:type="pct"/>
            <w:tcBorders>
              <w:tl2br w:val="nil"/>
              <w:tr2bl w:val="nil"/>
            </w:tcBorders>
            <w:noWrap w:val="0"/>
            <w:vAlign w:val="center"/>
          </w:tcPr>
          <w:p>
            <w:pPr>
              <w:keepNext w:val="0"/>
              <w:keepLines w:val="0"/>
              <w:pageBreakBefore w:val="0"/>
              <w:kinsoku/>
              <w:wordWrap/>
              <w:overflowPunct/>
              <w:topLinePunct w:val="0"/>
              <w:bidi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污水处理站</w:t>
            </w:r>
          </w:p>
        </w:tc>
        <w:tc>
          <w:tcPr>
            <w:tcW w:w="676" w:type="pct"/>
            <w:tcBorders>
              <w:tl2br w:val="nil"/>
              <w:tr2bl w:val="nil"/>
            </w:tcBorders>
            <w:noWrap w:val="0"/>
            <w:vAlign w:val="center"/>
          </w:tcPr>
          <w:p>
            <w:pPr>
              <w:keepNext w:val="0"/>
              <w:keepLines w:val="0"/>
              <w:pageBreakBefore w:val="0"/>
              <w:kinsoku/>
              <w:wordWrap/>
              <w:overflowPunct/>
              <w:topLinePunct w:val="0"/>
              <w:bidi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1</w:t>
            </w:r>
          </w:p>
        </w:tc>
        <w:tc>
          <w:tcPr>
            <w:tcW w:w="599" w:type="pct"/>
            <w:tcBorders>
              <w:tl2br w:val="nil"/>
              <w:tr2bl w:val="nil"/>
            </w:tcBorders>
            <w:noWrap w:val="0"/>
            <w:vAlign w:val="center"/>
          </w:tcPr>
          <w:p>
            <w:pPr>
              <w:keepNext w:val="0"/>
              <w:keepLines w:val="0"/>
              <w:pageBreakBefore w:val="0"/>
              <w:kinsoku/>
              <w:wordWrap/>
              <w:overflowPunct/>
              <w:topLinePunct w:val="0"/>
              <w:bidi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1</w:t>
            </w:r>
          </w:p>
        </w:tc>
        <w:tc>
          <w:tcPr>
            <w:tcW w:w="873" w:type="pct"/>
            <w:tcBorders>
              <w:tl2br w:val="nil"/>
              <w:tr2bl w:val="nil"/>
            </w:tcBorders>
            <w:noWrap w:val="0"/>
            <w:vAlign w:val="center"/>
          </w:tcPr>
          <w:p>
            <w:pPr>
              <w:keepNext w:val="0"/>
              <w:keepLines w:val="0"/>
              <w:pageBreakBefore w:val="0"/>
              <w:kinsoku/>
              <w:wordWrap/>
              <w:overflowPunct/>
              <w:topLinePunct w:val="0"/>
              <w:bidi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w:t>
            </w:r>
          </w:p>
        </w:tc>
        <w:tc>
          <w:tcPr>
            <w:tcW w:w="1381" w:type="pct"/>
            <w:tcBorders>
              <w:tl2br w:val="nil"/>
              <w:tr2bl w:val="nil"/>
            </w:tcBorders>
            <w:noWrap w:val="0"/>
            <w:vAlign w:val="center"/>
          </w:tcPr>
          <w:p>
            <w:pPr>
              <w:keepNext w:val="0"/>
              <w:keepLines w:val="0"/>
              <w:pageBreakBefore w:val="0"/>
              <w:kinsoku/>
              <w:wordWrap/>
              <w:overflowPunct/>
              <w:topLinePunct w:val="0"/>
              <w:bidi w:val="0"/>
              <w:spacing w:line="240" w:lineRule="auto"/>
              <w:ind w:left="0" w:leftChars="0" w:firstLine="0" w:firstLineChars="0"/>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厂区废水处理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2</w:t>
            </w:r>
          </w:p>
        </w:tc>
        <w:tc>
          <w:tcPr>
            <w:tcW w:w="1054" w:type="pct"/>
            <w:tcBorders>
              <w:tl2br w:val="nil"/>
              <w:tr2bl w:val="nil"/>
            </w:tcBorders>
            <w:noWrap w:val="0"/>
            <w:vAlign w:val="center"/>
          </w:tcPr>
          <w:p>
            <w:pPr>
              <w:keepNext w:val="0"/>
              <w:keepLines w:val="0"/>
              <w:pageBreakBefore w:val="0"/>
              <w:kinsoku/>
              <w:wordWrap/>
              <w:overflowPunct/>
              <w:topLinePunct w:val="0"/>
              <w:bidi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b w:val="0"/>
                <w:bCs w:val="0"/>
                <w:color w:val="000000"/>
                <w:spacing w:val="0"/>
                <w:w w:val="100"/>
                <w:kern w:val="0"/>
                <w:position w:val="0"/>
                <w:sz w:val="21"/>
                <w:szCs w:val="21"/>
                <w:lang w:val="en-US" w:eastAsia="zh-CN"/>
              </w:rPr>
              <w:t>二级活性炭吸附装置+15m排气筒</w:t>
            </w:r>
          </w:p>
        </w:tc>
        <w:tc>
          <w:tcPr>
            <w:tcW w:w="676" w:type="pct"/>
            <w:tcBorders>
              <w:tl2br w:val="nil"/>
              <w:tr2bl w:val="nil"/>
            </w:tcBorders>
            <w:noWrap w:val="0"/>
            <w:vAlign w:val="center"/>
          </w:tcPr>
          <w:p>
            <w:pPr>
              <w:keepNext w:val="0"/>
              <w:keepLines w:val="0"/>
              <w:pageBreakBefore w:val="0"/>
              <w:kinsoku/>
              <w:wordWrap/>
              <w:overflowPunct/>
              <w:topLinePunct w:val="0"/>
              <w:bidi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1</w:t>
            </w:r>
          </w:p>
        </w:tc>
        <w:tc>
          <w:tcPr>
            <w:tcW w:w="599" w:type="pct"/>
            <w:tcBorders>
              <w:tl2br w:val="nil"/>
              <w:tr2bl w:val="nil"/>
            </w:tcBorders>
            <w:noWrap w:val="0"/>
            <w:vAlign w:val="center"/>
          </w:tcPr>
          <w:p>
            <w:pPr>
              <w:keepNext w:val="0"/>
              <w:keepLines w:val="0"/>
              <w:pageBreakBefore w:val="0"/>
              <w:kinsoku/>
              <w:wordWrap/>
              <w:overflowPunct/>
              <w:topLinePunct w:val="0"/>
              <w:bidi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000000"/>
                <w:sz w:val="21"/>
                <w:szCs w:val="21"/>
              </w:rPr>
              <w:t>1</w:t>
            </w:r>
          </w:p>
        </w:tc>
        <w:tc>
          <w:tcPr>
            <w:tcW w:w="873" w:type="pct"/>
            <w:tcBorders>
              <w:tl2br w:val="nil"/>
              <w:tr2bl w:val="nil"/>
            </w:tcBorders>
            <w:noWrap w:val="0"/>
            <w:vAlign w:val="center"/>
          </w:tcPr>
          <w:p>
            <w:pPr>
              <w:keepNext w:val="0"/>
              <w:keepLines w:val="0"/>
              <w:pageBreakBefore w:val="0"/>
              <w:kinsoku/>
              <w:wordWrap/>
              <w:overflowPunct/>
              <w:topLinePunct w:val="0"/>
              <w:bidi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w:t>
            </w:r>
          </w:p>
        </w:tc>
        <w:tc>
          <w:tcPr>
            <w:tcW w:w="1381" w:type="pct"/>
            <w:tcBorders>
              <w:tl2br w:val="nil"/>
              <w:tr2bl w:val="nil"/>
            </w:tcBorders>
            <w:noWrap w:val="0"/>
            <w:vAlign w:val="center"/>
          </w:tcPr>
          <w:p>
            <w:pPr>
              <w:keepNext w:val="0"/>
              <w:keepLines w:val="0"/>
              <w:pageBreakBefore w:val="0"/>
              <w:kinsoku/>
              <w:wordWrap/>
              <w:overflowPunct/>
              <w:topLinePunct w:val="0"/>
              <w:bidi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污水处理站废气废气处理装置变更为“</w:t>
            </w:r>
            <w:r>
              <w:rPr>
                <w:rFonts w:hint="eastAsia" w:ascii="Times New Roman" w:hAnsi="Times New Roman" w:eastAsia="宋体" w:cs="Times New Roman"/>
                <w:b w:val="0"/>
                <w:bCs w:val="0"/>
                <w:color w:val="000000"/>
                <w:spacing w:val="0"/>
                <w:w w:val="100"/>
                <w:kern w:val="0"/>
                <w:position w:val="0"/>
                <w:sz w:val="21"/>
                <w:szCs w:val="21"/>
                <w:lang w:val="en-US" w:eastAsia="zh-CN"/>
              </w:rPr>
              <w:t>碱液喷淋塔+二级活性炭吸附</w:t>
            </w:r>
            <w:r>
              <w:rPr>
                <w:rFonts w:hint="eastAsia" w:ascii="Times New Roman" w:hAnsi="Times New Roman" w:eastAsia="宋体" w:cs="Times New Roman"/>
                <w:color w:val="000000"/>
                <w:sz w:val="21"/>
                <w:szCs w:val="21"/>
                <w:lang w:val="en-US" w:eastAsia="zh-CN"/>
              </w:rPr>
              <w:t>”</w:t>
            </w:r>
            <w:r>
              <w:rPr>
                <w:rFonts w:hint="eastAsia" w:ascii="Times New Roman" w:hAnsi="Times New Roman" w:eastAsia="宋体" w:cs="Times New Roman"/>
                <w:b w:val="0"/>
                <w:bCs w:val="0"/>
                <w:color w:val="000000"/>
                <w:spacing w:val="0"/>
                <w:w w:val="100"/>
                <w:kern w:val="0"/>
                <w:position w:val="0"/>
                <w:sz w:val="21"/>
                <w:szCs w:val="21"/>
                <w:lang w:val="en-US" w:eastAsia="zh-CN"/>
              </w:rPr>
              <w:t>装置+15m排气筒</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w:t>
            </w:r>
          </w:p>
        </w:tc>
        <w:tc>
          <w:tcPr>
            <w:tcW w:w="1054" w:type="pct"/>
            <w:tcBorders>
              <w:tl2br w:val="nil"/>
              <w:tr2bl w:val="nil"/>
            </w:tcBorders>
            <w:noWrap w:val="0"/>
            <w:vAlign w:val="center"/>
          </w:tcPr>
          <w:p>
            <w:pPr>
              <w:keepNext w:val="0"/>
              <w:keepLines w:val="0"/>
              <w:pageBreakBefore w:val="0"/>
              <w:kinsoku/>
              <w:wordWrap/>
              <w:overflowPunct/>
              <w:topLinePunct w:val="0"/>
              <w:bidi w:val="0"/>
              <w:spacing w:line="240" w:lineRule="auto"/>
              <w:ind w:left="0" w:firstLine="0" w:firstLine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b w:val="0"/>
                <w:bCs w:val="0"/>
                <w:color w:val="000000"/>
                <w:spacing w:val="0"/>
                <w:w w:val="100"/>
                <w:kern w:val="0"/>
                <w:position w:val="0"/>
                <w:sz w:val="21"/>
                <w:szCs w:val="21"/>
                <w:lang w:val="en-US" w:eastAsia="zh-CN"/>
              </w:rPr>
              <w:t>碱液喷淋塔+二级活性炭吸附装置+19m排气筒</w:t>
            </w:r>
          </w:p>
        </w:tc>
        <w:tc>
          <w:tcPr>
            <w:tcW w:w="676" w:type="pct"/>
            <w:tcBorders>
              <w:tl2br w:val="nil"/>
              <w:tr2bl w:val="nil"/>
            </w:tcBorders>
            <w:noWrap w:val="0"/>
            <w:vAlign w:val="center"/>
          </w:tcPr>
          <w:p>
            <w:pPr>
              <w:keepNext w:val="0"/>
              <w:keepLines w:val="0"/>
              <w:pageBreakBefore w:val="0"/>
              <w:kinsoku/>
              <w:wordWrap/>
              <w:overflowPunct/>
              <w:topLinePunct w:val="0"/>
              <w:bidi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1</w:t>
            </w:r>
          </w:p>
        </w:tc>
        <w:tc>
          <w:tcPr>
            <w:tcW w:w="599" w:type="pct"/>
            <w:tcBorders>
              <w:tl2br w:val="nil"/>
              <w:tr2bl w:val="nil"/>
            </w:tcBorders>
            <w:noWrap w:val="0"/>
            <w:vAlign w:val="center"/>
          </w:tcPr>
          <w:p>
            <w:pPr>
              <w:keepNext w:val="0"/>
              <w:keepLines w:val="0"/>
              <w:pageBreakBefore w:val="0"/>
              <w:kinsoku/>
              <w:wordWrap/>
              <w:overflowPunct/>
              <w:topLinePunct w:val="0"/>
              <w:bidi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1</w:t>
            </w:r>
          </w:p>
        </w:tc>
        <w:tc>
          <w:tcPr>
            <w:tcW w:w="873" w:type="pct"/>
            <w:tcBorders>
              <w:tl2br w:val="nil"/>
              <w:tr2bl w:val="nil"/>
            </w:tcBorders>
            <w:noWrap w:val="0"/>
            <w:vAlign w:val="center"/>
          </w:tcPr>
          <w:p>
            <w:pPr>
              <w:keepNext w:val="0"/>
              <w:keepLines w:val="0"/>
              <w:pageBreakBefore w:val="0"/>
              <w:kinsoku/>
              <w:wordWrap/>
              <w:overflowPunct/>
              <w:topLinePunct w:val="0"/>
              <w:bidi w:val="0"/>
              <w:spacing w:line="240" w:lineRule="auto"/>
              <w:ind w:left="0" w:firstLine="0" w:firstLineChars="0"/>
              <w:jc w:val="center"/>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0</w:t>
            </w:r>
          </w:p>
        </w:tc>
        <w:tc>
          <w:tcPr>
            <w:tcW w:w="1381" w:type="pct"/>
            <w:tcBorders>
              <w:tl2br w:val="nil"/>
              <w:tr2bl w:val="nil"/>
            </w:tcBorders>
            <w:noWrap w:val="0"/>
            <w:vAlign w:val="center"/>
          </w:tcPr>
          <w:p>
            <w:pPr>
              <w:keepNext w:val="0"/>
              <w:keepLines w:val="0"/>
              <w:pageBreakBefore w:val="0"/>
              <w:kinsoku/>
              <w:wordWrap/>
              <w:overflowPunct/>
              <w:topLinePunct w:val="0"/>
              <w:bidi w:val="0"/>
              <w:spacing w:line="240" w:lineRule="auto"/>
              <w:ind w:left="0" w:leftChars="0" w:firstLine="0" w:firstLineChars="0"/>
              <w:jc w:val="center"/>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化验中心废气处理19m排气筒变更为20m排气筒</w:t>
            </w:r>
          </w:p>
        </w:tc>
      </w:tr>
    </w:tbl>
    <w:p>
      <w:pPr>
        <w:pStyle w:val="38"/>
        <w:spacing w:line="360" w:lineRule="auto"/>
        <w:ind w:firstLine="0" w:firstLineChars="0"/>
        <w:jc w:val="left"/>
        <w:outlineLvl w:val="1"/>
        <w:rPr>
          <w:rFonts w:hint="default" w:ascii="Times New Roman" w:hAnsi="Times New Roman" w:eastAsia="宋体" w:cs="Times New Roman"/>
          <w:b/>
          <w:sz w:val="28"/>
          <w:szCs w:val="32"/>
          <w:lang w:val="en-US" w:eastAsia="zh-CN"/>
        </w:rPr>
      </w:pPr>
      <w:bookmarkStart w:id="26" w:name="_Toc5648"/>
      <w:r>
        <w:rPr>
          <w:rFonts w:hint="eastAsia" w:ascii="Times New Roman" w:hAnsi="Times New Roman" w:eastAsia="宋体" w:cs="Times New Roman"/>
          <w:b/>
          <w:sz w:val="28"/>
          <w:szCs w:val="32"/>
          <w:lang w:val="en-US" w:eastAsia="zh-CN"/>
        </w:rPr>
        <w:t>3.4</w:t>
      </w:r>
      <w:r>
        <w:rPr>
          <w:rFonts w:hint="default" w:ascii="Times New Roman" w:hAnsi="Times New Roman" w:eastAsia="宋体" w:cs="Times New Roman"/>
          <w:b/>
          <w:bCs/>
          <w:color w:val="000000"/>
          <w:sz w:val="24"/>
          <w:szCs w:val="24"/>
        </w:rPr>
        <w:t>供暖及制冷</w:t>
      </w:r>
      <w:bookmarkEnd w:id="26"/>
    </w:p>
    <w:p>
      <w:pPr>
        <w:keepNext w:val="0"/>
        <w:keepLines w:val="0"/>
        <w:pageBreakBefore w:val="0"/>
        <w:widowControl/>
        <w:kinsoku/>
        <w:wordWrap/>
        <w:overflowPunct/>
        <w:topLinePunct w:val="0"/>
        <w:autoSpaceDE/>
        <w:autoSpaceDN/>
        <w:bidi w:val="0"/>
        <w:adjustRightInd/>
        <w:snapToGrid/>
        <w:spacing w:line="360" w:lineRule="auto"/>
        <w:ind w:left="0" w:firstLine="480" w:firstLineChars="200"/>
        <w:jc w:val="both"/>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办公室采用空调供热、制冷</w:t>
      </w:r>
      <w:r>
        <w:rPr>
          <w:rFonts w:hint="eastAsia"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rPr>
        <w:t>生产供热</w:t>
      </w:r>
      <w:r>
        <w:rPr>
          <w:rFonts w:hint="eastAsia" w:ascii="Times New Roman" w:hAnsi="Times New Roman" w:eastAsia="宋体" w:cs="Times New Roman"/>
          <w:color w:val="000000"/>
          <w:sz w:val="24"/>
          <w:szCs w:val="24"/>
          <w:lang w:val="en-US" w:eastAsia="zh-CN"/>
        </w:rPr>
        <w:t>由菏泽民生热力有限公司供应，年蒸汽用量1500立方，蒸汽平衡图见图3-4。</w:t>
      </w:r>
    </w:p>
    <w:p>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000000"/>
          <w:sz w:val="24"/>
          <w:szCs w:val="24"/>
        </w:rPr>
      </w:pPr>
      <w:r>
        <w:rPr>
          <w:rFonts w:hint="default" w:ascii="Times New Roman" w:hAnsi="Times New Roman" w:eastAsia="宋体" w:cs="Times New Roman"/>
          <w:b/>
          <w:color w:val="000000"/>
          <w:sz w:val="24"/>
          <w:szCs w:val="24"/>
        </w:rPr>
        <w:object>
          <v:shape id="_x0000_i1025" o:spt="75" type="#_x0000_t75" style="height:68.25pt;width:394.5pt;" o:ole="t" filled="f" o:preferrelative="t" stroked="f" coordsize="21600,21600">
            <v:path/>
            <v:fill on="f" focussize="0,0"/>
            <v:stroke on="f"/>
            <v:imagedata r:id="rId20" o:title=""/>
            <o:lock v:ext="edit" aspectratio="f"/>
            <w10:wrap type="none"/>
            <w10:anchorlock/>
          </v:shape>
          <o:OLEObject Type="Embed" ProgID="Visio.Drawing.15" ShapeID="_x0000_i1025" DrawAspect="Content" ObjectID="_1468075725" r:id="rId19">
            <o:LockedField>false</o:LockedField>
          </o:OLEObject>
        </w:object>
      </w:r>
    </w:p>
    <w:p>
      <w:pPr>
        <w:widowControl w:val="0"/>
        <w:autoSpaceDE w:val="0"/>
        <w:autoSpaceDN w:val="0"/>
        <w:adjustRightInd w:val="0"/>
        <w:snapToGrid/>
        <w:spacing w:after="0" w:line="360" w:lineRule="auto"/>
        <w:jc w:val="center"/>
        <w:textAlignment w:val="baseline"/>
        <w:rPr>
          <w:rFonts w:hint="default" w:ascii="Times New Roman" w:hAnsi="Times New Roman" w:eastAsia="宋体" w:cs="Times New Roman"/>
          <w:b/>
          <w:bCs/>
          <w:color w:val="000000"/>
          <w:kern w:val="2"/>
          <w:sz w:val="21"/>
          <w:szCs w:val="21"/>
          <w:lang w:val="en-US" w:eastAsia="zh-CN" w:bidi="ar-SA"/>
        </w:rPr>
      </w:pPr>
      <w:r>
        <w:rPr>
          <w:rFonts w:hint="default" w:ascii="Times New Roman" w:hAnsi="Times New Roman" w:eastAsia="宋体" w:cs="Times New Roman"/>
          <w:b/>
          <w:color w:val="auto"/>
          <w:kern w:val="2"/>
          <w:sz w:val="21"/>
          <w:szCs w:val="21"/>
          <w:lang w:val="en-US" w:eastAsia="zh-CN" w:bidi="ar-SA"/>
        </w:rPr>
        <w:t>图</w:t>
      </w:r>
      <w:r>
        <w:rPr>
          <w:rFonts w:hint="eastAsia" w:ascii="Times New Roman" w:hAnsi="Times New Roman" w:eastAsia="宋体" w:cs="Times New Roman"/>
          <w:b/>
          <w:color w:val="auto"/>
          <w:kern w:val="2"/>
          <w:sz w:val="21"/>
          <w:szCs w:val="21"/>
          <w:lang w:val="en-US" w:eastAsia="zh-CN" w:bidi="ar-SA"/>
        </w:rPr>
        <w:t>3-4</w:t>
      </w:r>
      <w:r>
        <w:rPr>
          <w:rFonts w:hint="default" w:ascii="Times New Roman" w:hAnsi="Times New Roman" w:eastAsia="宋体" w:cs="Times New Roman"/>
          <w:b/>
          <w:color w:val="auto"/>
          <w:kern w:val="2"/>
          <w:sz w:val="21"/>
          <w:szCs w:val="21"/>
          <w:lang w:val="en-US" w:eastAsia="zh-CN" w:bidi="ar-SA"/>
        </w:rPr>
        <w:t xml:space="preserve">  项目</w:t>
      </w:r>
      <w:r>
        <w:rPr>
          <w:rFonts w:hint="eastAsia" w:ascii="Times New Roman" w:hAnsi="Times New Roman" w:eastAsia="宋体" w:cs="Times New Roman"/>
          <w:b/>
          <w:color w:val="auto"/>
          <w:kern w:val="2"/>
          <w:sz w:val="21"/>
          <w:szCs w:val="21"/>
          <w:lang w:val="en-US" w:eastAsia="zh-CN" w:bidi="ar-SA"/>
        </w:rPr>
        <w:t>供气</w:t>
      </w:r>
      <w:r>
        <w:rPr>
          <w:rFonts w:hint="default" w:ascii="Times New Roman" w:hAnsi="Times New Roman" w:eastAsia="宋体" w:cs="Times New Roman"/>
          <w:b/>
          <w:color w:val="auto"/>
          <w:kern w:val="2"/>
          <w:sz w:val="21"/>
          <w:szCs w:val="21"/>
          <w:lang w:val="en-US" w:eastAsia="zh-CN" w:bidi="ar-SA"/>
        </w:rPr>
        <w:t>平衡图</w:t>
      </w:r>
      <w:r>
        <w:rPr>
          <w:rFonts w:hint="default" w:ascii="Times New Roman" w:hAnsi="Times New Roman" w:eastAsia="宋体" w:cs="Times New Roman"/>
          <w:b/>
          <w:bCs/>
          <w:color w:val="000000"/>
          <w:kern w:val="2"/>
          <w:sz w:val="21"/>
          <w:szCs w:val="21"/>
          <w:lang w:val="en-US" w:eastAsia="zh-CN" w:bidi="ar-SA"/>
        </w:rPr>
        <w:t>（</w:t>
      </w:r>
      <w:r>
        <w:rPr>
          <w:rFonts w:hint="eastAsia" w:ascii="Times New Roman" w:hAnsi="Times New Roman" w:eastAsia="宋体" w:cs="Times New Roman"/>
          <w:b/>
          <w:bCs/>
          <w:color w:val="000000"/>
          <w:kern w:val="2"/>
          <w:sz w:val="21"/>
          <w:szCs w:val="21"/>
          <w:lang w:val="en-US" w:eastAsia="zh-CN" w:bidi="ar-SA"/>
        </w:rPr>
        <w:t>t</w:t>
      </w:r>
      <w:r>
        <w:rPr>
          <w:rFonts w:hint="default" w:ascii="Times New Roman" w:hAnsi="Times New Roman" w:eastAsia="宋体" w:cs="Times New Roman"/>
          <w:b/>
          <w:bCs/>
          <w:color w:val="000000"/>
          <w:kern w:val="2"/>
          <w:sz w:val="21"/>
          <w:szCs w:val="21"/>
          <w:lang w:val="en-US" w:eastAsia="zh-CN" w:bidi="ar-SA"/>
        </w:rPr>
        <w:t>/a）</w:t>
      </w:r>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27" w:name="_Toc10328"/>
      <w:r>
        <w:rPr>
          <w:rFonts w:hint="default" w:ascii="Times New Roman" w:hAnsi="Times New Roman" w:eastAsia="宋体" w:cs="Times New Roman"/>
          <w:b/>
          <w:sz w:val="28"/>
          <w:szCs w:val="32"/>
        </w:rPr>
        <w:t>3.</w:t>
      </w:r>
      <w:r>
        <w:rPr>
          <w:rFonts w:hint="eastAsia" w:ascii="Times New Roman" w:hAnsi="Times New Roman" w:eastAsia="宋体" w:cs="Times New Roman"/>
          <w:b/>
          <w:sz w:val="28"/>
          <w:szCs w:val="32"/>
          <w:lang w:val="en-US" w:eastAsia="zh-CN"/>
        </w:rPr>
        <w:t>5</w:t>
      </w:r>
      <w:r>
        <w:rPr>
          <w:rFonts w:hint="default" w:ascii="Times New Roman" w:hAnsi="Times New Roman" w:eastAsia="宋体" w:cs="Times New Roman"/>
          <w:b/>
          <w:sz w:val="28"/>
          <w:szCs w:val="32"/>
        </w:rPr>
        <w:t>水源及水平衡</w:t>
      </w:r>
      <w:bookmarkEnd w:id="27"/>
    </w:p>
    <w:p>
      <w:pPr>
        <w:keepNext w:val="0"/>
        <w:keepLines w:val="0"/>
        <w:pageBreakBefore w:val="0"/>
        <w:widowControl w:val="0"/>
        <w:kinsoku/>
        <w:wordWrap/>
        <w:overflowPunct/>
        <w:topLinePunct w:val="0"/>
        <w:bidi w:val="0"/>
        <w:snapToGrid/>
        <w:spacing w:line="360" w:lineRule="auto"/>
        <w:ind w:firstLine="480" w:firstLineChars="200"/>
        <w:jc w:val="both"/>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①给水</w:t>
      </w:r>
    </w:p>
    <w:p>
      <w:pPr>
        <w:spacing w:line="360" w:lineRule="auto"/>
        <w:ind w:firstLine="480" w:firstLineChars="200"/>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本项目用水包括生产用水和生活用水，其中生产用水包括设备擦拭、冲洗用水、水浴灭菌箱用水、化验中心用水、制剂配制用水、包装容器清洗用水、循环冷却用水和车间地面清洁用水</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其中</w:t>
      </w:r>
      <w:r>
        <w:rPr>
          <w:rFonts w:hint="eastAsia" w:ascii="Times New Roman" w:hAnsi="Times New Roman" w:eastAsia="宋体" w:cs="Times New Roman"/>
          <w:color w:val="auto"/>
          <w:sz w:val="24"/>
          <w:szCs w:val="24"/>
          <w:lang w:val="en-US" w:eastAsia="zh-CN"/>
        </w:rPr>
        <w:t>制剂配制用水、包装容器清洗水</w:t>
      </w:r>
      <w:r>
        <w:rPr>
          <w:rFonts w:hint="eastAsia" w:ascii="Times New Roman" w:hAnsi="Times New Roman" w:eastAsia="宋体" w:cs="Times New Roman"/>
          <w:color w:val="000000"/>
          <w:sz w:val="24"/>
          <w:szCs w:val="24"/>
          <w:lang w:val="en-US" w:eastAsia="zh-CN"/>
        </w:rPr>
        <w:t>采用注射用水，设备擦拭、冲洗用水、水浴灭菌箱用水、化验中心用水需用纯化水。</w:t>
      </w:r>
    </w:p>
    <w:p>
      <w:pPr>
        <w:spacing w:line="360" w:lineRule="auto"/>
        <w:ind w:firstLine="480" w:firstLineChars="200"/>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生产配套1套20</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h的纯水制备机组供应纯化水，1台5</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h多效蒸馏水机供应注射水。纯化水制备系统工艺流程为：原水箱---原水泵---巴氏灭菌换热器---多介质过滤器---活性炭过滤器-----保安过滤器----高压泵----一级RO 处理系统---中间水箱---二级高压泵---二级RO处理系统---纯化水箱；注射水制备系统工艺流程为：纯化水---水箱---双反纯水系统---纯水箱---紫外线消毒器电蒸发器---列管式多效蒸馏水机---双层保温水箱。</w:t>
      </w:r>
    </w:p>
    <w:p>
      <w:pPr>
        <w:spacing w:line="360" w:lineRule="auto"/>
        <w:ind w:firstLine="480" w:firstLineChars="200"/>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制剂配制用</w:t>
      </w:r>
      <w:r>
        <w:rPr>
          <w:rFonts w:hint="eastAsia" w:ascii="Times New Roman" w:hAnsi="Times New Roman" w:eastAsia="宋体" w:cs="Times New Roman"/>
          <w:color w:val="auto"/>
          <w:sz w:val="24"/>
          <w:szCs w:val="24"/>
          <w:lang w:val="en-US" w:eastAsia="zh-CN"/>
        </w:rPr>
        <w:t>水、包装容器清洗水：制剂配制用水、包装容器清洗水均为注射水，企业根据产品规格及产量提供资料，项目制剂配制注射水水量约为5.8t/d（1740</w:t>
      </w:r>
      <w:r>
        <w:rPr>
          <w:rFonts w:ascii="Times New Roman" w:hAnsi="Times New Roman" w:eastAsia="宋体" w:cs="Times New Roman"/>
          <w:color w:val="auto"/>
          <w:sz w:val="24"/>
          <w:szCs w:val="24"/>
        </w:rPr>
        <w:t>m</w:t>
      </w:r>
      <w:r>
        <w:rPr>
          <w:rFonts w:ascii="Times New Roman" w:hAnsi="Times New Roman" w:eastAsia="宋体" w:cs="Times New Roman"/>
          <w:color w:val="auto"/>
          <w:sz w:val="24"/>
          <w:szCs w:val="24"/>
          <w:vertAlign w:val="superscript"/>
        </w:rPr>
        <w:t>3</w:t>
      </w:r>
      <w:r>
        <w:rPr>
          <w:rFonts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a），包装容器</w:t>
      </w:r>
      <w:r>
        <w:rPr>
          <w:rFonts w:hint="eastAsia" w:ascii="Times New Roman" w:hAnsi="Times New Roman" w:eastAsia="宋体" w:cs="Times New Roman"/>
          <w:color w:val="000000"/>
          <w:sz w:val="24"/>
          <w:szCs w:val="24"/>
          <w:lang w:val="en-US" w:eastAsia="zh-CN"/>
        </w:rPr>
        <w:t>清洗注射水用量约为1</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d（300</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a），则注射水总用量约为6.8</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d（2040</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a）。注射水由纯化水制得，制备率以95%计算，则纯化水用量约为7.2</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d(2147.4</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a)，约有0.4</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d（107.4</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a）浓水产生。</w:t>
      </w:r>
    </w:p>
    <w:p>
      <w:pPr>
        <w:spacing w:line="360" w:lineRule="auto"/>
        <w:ind w:firstLine="480" w:firstLineChars="200"/>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注射水制备：注射水制备为纯化水，注射水制备用纯化水7.2</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d(2147.4</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a)。</w:t>
      </w:r>
    </w:p>
    <w:p>
      <w:pPr>
        <w:spacing w:line="360" w:lineRule="auto"/>
        <w:ind w:firstLine="480" w:firstLineChars="200"/>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设备擦拭、冲洗用水：设备擦拭、冲洗用水为纯化水，根据企业提供资料，每班结束后需对设备擦拭、清洗和设备消毒，共用纯化水0.7</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d（210</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a）。</w:t>
      </w:r>
    </w:p>
    <w:p>
      <w:pPr>
        <w:spacing w:line="360" w:lineRule="auto"/>
        <w:ind w:firstLine="480" w:firstLineChars="200"/>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化验中心用水：本项目化验中心使用的药品大多为常规化学试剂，以酸碱盐为主，化验中心化验用水为纯水，主要为仪器清洗共清洗三遍3遍，用量为0.05</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d（15</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a）。</w:t>
      </w:r>
    </w:p>
    <w:p>
      <w:pPr>
        <w:spacing w:line="360" w:lineRule="auto"/>
        <w:ind w:firstLine="480" w:firstLineChars="200"/>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水浴灭菌箱用水：水浴灭菌箱用水均为纯化水，每个水浴式灭菌箱容水量为1</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hint="eastAsia" w:ascii="Times New Roman" w:hAnsi="Times New Roman" w:eastAsia="宋体" w:cs="Times New Roman"/>
          <w:color w:val="000000"/>
          <w:sz w:val="24"/>
          <w:szCs w:val="24"/>
          <w:lang w:val="en-US" w:eastAsia="zh-CN"/>
        </w:rPr>
        <w:t>，共1个水浴式灭菌箱，根据企业提供资料水浴式灭菌箱平均每一个月更换一次纯水，每次用水量为1m</w:t>
      </w:r>
      <w:r>
        <w:rPr>
          <w:rFonts w:hint="eastAsia" w:ascii="Times New Roman" w:hAnsi="Times New Roman" w:eastAsia="宋体" w:cs="Times New Roman"/>
          <w:color w:val="000000"/>
          <w:sz w:val="24"/>
          <w:szCs w:val="24"/>
          <w:vertAlign w:val="superscript"/>
          <w:lang w:val="en-US" w:eastAsia="zh-CN"/>
        </w:rPr>
        <w:t>3</w:t>
      </w:r>
      <w:r>
        <w:rPr>
          <w:rFonts w:hint="eastAsia" w:ascii="Times New Roman" w:hAnsi="Times New Roman" w:eastAsia="宋体" w:cs="Times New Roman"/>
          <w:color w:val="000000"/>
          <w:sz w:val="24"/>
          <w:szCs w:val="24"/>
          <w:lang w:val="en-US" w:eastAsia="zh-CN"/>
        </w:rPr>
        <w:t>，则本项目水浴式灭菌箱用水量为12</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a。</w:t>
      </w:r>
    </w:p>
    <w:p>
      <w:pPr>
        <w:spacing w:line="360" w:lineRule="auto"/>
        <w:ind w:firstLine="480" w:firstLineChars="200"/>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纯化水制备用水：综上所述纯化水总用量</w:t>
      </w:r>
      <w:r>
        <w:rPr>
          <w:rFonts w:hint="eastAsia" w:ascii="Times New Roman" w:hAnsi="Times New Roman" w:eastAsia="宋体" w:cs="Times New Roman"/>
          <w:color w:val="000000"/>
          <w:sz w:val="24"/>
          <w:szCs w:val="24"/>
          <w:highlight w:val="none"/>
          <w:lang w:val="en-US" w:eastAsia="zh-CN"/>
        </w:rPr>
        <w:t>约为7.95</w:t>
      </w:r>
      <w:r>
        <w:rPr>
          <w:rFonts w:ascii="Times New Roman" w:hAnsi="Times New Roman" w:eastAsia="宋体" w:cs="Times New Roman"/>
          <w:color w:val="000000"/>
          <w:sz w:val="24"/>
          <w:szCs w:val="24"/>
          <w:highlight w:val="none"/>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d（2384.4</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a），纯水制备率以75%计，则制备纯化水的自来水用量约为1036</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hint="eastAsia" w:ascii="Times New Roman" w:hAnsi="Times New Roman" w:eastAsia="宋体" w:cs="Times New Roman"/>
          <w:color w:val="000000"/>
          <w:sz w:val="24"/>
          <w:szCs w:val="24"/>
          <w:lang w:val="en-US" w:eastAsia="zh-CN"/>
        </w:rPr>
        <w:t>/d（3179.2</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a）。</w:t>
      </w:r>
    </w:p>
    <w:p>
      <w:pPr>
        <w:snapToGrid w:val="0"/>
        <w:spacing w:line="360" w:lineRule="auto"/>
        <w:ind w:firstLine="480" w:firstLineChars="200"/>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车间地面清洁用水</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本项目生产车间地面需要定期进行清洗，每天清洁一次，</w:t>
      </w:r>
      <w:r>
        <w:rPr>
          <w:rFonts w:hint="default" w:ascii="Times New Roman" w:hAnsi="Times New Roman" w:eastAsia="宋体" w:cs="Times New Roman"/>
          <w:snapToGrid w:val="0"/>
          <w:color w:val="auto"/>
          <w:kern w:val="0"/>
          <w:sz w:val="24"/>
          <w:szCs w:val="24"/>
          <w:highlight w:val="none"/>
          <w:lang w:val="en-US" w:eastAsia="zh-CN"/>
        </w:rPr>
        <w:t>根据《建筑给水排水设计手册》（中国建筑设计研究院，2008年10月1日出版），场地清洗水用水量为1.0～2.0L/次•m</w:t>
      </w:r>
      <w:r>
        <w:rPr>
          <w:rFonts w:hint="default" w:ascii="Times New Roman" w:hAnsi="Times New Roman" w:eastAsia="宋体" w:cs="Times New Roman"/>
          <w:snapToGrid w:val="0"/>
          <w:color w:val="auto"/>
          <w:kern w:val="0"/>
          <w:sz w:val="24"/>
          <w:szCs w:val="24"/>
          <w:highlight w:val="none"/>
          <w:vertAlign w:val="superscript"/>
          <w:lang w:val="en-US" w:eastAsia="zh-CN"/>
        </w:rPr>
        <w:t>2</w:t>
      </w:r>
      <w:r>
        <w:rPr>
          <w:rFonts w:hint="eastAsia" w:ascii="Times New Roman" w:hAnsi="Times New Roman" w:eastAsia="宋体" w:cs="Times New Roman"/>
          <w:snapToGrid w:val="0"/>
          <w:color w:val="auto"/>
          <w:kern w:val="0"/>
          <w:sz w:val="24"/>
          <w:szCs w:val="24"/>
          <w:highlight w:val="none"/>
          <w:vertAlign w:val="baseline"/>
          <w:lang w:val="en-US" w:eastAsia="zh-CN"/>
        </w:rPr>
        <w:t>，</w:t>
      </w:r>
      <w:r>
        <w:rPr>
          <w:rFonts w:hint="default" w:ascii="Times New Roman" w:hAnsi="Times New Roman" w:eastAsia="宋体" w:cs="Times New Roman"/>
          <w:snapToGrid w:val="0"/>
          <w:color w:val="auto"/>
          <w:kern w:val="0"/>
          <w:sz w:val="24"/>
          <w:szCs w:val="24"/>
          <w:highlight w:val="none"/>
          <w:lang w:val="en-US" w:eastAsia="zh-CN"/>
        </w:rPr>
        <w:t>由于拟建项目采取拖把保洁方式，不直接冲洗</w:t>
      </w:r>
      <w:r>
        <w:rPr>
          <w:rFonts w:hint="eastAsia" w:ascii="Times New Roman" w:hAnsi="Times New Roman" w:eastAsia="宋体" w:cs="Times New Roman"/>
          <w:snapToGrid w:val="0"/>
          <w:color w:val="auto"/>
          <w:kern w:val="0"/>
          <w:sz w:val="24"/>
          <w:szCs w:val="24"/>
          <w:highlight w:val="none"/>
          <w:lang w:val="en-US" w:eastAsia="zh-CN"/>
        </w:rPr>
        <w:t>车间</w:t>
      </w:r>
      <w:r>
        <w:rPr>
          <w:rFonts w:hint="default" w:ascii="Times New Roman" w:hAnsi="Times New Roman" w:eastAsia="宋体" w:cs="Times New Roman"/>
          <w:snapToGrid w:val="0"/>
          <w:color w:val="auto"/>
          <w:kern w:val="0"/>
          <w:sz w:val="24"/>
          <w:szCs w:val="24"/>
          <w:highlight w:val="none"/>
          <w:lang w:val="en-US" w:eastAsia="zh-CN"/>
        </w:rPr>
        <w:t>地面，故本次环评保洁用水量按标准的10%计，即0.2L/次•m</w:t>
      </w:r>
      <w:r>
        <w:rPr>
          <w:rFonts w:hint="default" w:ascii="Times New Roman" w:hAnsi="Times New Roman" w:eastAsia="宋体" w:cs="Times New Roman"/>
          <w:snapToGrid w:val="0"/>
          <w:color w:val="auto"/>
          <w:kern w:val="0"/>
          <w:sz w:val="24"/>
          <w:szCs w:val="24"/>
          <w:highlight w:val="none"/>
          <w:vertAlign w:val="superscript"/>
          <w:lang w:val="en-US" w:eastAsia="zh-CN"/>
        </w:rPr>
        <w:t>2</w:t>
      </w:r>
      <w:r>
        <w:rPr>
          <w:rFonts w:hint="default" w:ascii="Times New Roman" w:hAnsi="Times New Roman" w:eastAsia="宋体" w:cs="Times New Roman"/>
          <w:snapToGrid w:val="0"/>
          <w:color w:val="auto"/>
          <w:kern w:val="0"/>
          <w:sz w:val="24"/>
          <w:szCs w:val="24"/>
          <w:highlight w:val="none"/>
          <w:lang w:val="en-US" w:eastAsia="zh-CN"/>
        </w:rPr>
        <w:t>计算，</w:t>
      </w:r>
      <w:r>
        <w:rPr>
          <w:rFonts w:hint="eastAsia" w:ascii="Times New Roman" w:hAnsi="Times New Roman" w:eastAsia="宋体" w:cs="Times New Roman"/>
          <w:snapToGrid w:val="0"/>
          <w:color w:val="auto"/>
          <w:kern w:val="0"/>
          <w:sz w:val="24"/>
          <w:szCs w:val="24"/>
          <w:highlight w:val="none"/>
          <w:lang w:val="en-US" w:eastAsia="zh-CN"/>
        </w:rPr>
        <w:t>本次验收生产车间</w:t>
      </w:r>
      <w:r>
        <w:rPr>
          <w:rFonts w:hint="default" w:ascii="Times New Roman" w:hAnsi="Times New Roman" w:eastAsia="宋体" w:cs="Times New Roman"/>
          <w:snapToGrid w:val="0"/>
          <w:color w:val="auto"/>
          <w:kern w:val="0"/>
          <w:sz w:val="24"/>
          <w:szCs w:val="24"/>
          <w:highlight w:val="none"/>
          <w:lang w:val="en-US" w:eastAsia="zh-CN"/>
        </w:rPr>
        <w:t>总建筑面积为</w:t>
      </w:r>
      <w:r>
        <w:rPr>
          <w:rFonts w:hint="eastAsia" w:ascii="Times New Roman" w:hAnsi="Times New Roman" w:eastAsia="宋体" w:cs="Times New Roman"/>
          <w:color w:val="auto"/>
          <w:sz w:val="24"/>
          <w:szCs w:val="24"/>
          <w:lang w:val="en-US" w:eastAsia="zh-CN"/>
        </w:rPr>
        <w:t>2482.6</w:t>
      </w:r>
      <w:r>
        <w:rPr>
          <w:rFonts w:hint="default" w:ascii="Times New Roman" w:hAnsi="Times New Roman" w:eastAsia="宋体" w:cs="Times New Roman"/>
          <w:snapToGrid w:val="0"/>
          <w:color w:val="auto"/>
          <w:kern w:val="0"/>
          <w:sz w:val="24"/>
          <w:szCs w:val="24"/>
          <w:highlight w:val="none"/>
          <w:lang w:val="en-US" w:eastAsia="zh-CN"/>
        </w:rPr>
        <w:t>m</w:t>
      </w:r>
      <w:r>
        <w:rPr>
          <w:rFonts w:hint="default" w:ascii="Times New Roman" w:hAnsi="Times New Roman" w:eastAsia="宋体" w:cs="Times New Roman"/>
          <w:snapToGrid w:val="0"/>
          <w:color w:val="auto"/>
          <w:kern w:val="0"/>
          <w:sz w:val="24"/>
          <w:szCs w:val="24"/>
          <w:highlight w:val="none"/>
          <w:vertAlign w:val="superscript"/>
          <w:lang w:val="en-US" w:eastAsia="zh-CN"/>
        </w:rPr>
        <w:t>2</w:t>
      </w:r>
      <w:r>
        <w:rPr>
          <w:rFonts w:hint="eastAsia" w:ascii="Times New Roman" w:hAnsi="Times New Roman" w:eastAsia="宋体" w:cs="Times New Roman"/>
          <w:snapToGrid w:val="0"/>
          <w:color w:val="auto"/>
          <w:kern w:val="0"/>
          <w:sz w:val="24"/>
          <w:szCs w:val="24"/>
          <w:highlight w:val="none"/>
          <w:vertAlign w:val="baseline"/>
          <w:lang w:val="en-US" w:eastAsia="zh-CN"/>
        </w:rPr>
        <w:t>，</w:t>
      </w:r>
      <w:r>
        <w:rPr>
          <w:rFonts w:hint="eastAsia" w:ascii="Times New Roman" w:hAnsi="Times New Roman" w:eastAsia="宋体" w:cs="Times New Roman"/>
          <w:color w:val="000000"/>
          <w:sz w:val="24"/>
          <w:szCs w:val="24"/>
          <w:lang w:val="en-US" w:eastAsia="zh-CN"/>
        </w:rPr>
        <w:t>则本项目车间地面清洁用水量为149.0</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a，全部来自于蒸汽冷凝水。</w:t>
      </w:r>
    </w:p>
    <w:p>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000000"/>
          <w:sz w:val="24"/>
          <w:szCs w:val="24"/>
          <w:lang w:val="en-US" w:eastAsia="zh-CN"/>
        </w:rPr>
        <w:t>循环</w:t>
      </w:r>
      <w:r>
        <w:rPr>
          <w:rFonts w:ascii="Times New Roman" w:hAnsi="Times New Roman" w:eastAsia="宋体" w:cs="Times New Roman"/>
          <w:color w:val="000000"/>
          <w:sz w:val="24"/>
          <w:szCs w:val="24"/>
        </w:rPr>
        <w:t>冷却用水：项目</w:t>
      </w:r>
      <w:r>
        <w:rPr>
          <w:rFonts w:hint="eastAsia" w:ascii="Times New Roman" w:hAnsi="Times New Roman" w:eastAsia="宋体" w:cs="Times New Roman"/>
          <w:color w:val="000000"/>
          <w:sz w:val="24"/>
          <w:szCs w:val="24"/>
          <w:lang w:val="en-US" w:eastAsia="zh-CN"/>
        </w:rPr>
        <w:t>生产设备</w:t>
      </w:r>
      <w:r>
        <w:rPr>
          <w:rFonts w:ascii="Times New Roman" w:hAnsi="Times New Roman" w:eastAsia="宋体" w:cs="Times New Roman"/>
          <w:color w:val="000000"/>
          <w:sz w:val="24"/>
          <w:szCs w:val="24"/>
        </w:rPr>
        <w:t>冷却工序冷却水经循环水池后循环使用，</w:t>
      </w:r>
      <w:r>
        <w:rPr>
          <w:rFonts w:hint="eastAsia" w:ascii="Times New Roman" w:hAnsi="Times New Roman" w:eastAsia="宋体" w:cs="Times New Roman"/>
          <w:color w:val="000000"/>
          <w:sz w:val="24"/>
          <w:szCs w:val="24"/>
          <w:lang w:val="en-US" w:eastAsia="zh-CN"/>
        </w:rPr>
        <w:t>循环水池水量为40</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hint="eastAsia" w:ascii="Times New Roman" w:hAnsi="Times New Roman" w:eastAsia="宋体" w:cs="Times New Roman"/>
          <w:color w:val="000000"/>
          <w:sz w:val="24"/>
          <w:szCs w:val="24"/>
          <w:lang w:val="en-US" w:eastAsia="zh-CN"/>
        </w:rPr>
        <w:t>，溶剂为总循环量100</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h，其中风吹、</w:t>
      </w:r>
      <w:r>
        <w:rPr>
          <w:rFonts w:ascii="Times New Roman" w:hAnsi="Times New Roman" w:eastAsia="宋体" w:cs="Times New Roman"/>
          <w:color w:val="000000"/>
          <w:sz w:val="24"/>
          <w:szCs w:val="24"/>
        </w:rPr>
        <w:t>蒸发损失</w:t>
      </w:r>
      <w:r>
        <w:rPr>
          <w:rFonts w:hint="eastAsia" w:ascii="Times New Roman" w:hAnsi="Times New Roman" w:eastAsia="宋体" w:cs="Times New Roman"/>
          <w:color w:val="000000"/>
          <w:sz w:val="24"/>
          <w:szCs w:val="24"/>
          <w:lang w:val="en-US" w:eastAsia="zh-CN"/>
        </w:rPr>
        <w:t>为循环量的1.5%约1.5</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h，同时每小时定期补充</w:t>
      </w:r>
      <w:r>
        <w:rPr>
          <w:rFonts w:hint="eastAsia" w:ascii="Times New Roman" w:hAnsi="Times New Roman" w:eastAsia="宋体" w:cs="Times New Roman"/>
          <w:color w:val="000000"/>
          <w:sz w:val="24"/>
          <w:szCs w:val="24"/>
          <w:lang w:eastAsia="zh-CN"/>
        </w:rPr>
        <w:t>，</w:t>
      </w:r>
      <w:r>
        <w:rPr>
          <w:rFonts w:hint="eastAsia" w:ascii="Times New Roman" w:hAnsi="Times New Roman" w:eastAsia="宋体" w:cs="Times New Roman"/>
          <w:color w:val="000000"/>
          <w:sz w:val="24"/>
          <w:szCs w:val="24"/>
          <w:lang w:val="en-US" w:eastAsia="zh-CN"/>
        </w:rPr>
        <w:t>为避免冷却循环水盐分过高影响正常运行，</w:t>
      </w:r>
      <w:r>
        <w:rPr>
          <w:rFonts w:hint="default" w:ascii="Times New Roman" w:hAnsi="Times New Roman" w:eastAsia="宋体" w:cs="Times New Roman"/>
          <w:color w:val="auto"/>
          <w:kern w:val="0"/>
          <w:sz w:val="24"/>
          <w:szCs w:val="24"/>
          <w:lang w:val="en-US" w:eastAsia="zh-CN" w:bidi="ar"/>
        </w:rPr>
        <w:t>一般一周更换1次，</w:t>
      </w:r>
      <w:r>
        <w:rPr>
          <w:rFonts w:hint="eastAsia" w:ascii="Times New Roman" w:hAnsi="Times New Roman" w:eastAsia="宋体" w:cs="Times New Roman"/>
          <w:color w:val="auto"/>
          <w:sz w:val="24"/>
          <w:szCs w:val="24"/>
          <w:lang w:val="en-US" w:eastAsia="zh-CN"/>
        </w:rPr>
        <w:t>则循环冷却用水量为12514</w:t>
      </w:r>
      <w:r>
        <w:rPr>
          <w:rFonts w:ascii="Times New Roman" w:hAnsi="Times New Roman" w:eastAsia="宋体" w:cs="Times New Roman"/>
          <w:color w:val="auto"/>
          <w:sz w:val="24"/>
          <w:szCs w:val="24"/>
        </w:rPr>
        <w:t>m</w:t>
      </w:r>
      <w:r>
        <w:rPr>
          <w:rFonts w:ascii="Times New Roman" w:hAnsi="Times New Roman" w:eastAsia="宋体" w:cs="Times New Roman"/>
          <w:color w:val="auto"/>
          <w:sz w:val="24"/>
          <w:szCs w:val="24"/>
          <w:vertAlign w:val="superscript"/>
        </w:rPr>
        <w:t>3</w:t>
      </w:r>
      <w:r>
        <w:rPr>
          <w:rFonts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a，其中蒸汽冷凝水用量1351</w:t>
      </w:r>
      <w:r>
        <w:rPr>
          <w:rFonts w:ascii="Times New Roman" w:hAnsi="Times New Roman" w:eastAsia="宋体" w:cs="Times New Roman"/>
          <w:color w:val="auto"/>
          <w:sz w:val="24"/>
          <w:szCs w:val="24"/>
        </w:rPr>
        <w:t>m</w:t>
      </w:r>
      <w:r>
        <w:rPr>
          <w:rFonts w:ascii="Times New Roman" w:hAnsi="Times New Roman" w:eastAsia="宋体" w:cs="Times New Roman"/>
          <w:color w:val="auto"/>
          <w:sz w:val="24"/>
          <w:szCs w:val="24"/>
          <w:vertAlign w:val="superscript"/>
        </w:rPr>
        <w:t>3</w:t>
      </w:r>
      <w:r>
        <w:rPr>
          <w:rFonts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a，自来水用量11163</w:t>
      </w:r>
      <w:r>
        <w:rPr>
          <w:rFonts w:ascii="Times New Roman" w:hAnsi="Times New Roman" w:eastAsia="宋体" w:cs="Times New Roman"/>
          <w:color w:val="auto"/>
          <w:sz w:val="24"/>
          <w:szCs w:val="24"/>
        </w:rPr>
        <w:t>m</w:t>
      </w:r>
      <w:r>
        <w:rPr>
          <w:rFonts w:ascii="Times New Roman" w:hAnsi="Times New Roman" w:eastAsia="宋体" w:cs="Times New Roman"/>
          <w:color w:val="auto"/>
          <w:sz w:val="24"/>
          <w:szCs w:val="24"/>
          <w:vertAlign w:val="superscript"/>
        </w:rPr>
        <w:t>3</w:t>
      </w:r>
      <w:r>
        <w:rPr>
          <w:rFonts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a</w:t>
      </w:r>
      <w:r>
        <w:rPr>
          <w:rFonts w:ascii="Times New Roman" w:hAnsi="Times New Roman" w:eastAsia="宋体" w:cs="Times New Roman"/>
          <w:color w:val="auto"/>
          <w:sz w:val="24"/>
          <w:szCs w:val="24"/>
        </w:rPr>
        <w:t>。</w:t>
      </w:r>
    </w:p>
    <w:p>
      <w:pPr>
        <w:snapToGrid w:val="0"/>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生活用水：主要为员工生活用水，项目劳动定员</w:t>
      </w:r>
      <w:r>
        <w:rPr>
          <w:rFonts w:hint="eastAsia" w:ascii="Times New Roman" w:hAnsi="Times New Roman" w:eastAsia="宋体" w:cs="Times New Roman"/>
          <w:color w:val="auto"/>
          <w:sz w:val="24"/>
          <w:szCs w:val="24"/>
          <w:lang w:val="en-US" w:eastAsia="zh-CN"/>
        </w:rPr>
        <w:t>80</w:t>
      </w:r>
      <w:r>
        <w:rPr>
          <w:rFonts w:ascii="Times New Roman" w:hAnsi="Times New Roman" w:eastAsia="宋体" w:cs="Times New Roman"/>
          <w:color w:val="auto"/>
          <w:sz w:val="24"/>
          <w:szCs w:val="24"/>
        </w:rPr>
        <w:t>人，</w:t>
      </w:r>
      <w:r>
        <w:rPr>
          <w:rFonts w:hint="eastAsia" w:ascii="Times New Roman" w:hAnsi="Times New Roman" w:eastAsia="宋体" w:cs="Times New Roman"/>
          <w:color w:val="auto"/>
          <w:sz w:val="24"/>
          <w:szCs w:val="24"/>
          <w:lang w:val="en-US" w:eastAsia="zh-CN"/>
        </w:rPr>
        <w:t>年工作300天，不在厂内食宿，</w:t>
      </w:r>
      <w:r>
        <w:rPr>
          <w:rFonts w:hint="eastAsia" w:ascii="Times New Roman" w:hAnsi="Times New Roman" w:eastAsia="宋体" w:cs="Times New Roman"/>
          <w:color w:val="auto"/>
          <w:sz w:val="24"/>
          <w:szCs w:val="24"/>
          <w:lang w:eastAsia="zh-CN"/>
        </w:rPr>
        <w:t>根据《</w:t>
      </w:r>
      <w:r>
        <w:rPr>
          <w:rFonts w:hint="eastAsia" w:ascii="Times New Roman" w:hAnsi="Times New Roman" w:eastAsia="宋体" w:cs="Times New Roman"/>
          <w:color w:val="auto"/>
          <w:sz w:val="24"/>
          <w:szCs w:val="24"/>
          <w:lang w:val="en-US" w:eastAsia="zh-CN"/>
        </w:rPr>
        <w:t>山东省城市生活用水量标准</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DB37T5105-2017</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用水量按</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0L/人•d计算</w:t>
      </w:r>
      <w:r>
        <w:rPr>
          <w:rFonts w:ascii="Times New Roman" w:hAnsi="Times New Roman" w:eastAsia="宋体" w:cs="Times New Roman"/>
          <w:color w:val="auto"/>
          <w:sz w:val="24"/>
          <w:szCs w:val="24"/>
        </w:rPr>
        <w:t>，则生活用水量为</w:t>
      </w:r>
      <w:r>
        <w:rPr>
          <w:rFonts w:hint="eastAsia" w:ascii="Times New Roman" w:hAnsi="Times New Roman" w:eastAsia="宋体" w:cs="Times New Roman"/>
          <w:color w:val="auto"/>
          <w:sz w:val="24"/>
          <w:szCs w:val="24"/>
          <w:lang w:val="en-US" w:eastAsia="zh-CN"/>
        </w:rPr>
        <w:t>1200</w:t>
      </w:r>
      <w:r>
        <w:rPr>
          <w:rFonts w:ascii="Times New Roman" w:hAnsi="Times New Roman" w:eastAsia="宋体" w:cs="Times New Roman"/>
          <w:color w:val="auto"/>
          <w:sz w:val="24"/>
          <w:szCs w:val="24"/>
        </w:rPr>
        <w:t>m</w:t>
      </w:r>
      <w:r>
        <w:rPr>
          <w:rFonts w:ascii="Times New Roman" w:hAnsi="Times New Roman" w:eastAsia="宋体" w:cs="Times New Roman"/>
          <w:color w:val="auto"/>
          <w:sz w:val="24"/>
          <w:szCs w:val="24"/>
          <w:vertAlign w:val="superscript"/>
        </w:rPr>
        <w:t>3</w:t>
      </w:r>
      <w:r>
        <w:rPr>
          <w:rFonts w:ascii="Times New Roman" w:hAnsi="Times New Roman" w:eastAsia="宋体" w:cs="Times New Roman"/>
          <w:color w:val="auto"/>
          <w:sz w:val="24"/>
          <w:szCs w:val="24"/>
        </w:rPr>
        <w:t>/a。</w:t>
      </w:r>
    </w:p>
    <w:p>
      <w:pPr>
        <w:snapToGrid w:val="0"/>
        <w:spacing w:line="360" w:lineRule="auto"/>
        <w:ind w:firstLine="480" w:firstLineChars="200"/>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综上，项目</w:t>
      </w:r>
      <w:r>
        <w:rPr>
          <w:rFonts w:hint="eastAsia" w:ascii="Times New Roman" w:hAnsi="Times New Roman" w:eastAsia="宋体" w:cs="Times New Roman"/>
          <w:color w:val="auto"/>
          <w:sz w:val="24"/>
          <w:szCs w:val="24"/>
          <w:lang w:val="en-US" w:eastAsia="zh-CN"/>
        </w:rPr>
        <w:t>自来水</w:t>
      </w:r>
      <w:r>
        <w:rPr>
          <w:rFonts w:ascii="Times New Roman" w:hAnsi="Times New Roman" w:eastAsia="宋体" w:cs="Times New Roman"/>
          <w:color w:val="auto"/>
          <w:sz w:val="24"/>
          <w:szCs w:val="24"/>
        </w:rPr>
        <w:t>用水量为</w:t>
      </w:r>
      <w:r>
        <w:rPr>
          <w:rFonts w:hint="eastAsia" w:ascii="Times New Roman" w:hAnsi="Times New Roman" w:eastAsia="宋体" w:cs="Times New Roman"/>
          <w:color w:val="auto"/>
          <w:sz w:val="24"/>
          <w:szCs w:val="24"/>
          <w:lang w:val="en-US" w:eastAsia="zh-CN"/>
        </w:rPr>
        <w:t>15542.2</w:t>
      </w:r>
      <w:r>
        <w:rPr>
          <w:rFonts w:ascii="Times New Roman" w:hAnsi="Times New Roman" w:eastAsia="宋体" w:cs="Times New Roman"/>
          <w:color w:val="auto"/>
          <w:sz w:val="24"/>
          <w:szCs w:val="24"/>
        </w:rPr>
        <w:t>m</w:t>
      </w:r>
      <w:r>
        <w:rPr>
          <w:rFonts w:ascii="Times New Roman" w:hAnsi="Times New Roman" w:eastAsia="宋体" w:cs="Times New Roman"/>
          <w:color w:val="auto"/>
          <w:sz w:val="24"/>
          <w:szCs w:val="24"/>
          <w:vertAlign w:val="superscript"/>
        </w:rPr>
        <w:t>3</w:t>
      </w:r>
      <w:r>
        <w:rPr>
          <w:rFonts w:ascii="Times New Roman" w:hAnsi="Times New Roman" w:eastAsia="宋体" w:cs="Times New Roman"/>
          <w:color w:val="auto"/>
          <w:sz w:val="24"/>
          <w:szCs w:val="24"/>
        </w:rPr>
        <w:t>/a</w:t>
      </w: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蒸汽冷凝水</w:t>
      </w:r>
      <w:r>
        <w:rPr>
          <w:rFonts w:ascii="Times New Roman" w:hAnsi="Times New Roman" w:eastAsia="宋体" w:cs="Times New Roman"/>
          <w:color w:val="auto"/>
          <w:sz w:val="24"/>
          <w:szCs w:val="24"/>
        </w:rPr>
        <w:t>用水量为</w:t>
      </w:r>
      <w:r>
        <w:rPr>
          <w:rFonts w:hint="eastAsia" w:ascii="Times New Roman" w:hAnsi="Times New Roman" w:eastAsia="宋体" w:cs="Times New Roman"/>
          <w:color w:val="auto"/>
          <w:sz w:val="24"/>
          <w:szCs w:val="24"/>
          <w:lang w:val="en-US" w:eastAsia="zh-CN"/>
        </w:rPr>
        <w:t>1500</w:t>
      </w:r>
      <w:r>
        <w:rPr>
          <w:rFonts w:ascii="Times New Roman" w:hAnsi="Times New Roman" w:eastAsia="宋体" w:cs="Times New Roman"/>
          <w:color w:val="auto"/>
          <w:sz w:val="24"/>
          <w:szCs w:val="24"/>
        </w:rPr>
        <w:t>m</w:t>
      </w:r>
      <w:r>
        <w:rPr>
          <w:rFonts w:ascii="Times New Roman" w:hAnsi="Times New Roman" w:eastAsia="宋体" w:cs="Times New Roman"/>
          <w:color w:val="auto"/>
          <w:sz w:val="24"/>
          <w:szCs w:val="24"/>
          <w:vertAlign w:val="superscript"/>
        </w:rPr>
        <w:t>3</w:t>
      </w:r>
      <w:r>
        <w:rPr>
          <w:rFonts w:ascii="Times New Roman" w:hAnsi="Times New Roman" w:eastAsia="宋体" w:cs="Times New Roman"/>
          <w:color w:val="auto"/>
          <w:sz w:val="24"/>
          <w:szCs w:val="24"/>
        </w:rPr>
        <w:t>/a。</w:t>
      </w:r>
    </w:p>
    <w:p>
      <w:pPr>
        <w:keepNext w:val="0"/>
        <w:keepLines w:val="0"/>
        <w:pageBreakBefore w:val="0"/>
        <w:widowControl w:val="0"/>
        <w:kinsoku/>
        <w:wordWrap/>
        <w:overflowPunct/>
        <w:topLinePunct w:val="0"/>
        <w:autoSpaceDE w:val="0"/>
        <w:autoSpaceDN w:val="0"/>
        <w:bidi w:val="0"/>
        <w:adjustRightInd w:val="0"/>
        <w:snapToGrid/>
        <w:spacing w:after="0" w:line="360" w:lineRule="auto"/>
        <w:ind w:firstLine="480" w:firstLineChars="200"/>
        <w:jc w:val="both"/>
        <w:textAlignment w:val="baseline"/>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②排水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rPr>
        <w:t>项目采用雨污分流制，雨水经管网收集后外排至厂外雨水沟。</w:t>
      </w:r>
      <w:r>
        <w:rPr>
          <w:rFonts w:hint="eastAsia" w:ascii="Times New Roman" w:hAnsi="Times New Roman" w:eastAsia="宋体" w:cs="Times New Roman"/>
          <w:sz w:val="24"/>
          <w:szCs w:val="24"/>
          <w:lang w:val="en-US" w:eastAsia="zh-CN"/>
        </w:rPr>
        <w:t>生活污水经化粪池预处理后，定期掏运用作农肥，不外排；化验中心第一次清洗废水作为危废，委托有资质单位进行处置；擦拭、冲洗废水</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纯化水制备浓水、包装容器清洗废水、注射水制备浓水、循环</w:t>
      </w:r>
      <w:r>
        <w:rPr>
          <w:rFonts w:hint="default" w:ascii="Times New Roman" w:hAnsi="Times New Roman" w:eastAsia="宋体" w:cs="Times New Roman"/>
          <w:sz w:val="24"/>
          <w:szCs w:val="24"/>
        </w:rPr>
        <w:t>冷却</w:t>
      </w:r>
      <w:r>
        <w:rPr>
          <w:rFonts w:hint="eastAsia" w:ascii="Times New Roman" w:hAnsi="Times New Roman" w:eastAsia="宋体" w:cs="Times New Roman"/>
          <w:sz w:val="24"/>
          <w:szCs w:val="24"/>
          <w:lang w:val="en-US" w:eastAsia="zh-CN"/>
        </w:rPr>
        <w:t>废</w:t>
      </w:r>
      <w:r>
        <w:rPr>
          <w:rFonts w:hint="default" w:ascii="Times New Roman" w:hAnsi="Times New Roman" w:eastAsia="宋体" w:cs="Times New Roman"/>
          <w:sz w:val="24"/>
          <w:szCs w:val="24"/>
        </w:rPr>
        <w:t>水</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化验中心第二次第三次清洗废水</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水浴灭菌箱废水</w:t>
      </w:r>
      <w:r>
        <w:rPr>
          <w:rFonts w:hint="default" w:ascii="Times New Roman" w:hAnsi="Times New Roman" w:eastAsia="宋体" w:cs="Times New Roman"/>
          <w:sz w:val="24"/>
          <w:szCs w:val="24"/>
          <w:lang w:val="en-US" w:eastAsia="zh-CN"/>
        </w:rPr>
        <w:t>一起</w:t>
      </w:r>
      <w:r>
        <w:rPr>
          <w:rFonts w:hint="default" w:ascii="Times New Roman" w:hAnsi="Times New Roman" w:eastAsia="宋体" w:cs="Times New Roman"/>
          <w:sz w:val="24"/>
          <w:szCs w:val="24"/>
          <w:lang w:eastAsia="zh-CN"/>
        </w:rPr>
        <w:t>进入厂区污水处理站</w:t>
      </w:r>
      <w:r>
        <w:rPr>
          <w:rFonts w:hint="eastAsia" w:ascii="Times New Roman" w:hAnsi="Times New Roman" w:eastAsia="宋体" w:cs="Times New Roman"/>
          <w:sz w:val="24"/>
          <w:szCs w:val="24"/>
          <w:lang w:eastAsia="zh-CN"/>
        </w:rPr>
        <w:t>处理</w:t>
      </w:r>
      <w:r>
        <w:rPr>
          <w:rFonts w:hint="eastAsia" w:ascii="Times New Roman" w:hAnsi="Times New Roman" w:eastAsia="宋体" w:cs="Times New Roman"/>
          <w:sz w:val="24"/>
          <w:szCs w:val="24"/>
          <w:lang w:val="en-US" w:eastAsia="zh-CN"/>
        </w:rPr>
        <w:t>达标</w:t>
      </w:r>
      <w:r>
        <w:rPr>
          <w:rFonts w:hint="eastAsia" w:ascii="Times New Roman" w:hAnsi="Times New Roman" w:eastAsia="宋体" w:cs="Times New Roman"/>
          <w:sz w:val="24"/>
          <w:szCs w:val="24"/>
          <w:lang w:eastAsia="zh-CN"/>
        </w:rPr>
        <w:t>后，</w:t>
      </w:r>
      <w:r>
        <w:rPr>
          <w:rFonts w:hint="default" w:ascii="Times New Roman" w:hAnsi="Times New Roman" w:eastAsia="宋体" w:cs="Times New Roman"/>
          <w:sz w:val="24"/>
          <w:szCs w:val="24"/>
          <w:lang w:val="en-US" w:eastAsia="zh-CN"/>
        </w:rPr>
        <w:t>通过市政污水管网排入</w:t>
      </w:r>
      <w:r>
        <w:rPr>
          <w:rFonts w:hint="eastAsia" w:ascii="Times New Roman" w:hAnsi="Times New Roman" w:eastAsia="宋体" w:cs="Times New Roman"/>
          <w:sz w:val="24"/>
          <w:szCs w:val="24"/>
          <w:lang w:val="en-US" w:eastAsia="zh-CN"/>
        </w:rPr>
        <w:t>菏泽众兴牡丹水环境有限公司污水处理厂</w:t>
      </w:r>
      <w:r>
        <w:rPr>
          <w:rFonts w:hint="default" w:ascii="Times New Roman" w:hAnsi="Times New Roman" w:eastAsia="宋体" w:cs="Times New Roman"/>
          <w:sz w:val="24"/>
          <w:szCs w:val="24"/>
          <w:lang w:val="en-US" w:eastAsia="zh-CN"/>
        </w:rPr>
        <w:t>进行深度处理</w:t>
      </w:r>
      <w:r>
        <w:rPr>
          <w:rFonts w:hint="eastAsia" w:ascii="Times New Roman" w:hAnsi="Times New Roman" w:eastAsia="宋体" w:cs="Times New Roman"/>
          <w:sz w:val="24"/>
          <w:szCs w:val="24"/>
          <w:lang w:val="en-US" w:eastAsia="zh-CN"/>
        </w:rPr>
        <w:t>，车间地面清洁</w:t>
      </w:r>
      <w:r>
        <w:rPr>
          <w:rFonts w:hint="default" w:ascii="Times New Roman" w:hAnsi="Times New Roman" w:eastAsia="宋体" w:cs="Times New Roman"/>
          <w:snapToGrid w:val="0"/>
          <w:color w:val="auto"/>
          <w:kern w:val="0"/>
          <w:sz w:val="24"/>
          <w:szCs w:val="24"/>
          <w:highlight w:val="none"/>
          <w:lang w:val="en-US" w:eastAsia="zh-CN"/>
        </w:rPr>
        <w:t>采取拖把保洁方式</w:t>
      </w:r>
      <w:r>
        <w:rPr>
          <w:rFonts w:hint="eastAsia" w:ascii="Times New Roman" w:hAnsi="Times New Roman" w:eastAsia="宋体" w:cs="Times New Roman"/>
          <w:snapToGrid w:val="0"/>
          <w:color w:val="auto"/>
          <w:kern w:val="0"/>
          <w:sz w:val="24"/>
          <w:szCs w:val="24"/>
          <w:highlight w:val="none"/>
          <w:lang w:val="en-US" w:eastAsia="zh-CN"/>
        </w:rPr>
        <w:t>全部蒸发损耗，不外排</w:t>
      </w:r>
      <w:r>
        <w:rPr>
          <w:rFonts w:hint="eastAsia" w:ascii="Times New Roman" w:hAnsi="Times New Roman" w:eastAsia="宋体"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kern w:val="0"/>
          <w:sz w:val="24"/>
          <w:szCs w:val="24"/>
          <w:lang w:val="en-US" w:eastAsia="zh-CN" w:bidi="ar-SA"/>
        </w:rPr>
      </w:pPr>
      <w:r>
        <w:rPr>
          <w:rFonts w:hint="default" w:ascii="Times New Roman" w:hAnsi="Times New Roman" w:eastAsia="宋体" w:cs="Times New Roman"/>
          <w:kern w:val="0"/>
          <w:sz w:val="24"/>
          <w:szCs w:val="24"/>
          <w:lang w:val="en-US" w:eastAsia="zh-CN" w:bidi="ar-SA"/>
        </w:rPr>
        <w:t>生活污水：生活污水产污系数按0.8计，则生活污水产生量为</w:t>
      </w:r>
      <w:r>
        <w:rPr>
          <w:rFonts w:hint="eastAsia" w:ascii="Times New Roman" w:hAnsi="Times New Roman" w:eastAsia="宋体" w:cs="Times New Roman"/>
          <w:kern w:val="0"/>
          <w:sz w:val="24"/>
          <w:szCs w:val="24"/>
          <w:lang w:val="en-US" w:eastAsia="zh-CN" w:bidi="ar-SA"/>
        </w:rPr>
        <w:t>960</w:t>
      </w:r>
      <w:r>
        <w:rPr>
          <w:rFonts w:ascii="Times New Roman" w:hAnsi="Times New Roman" w:eastAsia="宋体" w:cs="Times New Roman"/>
          <w:color w:val="000000"/>
          <w:kern w:val="0"/>
          <w:sz w:val="24"/>
          <w:szCs w:val="24"/>
          <w:lang w:val="en-US" w:eastAsia="zh-CN" w:bidi="ar-SA"/>
        </w:rPr>
        <w:t>m</w:t>
      </w:r>
      <w:r>
        <w:rPr>
          <w:rFonts w:ascii="Times New Roman" w:hAnsi="Times New Roman" w:eastAsia="宋体" w:cs="Times New Roman"/>
          <w:color w:val="000000"/>
          <w:kern w:val="0"/>
          <w:sz w:val="24"/>
          <w:szCs w:val="24"/>
          <w:vertAlign w:val="superscript"/>
          <w:lang w:val="en-US" w:eastAsia="zh-CN" w:bidi="ar-SA"/>
        </w:rPr>
        <w:t>3</w:t>
      </w:r>
      <w:r>
        <w:rPr>
          <w:rFonts w:ascii="Times New Roman" w:hAnsi="Times New Roman" w:eastAsia="宋体" w:cs="Times New Roman"/>
          <w:color w:val="000000"/>
          <w:kern w:val="0"/>
          <w:sz w:val="24"/>
          <w:szCs w:val="24"/>
          <w:lang w:val="en-US" w:eastAsia="zh-CN" w:bidi="ar-SA"/>
        </w:rPr>
        <w:t>/</w:t>
      </w:r>
      <w:r>
        <w:rPr>
          <w:rFonts w:hint="default" w:ascii="Times New Roman" w:hAnsi="Times New Roman" w:eastAsia="宋体" w:cs="Times New Roman"/>
          <w:kern w:val="0"/>
          <w:sz w:val="24"/>
          <w:szCs w:val="24"/>
          <w:lang w:val="en-US" w:eastAsia="zh-CN" w:bidi="ar-SA"/>
        </w:rPr>
        <w:t>a</w:t>
      </w:r>
      <w:r>
        <w:rPr>
          <w:rFonts w:hint="default" w:ascii="Times New Roman" w:hAnsi="Times New Roman" w:eastAsia="宋体" w:cs="Times New Roman"/>
          <w:color w:val="000000"/>
          <w:kern w:val="0"/>
          <w:sz w:val="24"/>
          <w:szCs w:val="24"/>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000000"/>
          <w:sz w:val="24"/>
          <w:szCs w:val="24"/>
        </w:rPr>
      </w:pPr>
      <w:r>
        <w:rPr>
          <w:rFonts w:hint="eastAsia" w:ascii="Times New Roman" w:hAnsi="Times New Roman" w:eastAsia="宋体" w:cs="Times New Roman"/>
          <w:color w:val="auto"/>
          <w:sz w:val="24"/>
          <w:szCs w:val="24"/>
          <w:lang w:val="en-US" w:eastAsia="zh-CN"/>
        </w:rPr>
        <w:t>设备擦拭、冲洗废水</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本项目仪器</w:t>
      </w:r>
      <w:r>
        <w:rPr>
          <w:rFonts w:hint="eastAsia" w:ascii="Times New Roman" w:hAnsi="Times New Roman" w:eastAsia="宋体" w:cs="Times New Roman"/>
          <w:color w:val="000000"/>
          <w:sz w:val="24"/>
          <w:szCs w:val="24"/>
          <w:lang w:val="en-US" w:eastAsia="zh-CN"/>
        </w:rPr>
        <w:t>设备</w:t>
      </w:r>
      <w:r>
        <w:rPr>
          <w:rFonts w:hint="eastAsia" w:ascii="Times New Roman" w:hAnsi="Times New Roman" w:eastAsia="宋体" w:cs="Times New Roman"/>
          <w:color w:val="auto"/>
          <w:sz w:val="24"/>
          <w:szCs w:val="24"/>
          <w:lang w:val="en-US" w:eastAsia="zh-CN"/>
        </w:rPr>
        <w:t>擦拭、冲洗</w:t>
      </w:r>
      <w:r>
        <w:rPr>
          <w:rFonts w:hint="eastAsia" w:ascii="Times New Roman" w:hAnsi="Times New Roman" w:eastAsia="宋体" w:cs="Times New Roman"/>
          <w:color w:val="000000"/>
          <w:sz w:val="24"/>
          <w:szCs w:val="24"/>
          <w:lang w:val="en-US" w:eastAsia="zh-CN"/>
        </w:rPr>
        <w:t>水损耗率以10%计，则设备纯化水</w:t>
      </w:r>
      <w:r>
        <w:rPr>
          <w:rFonts w:hint="eastAsia" w:ascii="Times New Roman" w:hAnsi="Times New Roman" w:eastAsia="宋体" w:cs="Times New Roman"/>
          <w:color w:val="auto"/>
          <w:sz w:val="24"/>
          <w:szCs w:val="24"/>
          <w:lang w:val="en-US" w:eastAsia="zh-CN"/>
        </w:rPr>
        <w:t>擦拭、冲洗</w:t>
      </w:r>
      <w:r>
        <w:rPr>
          <w:rFonts w:hint="default" w:ascii="Times New Roman" w:hAnsi="Times New Roman" w:eastAsia="宋体" w:cs="Times New Roman"/>
          <w:color w:val="auto"/>
          <w:sz w:val="24"/>
          <w:szCs w:val="24"/>
          <w:lang w:val="en-US" w:eastAsia="zh-CN"/>
        </w:rPr>
        <w:t>废水</w:t>
      </w:r>
      <w:r>
        <w:rPr>
          <w:rFonts w:hint="eastAsia" w:ascii="Times New Roman" w:hAnsi="Times New Roman" w:eastAsia="宋体" w:cs="Times New Roman"/>
          <w:color w:val="000000"/>
          <w:sz w:val="24"/>
          <w:szCs w:val="24"/>
          <w:lang w:val="en-US" w:eastAsia="zh-CN"/>
        </w:rPr>
        <w:t>量约为189</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a</w:t>
      </w:r>
      <w:r>
        <w:rPr>
          <w:rFonts w:hint="eastAsia" w:ascii="Times New Roman" w:hAnsi="Times New Roman" w:eastAsia="宋体" w:cs="Times New Roman"/>
          <w:color w:val="000000"/>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kern w:val="0"/>
          <w:sz w:val="24"/>
          <w:szCs w:val="24"/>
          <w:lang w:val="en-US" w:eastAsia="zh-CN" w:bidi="ar"/>
        </w:rPr>
        <w:t>纯化水制备浓水</w:t>
      </w:r>
      <w:r>
        <w:rPr>
          <w:rFonts w:hint="default" w:ascii="Times New Roman" w:hAnsi="Times New Roman" w:eastAsia="宋体" w:cs="Times New Roman"/>
          <w:color w:val="auto"/>
          <w:kern w:val="0"/>
          <w:sz w:val="24"/>
          <w:szCs w:val="24"/>
          <w:lang w:val="en-US" w:eastAsia="zh-CN" w:bidi="ar"/>
        </w:rPr>
        <w:t>：</w:t>
      </w:r>
      <w:r>
        <w:rPr>
          <w:rFonts w:hint="eastAsia" w:ascii="Times New Roman" w:hAnsi="Times New Roman" w:eastAsia="宋体" w:cs="Times New Roman"/>
          <w:color w:val="000000"/>
          <w:sz w:val="24"/>
          <w:szCs w:val="24"/>
          <w:lang w:val="en-US" w:eastAsia="zh-CN"/>
        </w:rPr>
        <w:t>纯化水总用量约为2384.4</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a。纯水制备率以75%计，则制备纯化水过程中约有794.8</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a浓水产生</w:t>
      </w:r>
      <w:r>
        <w:rPr>
          <w:rFonts w:hint="default" w:ascii="Times New Roman" w:hAnsi="Times New Roman" w:eastAsia="宋体" w:cs="Times New Roman"/>
          <w:color w:val="000000"/>
          <w:sz w:val="24"/>
          <w:szCs w:val="24"/>
        </w:rPr>
        <w:t>。</w:t>
      </w:r>
    </w:p>
    <w:p>
      <w:pPr>
        <w:keepNext w:val="0"/>
        <w:keepLines w:val="0"/>
        <w:pageBreakBefore w:val="0"/>
        <w:kinsoku/>
        <w:wordWrap/>
        <w:overflowPunct/>
        <w:topLinePunct w:val="0"/>
        <w:bidi w:val="0"/>
        <w:spacing w:line="360" w:lineRule="auto"/>
        <w:ind w:firstLine="480" w:firstLineChars="200"/>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000000"/>
          <w:sz w:val="24"/>
          <w:szCs w:val="24"/>
          <w:lang w:val="en-US" w:eastAsia="zh-CN"/>
        </w:rPr>
        <w:t>制剂配制水：制剂配制用水全部进入产品，随产品带走，无废水产生。</w:t>
      </w:r>
    </w:p>
    <w:p>
      <w:pPr>
        <w:keepNext w:val="0"/>
        <w:keepLines w:val="0"/>
        <w:pageBreakBefore w:val="0"/>
        <w:kinsoku/>
        <w:wordWrap/>
        <w:overflowPunct/>
        <w:topLinePunct w:val="0"/>
        <w:bidi w:val="0"/>
        <w:spacing w:line="360" w:lineRule="auto"/>
        <w:ind w:firstLine="480" w:firstLineChars="200"/>
        <w:jc w:val="both"/>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000000"/>
          <w:sz w:val="24"/>
          <w:szCs w:val="24"/>
          <w:lang w:val="en-US" w:eastAsia="zh-CN"/>
        </w:rPr>
        <w:t>包装容器清洗废水：包装容器清洗用水量约为300</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a，包装容器清洗水损耗率以10%计，则包装容器清洗废水产生量约为270</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w:t>
      </w:r>
      <w:r>
        <w:rPr>
          <w:rFonts w:hint="eastAsia" w:ascii="Times New Roman" w:hAnsi="Times New Roman" w:eastAsia="宋体" w:cs="Times New Roman"/>
          <w:color w:val="000000"/>
          <w:sz w:val="24"/>
          <w:szCs w:val="24"/>
          <w:lang w:val="en-US" w:eastAsia="zh-CN"/>
        </w:rPr>
        <w:t>a</w:t>
      </w:r>
      <w:r>
        <w:rPr>
          <w:rFonts w:hint="default" w:ascii="Times New Roman" w:hAnsi="Times New Roman" w:eastAsia="宋体" w:cs="Times New Roman"/>
          <w:color w:val="000000"/>
          <w:sz w:val="24"/>
          <w:szCs w:val="24"/>
        </w:rPr>
        <w:t>。</w:t>
      </w:r>
    </w:p>
    <w:p>
      <w:pPr>
        <w:keepNext w:val="0"/>
        <w:keepLines w:val="0"/>
        <w:pageBreakBefore w:val="0"/>
        <w:kinsoku/>
        <w:wordWrap/>
        <w:overflowPunct/>
        <w:topLinePunct w:val="0"/>
        <w:bidi w:val="0"/>
        <w:spacing w:line="360" w:lineRule="auto"/>
        <w:ind w:firstLine="480" w:firstLineChars="200"/>
        <w:jc w:val="both"/>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bidi="ar"/>
        </w:rPr>
        <w:t>注射水制备浓水：注射水</w:t>
      </w:r>
      <w:r>
        <w:rPr>
          <w:rFonts w:hint="eastAsia" w:ascii="Times New Roman" w:hAnsi="Times New Roman" w:eastAsia="宋体" w:cs="Times New Roman"/>
          <w:color w:val="000000"/>
          <w:sz w:val="24"/>
          <w:szCs w:val="24"/>
          <w:highlight w:val="none"/>
          <w:lang w:val="en-US" w:eastAsia="zh-CN"/>
        </w:rPr>
        <w:t>总用量约为2040</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/a</w:t>
      </w:r>
      <w:r>
        <w:rPr>
          <w:rFonts w:hint="eastAsia" w:ascii="Times New Roman" w:hAnsi="Times New Roman" w:eastAsia="宋体" w:cs="Times New Roman"/>
          <w:color w:val="000000"/>
          <w:sz w:val="24"/>
          <w:szCs w:val="24"/>
          <w:highlight w:val="none"/>
          <w:lang w:val="en-US" w:eastAsia="zh-CN"/>
        </w:rPr>
        <w:t>。注射水制备率以95%计，则制备注射水过程中约有107.4</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/a</w:t>
      </w:r>
      <w:r>
        <w:rPr>
          <w:rFonts w:hint="eastAsia" w:ascii="Times New Roman" w:hAnsi="Times New Roman" w:eastAsia="宋体" w:cs="Times New Roman"/>
          <w:color w:val="000000"/>
          <w:sz w:val="24"/>
          <w:szCs w:val="24"/>
          <w:highlight w:val="none"/>
          <w:lang w:val="en-US" w:eastAsia="zh-CN"/>
        </w:rPr>
        <w:t>浓水产生</w:t>
      </w:r>
      <w:r>
        <w:rPr>
          <w:rFonts w:hint="default" w:ascii="Times New Roman" w:hAnsi="Times New Roman" w:eastAsia="宋体" w:cs="Times New Roman"/>
          <w:color w:val="000000"/>
          <w:sz w:val="24"/>
          <w:szCs w:val="24"/>
          <w:highlight w:val="none"/>
        </w:rPr>
        <w:t>。</w:t>
      </w:r>
    </w:p>
    <w:p>
      <w:pPr>
        <w:spacing w:line="360" w:lineRule="auto"/>
        <w:ind w:firstLine="480" w:firstLineChars="200"/>
        <w:rPr>
          <w:rFonts w:hint="eastAsia" w:ascii="Times New Roman" w:hAnsi="Times New Roman" w:eastAsia="宋体" w:cs="Times New Roman"/>
          <w:color w:val="000000"/>
          <w:sz w:val="24"/>
          <w:szCs w:val="24"/>
          <w:lang w:eastAsia="zh-CN"/>
        </w:rPr>
      </w:pPr>
      <w:r>
        <w:rPr>
          <w:rFonts w:hint="eastAsia" w:ascii="Times New Roman" w:hAnsi="Times New Roman" w:eastAsia="宋体" w:cs="Times New Roman"/>
          <w:color w:val="000000"/>
          <w:sz w:val="24"/>
          <w:szCs w:val="24"/>
          <w:lang w:val="en-US" w:eastAsia="zh-CN"/>
        </w:rPr>
        <w:t>循环</w:t>
      </w:r>
      <w:r>
        <w:rPr>
          <w:rFonts w:ascii="Times New Roman" w:hAnsi="Times New Roman" w:eastAsia="宋体" w:cs="Times New Roman"/>
          <w:color w:val="000000"/>
          <w:sz w:val="24"/>
          <w:szCs w:val="24"/>
        </w:rPr>
        <w:t>冷却</w:t>
      </w:r>
      <w:r>
        <w:rPr>
          <w:rFonts w:hint="eastAsia" w:ascii="Times New Roman" w:hAnsi="Times New Roman" w:eastAsia="宋体" w:cs="Times New Roman"/>
          <w:color w:val="000000"/>
          <w:sz w:val="24"/>
          <w:szCs w:val="24"/>
          <w:lang w:val="en-US" w:eastAsia="zh-CN"/>
        </w:rPr>
        <w:t>废</w:t>
      </w:r>
      <w:r>
        <w:rPr>
          <w:rFonts w:ascii="Times New Roman" w:hAnsi="Times New Roman" w:eastAsia="宋体" w:cs="Times New Roman"/>
          <w:color w:val="000000"/>
          <w:sz w:val="24"/>
          <w:szCs w:val="24"/>
        </w:rPr>
        <w:t>水</w:t>
      </w:r>
      <w:r>
        <w:rPr>
          <w:rFonts w:hint="eastAsia" w:ascii="Times New Roman" w:hAnsi="Times New Roman" w:eastAsia="宋体" w:cs="Times New Roman"/>
          <w:color w:val="000000"/>
          <w:sz w:val="24"/>
          <w:szCs w:val="24"/>
          <w:lang w:eastAsia="zh-CN"/>
        </w:rPr>
        <w:t>：</w:t>
      </w:r>
      <w:r>
        <w:rPr>
          <w:rFonts w:hint="eastAsia" w:ascii="Times New Roman" w:hAnsi="Times New Roman" w:eastAsia="宋体" w:cs="Times New Roman"/>
          <w:color w:val="000000"/>
          <w:sz w:val="24"/>
          <w:szCs w:val="24"/>
          <w:lang w:val="en-US" w:eastAsia="zh-CN"/>
        </w:rPr>
        <w:t>循环冷却</w:t>
      </w:r>
      <w:r>
        <w:rPr>
          <w:rFonts w:hint="default" w:ascii="Times New Roman" w:hAnsi="Times New Roman" w:eastAsia="宋体" w:cs="Times New Roman"/>
          <w:color w:val="000000"/>
          <w:sz w:val="24"/>
          <w:szCs w:val="24"/>
          <w:lang w:val="en-US" w:eastAsia="zh-CN"/>
        </w:rPr>
        <w:t>用水循环使用，</w:t>
      </w:r>
      <w:r>
        <w:rPr>
          <w:rFonts w:hint="eastAsia" w:ascii="Times New Roman" w:hAnsi="Times New Roman" w:eastAsia="宋体" w:cs="Times New Roman"/>
          <w:color w:val="000000"/>
          <w:sz w:val="24"/>
          <w:szCs w:val="24"/>
          <w:lang w:val="en-US" w:eastAsia="zh-CN"/>
        </w:rPr>
        <w:t>为避免冷却循环水盐分过高影响正常运行，</w:t>
      </w:r>
      <w:r>
        <w:rPr>
          <w:rFonts w:hint="default" w:ascii="Times New Roman" w:hAnsi="Times New Roman" w:eastAsia="宋体" w:cs="Times New Roman"/>
          <w:color w:val="auto"/>
          <w:kern w:val="0"/>
          <w:sz w:val="24"/>
          <w:szCs w:val="24"/>
          <w:lang w:val="en-US" w:eastAsia="zh-CN" w:bidi="ar"/>
        </w:rPr>
        <w:t>一般一周更换1次，</w:t>
      </w:r>
      <w:r>
        <w:rPr>
          <w:rFonts w:hint="eastAsia" w:ascii="Times New Roman" w:hAnsi="Times New Roman" w:eastAsia="宋体" w:cs="Times New Roman"/>
          <w:color w:val="000000"/>
          <w:sz w:val="24"/>
          <w:szCs w:val="24"/>
          <w:lang w:val="en-US" w:eastAsia="zh-CN"/>
        </w:rPr>
        <w:t>则循环</w:t>
      </w:r>
      <w:r>
        <w:rPr>
          <w:rFonts w:ascii="Times New Roman" w:hAnsi="Times New Roman" w:eastAsia="宋体" w:cs="Times New Roman"/>
          <w:color w:val="000000"/>
          <w:sz w:val="24"/>
          <w:szCs w:val="24"/>
        </w:rPr>
        <w:t>冷却</w:t>
      </w:r>
      <w:r>
        <w:rPr>
          <w:rFonts w:hint="eastAsia" w:ascii="Times New Roman" w:hAnsi="Times New Roman" w:eastAsia="宋体" w:cs="Times New Roman"/>
          <w:color w:val="000000"/>
          <w:sz w:val="24"/>
          <w:szCs w:val="24"/>
          <w:lang w:val="en-US" w:eastAsia="zh-CN"/>
        </w:rPr>
        <w:t>废</w:t>
      </w:r>
      <w:r>
        <w:rPr>
          <w:rFonts w:ascii="Times New Roman" w:hAnsi="Times New Roman" w:eastAsia="宋体" w:cs="Times New Roman"/>
          <w:color w:val="000000"/>
          <w:sz w:val="24"/>
          <w:szCs w:val="24"/>
        </w:rPr>
        <w:t>水</w:t>
      </w:r>
      <w:r>
        <w:rPr>
          <w:rFonts w:hint="eastAsia" w:ascii="Times New Roman" w:hAnsi="Times New Roman" w:eastAsia="宋体" w:cs="Times New Roman"/>
          <w:color w:val="000000"/>
          <w:sz w:val="24"/>
          <w:szCs w:val="24"/>
          <w:lang w:val="en-US" w:eastAsia="zh-CN"/>
        </w:rPr>
        <w:t>产生量约为1714</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/a</w:t>
      </w:r>
      <w:r>
        <w:rPr>
          <w:rFonts w:hint="eastAsia" w:ascii="Times New Roman" w:hAnsi="Times New Roman" w:eastAsia="宋体" w:cs="Times New Roman"/>
          <w:color w:val="000000"/>
          <w:sz w:val="24"/>
          <w:szCs w:val="24"/>
          <w:lang w:eastAsia="zh-CN"/>
        </w:rPr>
        <w:t>。</w:t>
      </w:r>
    </w:p>
    <w:p>
      <w:pPr>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lang w:val="en-US" w:eastAsia="zh-CN"/>
        </w:rPr>
        <w:t>车间地面清洁废水：</w:t>
      </w:r>
      <w:r>
        <w:rPr>
          <w:rFonts w:ascii="Times New Roman" w:hAnsi="Times New Roman" w:eastAsia="宋体" w:cs="Times New Roman"/>
          <w:color w:val="000000"/>
          <w:sz w:val="24"/>
          <w:szCs w:val="24"/>
        </w:rPr>
        <w:t>该项目地面冲洗水年用水约</w:t>
      </w:r>
      <w:r>
        <w:rPr>
          <w:rFonts w:hint="eastAsia" w:ascii="Times New Roman" w:hAnsi="Times New Roman" w:eastAsia="宋体" w:cs="Times New Roman"/>
          <w:color w:val="000000"/>
          <w:sz w:val="24"/>
          <w:szCs w:val="24"/>
          <w:lang w:val="en-US" w:eastAsia="zh-CN"/>
        </w:rPr>
        <w:t>149.0</w:t>
      </w:r>
      <w:r>
        <w:rPr>
          <w:rFonts w:ascii="Times New Roman" w:hAnsi="Times New Roman" w:eastAsia="宋体" w:cs="Times New Roman"/>
          <w:color w:val="000000"/>
          <w:sz w:val="24"/>
          <w:szCs w:val="24"/>
        </w:rPr>
        <w:t>m</w:t>
      </w:r>
      <w:r>
        <w:rPr>
          <w:rFonts w:ascii="Times New Roman" w:hAnsi="Times New Roman" w:eastAsia="宋体" w:cs="Times New Roman"/>
          <w:color w:val="000000"/>
          <w:sz w:val="24"/>
          <w:szCs w:val="24"/>
          <w:vertAlign w:val="superscript"/>
        </w:rPr>
        <w:t>3</w:t>
      </w:r>
      <w:r>
        <w:rPr>
          <w:rFonts w:ascii="Times New Roman" w:hAnsi="Times New Roman" w:eastAsia="宋体" w:cs="Times New Roman"/>
          <w:color w:val="000000"/>
          <w:sz w:val="24"/>
          <w:szCs w:val="24"/>
        </w:rPr>
        <w:t>/a，</w:t>
      </w:r>
      <w:r>
        <w:rPr>
          <w:rFonts w:hint="default" w:ascii="Times New Roman" w:hAnsi="Times New Roman" w:eastAsia="宋体" w:cs="Times New Roman"/>
          <w:snapToGrid w:val="0"/>
          <w:color w:val="auto"/>
          <w:kern w:val="0"/>
          <w:sz w:val="24"/>
          <w:szCs w:val="24"/>
          <w:highlight w:val="none"/>
          <w:lang w:val="en-US" w:eastAsia="zh-CN"/>
        </w:rPr>
        <w:t>拟建项目采取拖把保洁方式，不直接冲洗</w:t>
      </w:r>
      <w:r>
        <w:rPr>
          <w:rFonts w:hint="eastAsia" w:ascii="Times New Roman" w:hAnsi="Times New Roman" w:eastAsia="宋体" w:cs="Times New Roman"/>
          <w:snapToGrid w:val="0"/>
          <w:color w:val="auto"/>
          <w:kern w:val="0"/>
          <w:sz w:val="24"/>
          <w:szCs w:val="24"/>
          <w:highlight w:val="none"/>
          <w:lang w:val="en-US" w:eastAsia="zh-CN"/>
        </w:rPr>
        <w:t>车间</w:t>
      </w:r>
      <w:r>
        <w:rPr>
          <w:rFonts w:hint="default" w:ascii="Times New Roman" w:hAnsi="Times New Roman" w:eastAsia="宋体" w:cs="Times New Roman"/>
          <w:snapToGrid w:val="0"/>
          <w:color w:val="auto"/>
          <w:kern w:val="0"/>
          <w:sz w:val="24"/>
          <w:szCs w:val="24"/>
          <w:highlight w:val="none"/>
          <w:lang w:val="en-US" w:eastAsia="zh-CN"/>
        </w:rPr>
        <w:t>地面</w:t>
      </w:r>
      <w:r>
        <w:rPr>
          <w:rFonts w:hint="eastAsia" w:ascii="Times New Roman" w:hAnsi="Times New Roman" w:eastAsia="宋体" w:cs="Times New Roman"/>
          <w:snapToGrid w:val="0"/>
          <w:color w:val="auto"/>
          <w:kern w:val="0"/>
          <w:sz w:val="24"/>
          <w:szCs w:val="24"/>
          <w:highlight w:val="none"/>
          <w:lang w:val="en-US" w:eastAsia="zh-CN"/>
        </w:rPr>
        <w:t>，故</w:t>
      </w:r>
      <w:r>
        <w:rPr>
          <w:rFonts w:hint="eastAsia" w:ascii="Times New Roman" w:hAnsi="Times New Roman" w:eastAsia="宋体" w:cs="Times New Roman"/>
          <w:color w:val="000000"/>
          <w:sz w:val="24"/>
          <w:szCs w:val="24"/>
          <w:lang w:val="en-US" w:eastAsia="zh-CN"/>
        </w:rPr>
        <w:t>车间地面清洁废水全部自然挥发不外排</w:t>
      </w:r>
      <w:r>
        <w:rPr>
          <w:rFonts w:ascii="Times New Roman" w:hAnsi="Times New Roman" w:eastAsia="宋体" w:cs="Times New Roman"/>
          <w:color w:val="000000"/>
          <w:sz w:val="24"/>
          <w:szCs w:val="24"/>
        </w:rPr>
        <w:t>。</w:t>
      </w:r>
    </w:p>
    <w:p>
      <w:pPr>
        <w:snapToGrid w:val="0"/>
        <w:spacing w:line="360" w:lineRule="auto"/>
        <w:ind w:firstLine="480" w:firstLineChars="200"/>
        <w:rPr>
          <w:rFonts w:hint="eastAsia"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化验中心废水：本项目化验中心使用的药品大多为常规化学试剂，以酸碱盐为主，化验中心化验用水量为15t/a。排水主要为仪器清洗废水，废水产生系数为0.8，化验中心废水产生量为12t/a。</w:t>
      </w:r>
      <w:r>
        <w:rPr>
          <w:rFonts w:hint="default" w:ascii="Times New Roman" w:hAnsi="Times New Roman" w:eastAsia="宋体" w:cs="Times New Roman"/>
          <w:color w:val="auto"/>
          <w:sz w:val="24"/>
          <w:szCs w:val="24"/>
          <w:lang w:val="en-US" w:eastAsia="zh-CN"/>
        </w:rPr>
        <w:t>第</w:t>
      </w:r>
      <w:r>
        <w:rPr>
          <w:rFonts w:hint="default" w:ascii="Times New Roman" w:hAnsi="Times New Roman" w:eastAsia="宋体" w:cs="Times New Roman"/>
          <w:color w:val="auto"/>
          <w:sz w:val="24"/>
          <w:szCs w:val="24"/>
          <w:lang w:eastAsia="zh-CN"/>
        </w:rPr>
        <w:t>一</w:t>
      </w:r>
      <w:r>
        <w:rPr>
          <w:rFonts w:hint="default" w:ascii="Times New Roman" w:hAnsi="Times New Roman" w:eastAsia="宋体" w:cs="Times New Roman"/>
          <w:color w:val="auto"/>
          <w:sz w:val="24"/>
          <w:szCs w:val="24"/>
          <w:lang w:val="en-US" w:eastAsia="zh-CN"/>
        </w:rPr>
        <w:t>次</w:t>
      </w:r>
      <w:r>
        <w:rPr>
          <w:rFonts w:hint="eastAsia" w:ascii="Times New Roman" w:hAnsi="Times New Roman" w:eastAsia="宋体" w:cs="Times New Roman"/>
          <w:color w:val="auto"/>
          <w:sz w:val="24"/>
          <w:szCs w:val="24"/>
          <w:lang w:val="en-US" w:eastAsia="zh-CN"/>
        </w:rPr>
        <w:t>清洗</w:t>
      </w:r>
      <w:r>
        <w:rPr>
          <w:rFonts w:hint="default" w:ascii="Times New Roman" w:hAnsi="Times New Roman" w:eastAsia="宋体" w:cs="Times New Roman"/>
          <w:color w:val="000000"/>
          <w:kern w:val="0"/>
          <w:sz w:val="24"/>
          <w:szCs w:val="24"/>
          <w:lang w:val="en-US" w:eastAsia="zh-CN" w:bidi="ar"/>
        </w:rPr>
        <w:t>废水量为</w:t>
      </w:r>
      <w:r>
        <w:rPr>
          <w:rFonts w:hint="eastAsia" w:ascii="Times New Roman" w:hAnsi="Times New Roman" w:eastAsia="宋体" w:cs="Times New Roman"/>
          <w:color w:val="000000"/>
          <w:kern w:val="0"/>
          <w:sz w:val="24"/>
          <w:szCs w:val="24"/>
          <w:lang w:val="en-US" w:eastAsia="zh-CN" w:bidi="ar"/>
        </w:rPr>
        <w:t>4</w:t>
      </w:r>
      <w:r>
        <w:rPr>
          <w:rFonts w:hint="default" w:ascii="Times New Roman" w:hAnsi="Times New Roman" w:eastAsia="宋体" w:cs="Times New Roman"/>
          <w:color w:val="auto"/>
          <w:sz w:val="24"/>
          <w:szCs w:val="24"/>
        </w:rPr>
        <w:t>m</w:t>
      </w:r>
      <w:r>
        <w:rPr>
          <w:rFonts w:hint="default" w:ascii="Times New Roman" w:hAnsi="Times New Roman" w:eastAsia="宋体" w:cs="Times New Roman"/>
          <w:color w:val="auto"/>
          <w:sz w:val="24"/>
          <w:szCs w:val="24"/>
          <w:vertAlign w:val="superscript"/>
        </w:rPr>
        <w:t>3</w:t>
      </w:r>
      <w:r>
        <w:rPr>
          <w:rFonts w:hint="default"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a，作为危废</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第二、第三</w:t>
      </w:r>
      <w:r>
        <w:rPr>
          <w:rFonts w:hint="default" w:ascii="Times New Roman" w:hAnsi="Times New Roman" w:eastAsia="宋体" w:cs="Times New Roman"/>
          <w:color w:val="000000"/>
          <w:kern w:val="0"/>
          <w:sz w:val="24"/>
          <w:szCs w:val="24"/>
          <w:lang w:val="en-US" w:eastAsia="zh-CN" w:bidi="ar"/>
        </w:rPr>
        <w:t>次</w:t>
      </w:r>
      <w:r>
        <w:rPr>
          <w:rFonts w:hint="eastAsia" w:ascii="Times New Roman" w:hAnsi="Times New Roman" w:eastAsia="宋体" w:cs="Times New Roman"/>
          <w:color w:val="000000"/>
          <w:kern w:val="0"/>
          <w:sz w:val="24"/>
          <w:szCs w:val="24"/>
          <w:lang w:val="en-US" w:eastAsia="zh-CN" w:bidi="ar"/>
        </w:rPr>
        <w:t>清洗</w:t>
      </w:r>
      <w:r>
        <w:rPr>
          <w:rFonts w:hint="default" w:ascii="Times New Roman" w:hAnsi="Times New Roman" w:eastAsia="宋体" w:cs="Times New Roman"/>
          <w:color w:val="000000"/>
          <w:kern w:val="0"/>
          <w:sz w:val="24"/>
          <w:szCs w:val="24"/>
          <w:lang w:val="en-US" w:eastAsia="zh-CN" w:bidi="ar"/>
        </w:rPr>
        <w:t>废水产生量为</w:t>
      </w:r>
      <w:r>
        <w:rPr>
          <w:rFonts w:hint="eastAsia" w:ascii="Times New Roman" w:hAnsi="Times New Roman" w:eastAsia="宋体" w:cs="Times New Roman"/>
          <w:color w:val="000000"/>
          <w:kern w:val="0"/>
          <w:sz w:val="24"/>
          <w:szCs w:val="24"/>
          <w:lang w:val="en-US" w:eastAsia="zh-CN" w:bidi="ar"/>
        </w:rPr>
        <w:t>8</w:t>
      </w:r>
      <w:r>
        <w:rPr>
          <w:rFonts w:hint="default" w:ascii="Times New Roman" w:hAnsi="Times New Roman" w:eastAsia="宋体" w:cs="Times New Roman"/>
          <w:color w:val="000000"/>
          <w:kern w:val="0"/>
          <w:sz w:val="24"/>
          <w:szCs w:val="24"/>
          <w:lang w:val="en-US" w:eastAsia="zh-CN" w:bidi="ar"/>
        </w:rPr>
        <w:t>m</w:t>
      </w:r>
      <w:r>
        <w:rPr>
          <w:rFonts w:hint="default" w:ascii="Times New Roman" w:hAnsi="Times New Roman" w:eastAsia="宋体" w:cs="Times New Roman"/>
          <w:color w:val="000000"/>
          <w:kern w:val="0"/>
          <w:sz w:val="24"/>
          <w:szCs w:val="24"/>
          <w:vertAlign w:val="superscript"/>
          <w:lang w:val="en-US" w:eastAsia="zh-CN" w:bidi="ar"/>
        </w:rPr>
        <w:t xml:space="preserve">3 </w:t>
      </w:r>
      <w:r>
        <w:rPr>
          <w:rFonts w:hint="default" w:ascii="Times New Roman" w:hAnsi="Times New Roman" w:eastAsia="宋体" w:cs="Times New Roman"/>
          <w:color w:val="000000"/>
          <w:kern w:val="0"/>
          <w:sz w:val="24"/>
          <w:szCs w:val="24"/>
          <w:lang w:val="en-US" w:eastAsia="zh-CN" w:bidi="ar"/>
        </w:rPr>
        <w:t>/a</w:t>
      </w:r>
      <w:r>
        <w:rPr>
          <w:rFonts w:hint="eastAsia" w:ascii="Times New Roman" w:hAnsi="Times New Roman" w:eastAsia="宋体" w:cs="Times New Roman"/>
          <w:color w:val="000000"/>
          <w:kern w:val="0"/>
          <w:sz w:val="24"/>
          <w:szCs w:val="24"/>
          <w:lang w:val="en-US" w:eastAsia="zh-CN" w:bidi="ar"/>
        </w:rPr>
        <w:t>进入厂区污水处理站处理</w:t>
      </w:r>
      <w:r>
        <w:rPr>
          <w:rFonts w:hint="eastAsia" w:ascii="Times New Roman" w:hAnsi="Times New Roman" w:eastAsia="宋体" w:cs="Times New Roman"/>
          <w:color w:val="000000"/>
          <w:sz w:val="24"/>
          <w:szCs w:val="24"/>
          <w:lang w:val="en-US" w:eastAsia="zh-CN"/>
        </w:rPr>
        <w:t>。</w:t>
      </w:r>
    </w:p>
    <w:p>
      <w:pPr>
        <w:snapToGrid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000000"/>
          <w:sz w:val="24"/>
          <w:szCs w:val="24"/>
          <w:lang w:val="en-US" w:eastAsia="zh-CN"/>
        </w:rPr>
        <w:t>水</w:t>
      </w:r>
      <w:r>
        <w:rPr>
          <w:rFonts w:hint="eastAsia" w:ascii="Times New Roman" w:hAnsi="Times New Roman" w:eastAsia="宋体" w:cs="Times New Roman"/>
          <w:color w:val="auto"/>
          <w:sz w:val="24"/>
          <w:szCs w:val="24"/>
          <w:lang w:val="en-US" w:eastAsia="zh-CN"/>
        </w:rPr>
        <w:t>浴灭菌箱废水：本项目共1个水浴式灭菌箱，每个水浴灭菌箱容水量为1</w:t>
      </w:r>
      <w:r>
        <w:rPr>
          <w:rFonts w:ascii="Times New Roman" w:hAnsi="Times New Roman" w:eastAsia="宋体" w:cs="Times New Roman"/>
          <w:color w:val="auto"/>
          <w:sz w:val="24"/>
          <w:szCs w:val="24"/>
        </w:rPr>
        <w:t>m</w:t>
      </w:r>
      <w:r>
        <w:rPr>
          <w:rFonts w:ascii="Times New Roman" w:hAnsi="Times New Roman" w:eastAsia="宋体" w:cs="Times New Roman"/>
          <w:color w:val="auto"/>
          <w:sz w:val="24"/>
          <w:szCs w:val="24"/>
          <w:vertAlign w:val="superscript"/>
        </w:rPr>
        <w:t>3</w:t>
      </w:r>
      <w:r>
        <w:rPr>
          <w:rFonts w:hint="eastAsia" w:ascii="Times New Roman" w:hAnsi="Times New Roman" w:eastAsia="宋体" w:cs="Times New Roman"/>
          <w:color w:val="auto"/>
          <w:sz w:val="24"/>
          <w:szCs w:val="24"/>
          <w:lang w:val="en-US" w:eastAsia="zh-CN"/>
        </w:rPr>
        <w:t>，根据企业提供资料水浴灭菌箱平均每一个月更换一次纯水，每次废水量为1m</w:t>
      </w:r>
      <w:r>
        <w:rPr>
          <w:rFonts w:hint="eastAsia" w:ascii="Times New Roman" w:hAnsi="Times New Roman" w:eastAsia="宋体" w:cs="Times New Roman"/>
          <w:color w:val="auto"/>
          <w:sz w:val="24"/>
          <w:szCs w:val="24"/>
          <w:vertAlign w:val="superscript"/>
          <w:lang w:val="en-US" w:eastAsia="zh-CN"/>
        </w:rPr>
        <w:t>3</w:t>
      </w:r>
      <w:r>
        <w:rPr>
          <w:rFonts w:hint="eastAsia" w:ascii="Times New Roman" w:hAnsi="Times New Roman" w:eastAsia="宋体" w:cs="Times New Roman"/>
          <w:color w:val="auto"/>
          <w:sz w:val="24"/>
          <w:szCs w:val="24"/>
          <w:lang w:val="en-US" w:eastAsia="zh-CN"/>
        </w:rPr>
        <w:t>，则本项目水浴灭菌箱废水量为12</w:t>
      </w:r>
      <w:r>
        <w:rPr>
          <w:rFonts w:ascii="Times New Roman" w:hAnsi="Times New Roman" w:eastAsia="宋体" w:cs="Times New Roman"/>
          <w:color w:val="auto"/>
          <w:sz w:val="24"/>
          <w:szCs w:val="24"/>
        </w:rPr>
        <w:t>m</w:t>
      </w:r>
      <w:r>
        <w:rPr>
          <w:rFonts w:ascii="Times New Roman" w:hAnsi="Times New Roman" w:eastAsia="宋体" w:cs="Times New Roman"/>
          <w:color w:val="auto"/>
          <w:sz w:val="24"/>
          <w:szCs w:val="24"/>
          <w:vertAlign w:val="superscript"/>
        </w:rPr>
        <w:t>3</w:t>
      </w:r>
      <w:r>
        <w:rPr>
          <w:rFonts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a。</w:t>
      </w:r>
    </w:p>
    <w:p>
      <w:pPr>
        <w:widowControl w:val="0"/>
        <w:adjustRightInd w:val="0"/>
        <w:spacing w:line="360" w:lineRule="auto"/>
        <w:ind w:firstLine="480" w:firstLineChars="200"/>
        <w:jc w:val="left"/>
        <w:rPr>
          <w:rFonts w:hint="eastAsia"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项目污水总排放量为3092.2m</w:t>
      </w:r>
      <w:r>
        <w:rPr>
          <w:rFonts w:hint="eastAsia" w:ascii="Times New Roman" w:hAnsi="Times New Roman" w:eastAsia="宋体" w:cs="Times New Roman"/>
          <w:color w:val="auto"/>
          <w:kern w:val="0"/>
          <w:sz w:val="24"/>
          <w:szCs w:val="24"/>
          <w:vertAlign w:val="superscript"/>
          <w:lang w:val="en-US" w:eastAsia="zh-CN" w:bidi="ar-SA"/>
        </w:rPr>
        <w:t>3</w:t>
      </w:r>
      <w:r>
        <w:rPr>
          <w:rFonts w:hint="eastAsia" w:ascii="Times New Roman" w:hAnsi="Times New Roman" w:eastAsia="宋体" w:cs="Times New Roman"/>
          <w:color w:val="auto"/>
          <w:kern w:val="0"/>
          <w:sz w:val="24"/>
          <w:szCs w:val="24"/>
          <w:lang w:val="en-US" w:eastAsia="zh-CN" w:bidi="ar-SA"/>
        </w:rPr>
        <w:t>/a。</w:t>
      </w:r>
    </w:p>
    <w:p>
      <w:pPr>
        <w:widowControl w:val="0"/>
        <w:snapToGrid/>
        <w:spacing w:beforeLines="0" w:after="120" w:line="240" w:lineRule="auto"/>
        <w:ind w:left="0" w:leftChars="0" w:firstLine="0" w:firstLineChars="0"/>
        <w:jc w:val="both"/>
        <w:rPr>
          <w:rFonts w:hint="default" w:ascii="Times New Roman" w:hAnsi="Times New Roman" w:eastAsia="宋体" w:cs="Times New Roman"/>
          <w:kern w:val="0"/>
          <w:sz w:val="21"/>
          <w:szCs w:val="20"/>
          <w:lang w:val="en-US" w:eastAsia="zh-CN" w:bidi="ar-SA"/>
        </w:rPr>
      </w:pPr>
      <w:r>
        <w:rPr>
          <w:rFonts w:hint="default" w:ascii="Times New Roman" w:hAnsi="Times New Roman" w:eastAsia="宋体" w:cs="Times New Roman"/>
          <w:kern w:val="0"/>
          <w:sz w:val="21"/>
          <w:szCs w:val="20"/>
          <w:lang w:val="en-US" w:eastAsia="zh-CN" w:bidi="ar-SA"/>
        </w:rPr>
        <w:object>
          <v:shape id="_x0000_i1026" o:spt="75" type="#_x0000_t75" style="height:407.8pt;width:416.7pt;" o:ole="t" filled="f" o:preferrelative="t" stroked="f" coordsize="21600,21600">
            <v:path/>
            <v:fill on="f" focussize="0,0"/>
            <v:stroke on="f"/>
            <v:imagedata r:id="rId22" o:title=""/>
            <o:lock v:ext="edit" aspectratio="f"/>
            <w10:wrap type="none"/>
            <w10:anchorlock/>
          </v:shape>
          <o:OLEObject Type="Embed" ProgID="Visio.Drawing.15" ShapeID="_x0000_i1026" DrawAspect="Content" ObjectID="_1468075726" r:id="rId21">
            <o:LockedField>false</o:LockedField>
          </o:OLEObject>
        </w:object>
      </w:r>
    </w:p>
    <w:p>
      <w:pPr>
        <w:pStyle w:val="59"/>
        <w:spacing w:line="360" w:lineRule="auto"/>
        <w:jc w:val="center"/>
        <w:rPr>
          <w:rFonts w:ascii="Cambria" w:hAnsi="Cambria" w:eastAsia="宋体" w:cs="Cambria"/>
          <w:b/>
          <w:color w:val="auto"/>
          <w:sz w:val="21"/>
          <w:szCs w:val="21"/>
        </w:rPr>
      </w:pPr>
      <w:r>
        <w:rPr>
          <w:rFonts w:hint="eastAsia" w:ascii="Times New Roman" w:hAnsi="Times New Roman" w:eastAsia="宋体" w:cs="Times New Roman"/>
          <w:b/>
          <w:color w:val="auto"/>
          <w:sz w:val="21"/>
          <w:szCs w:val="21"/>
        </w:rPr>
        <w:t>图</w:t>
      </w:r>
      <w:r>
        <w:rPr>
          <w:rFonts w:hint="eastAsia" w:ascii="Times New Roman" w:hAnsi="Times New Roman" w:eastAsia="宋体" w:cs="Times New Roman"/>
          <w:b/>
          <w:color w:val="auto"/>
          <w:sz w:val="21"/>
          <w:szCs w:val="21"/>
          <w:lang w:val="en-US" w:eastAsia="zh-CN"/>
        </w:rPr>
        <w:t>3-</w:t>
      </w:r>
      <w:r>
        <w:rPr>
          <w:rFonts w:hint="eastAsia" w:ascii="Times New Roman" w:cs="Times New Roman"/>
          <w:b/>
          <w:color w:val="auto"/>
          <w:sz w:val="21"/>
          <w:szCs w:val="21"/>
          <w:lang w:val="en-US" w:eastAsia="zh-CN"/>
        </w:rPr>
        <w:t>5</w:t>
      </w:r>
      <w:r>
        <w:rPr>
          <w:rFonts w:ascii="Times New Roman" w:hAnsi="Times New Roman" w:eastAsia="宋体" w:cs="Times New Roman"/>
          <w:b/>
          <w:color w:val="auto"/>
          <w:sz w:val="21"/>
          <w:szCs w:val="21"/>
        </w:rPr>
        <w:t xml:space="preserve">  项目用水平衡图</w:t>
      </w:r>
      <w:r>
        <w:rPr>
          <w:rFonts w:ascii="Times New Roman" w:hAnsi="Times New Roman" w:eastAsia="宋体" w:cs="Times New Roman"/>
          <w:b/>
          <w:bCs/>
          <w:sz w:val="21"/>
          <w:szCs w:val="21"/>
        </w:rPr>
        <w:t>（m</w:t>
      </w:r>
      <w:r>
        <w:rPr>
          <w:rFonts w:ascii="Times New Roman" w:hAnsi="Times New Roman" w:eastAsia="宋体" w:cs="Times New Roman"/>
          <w:b/>
          <w:bCs/>
          <w:sz w:val="21"/>
          <w:szCs w:val="21"/>
          <w:vertAlign w:val="superscript"/>
        </w:rPr>
        <w:t>3</w:t>
      </w:r>
      <w:r>
        <w:rPr>
          <w:rFonts w:ascii="Times New Roman" w:hAnsi="Times New Roman" w:eastAsia="宋体" w:cs="Times New Roman"/>
          <w:b/>
          <w:bCs/>
          <w:sz w:val="21"/>
          <w:szCs w:val="21"/>
        </w:rPr>
        <w:t>/a）</w:t>
      </w:r>
    </w:p>
    <w:p>
      <w:pPr>
        <w:pStyle w:val="21"/>
        <w:rPr>
          <w:rFonts w:hint="default" w:ascii="Times New Roman" w:hAnsi="Times New Roman" w:eastAsia="宋体" w:cs="Times New Roman"/>
          <w:color w:val="000000"/>
          <w:sz w:val="24"/>
          <w:szCs w:val="28"/>
        </w:rPr>
      </w:pPr>
    </w:p>
    <w:p>
      <w:pPr>
        <w:rPr>
          <w:rFonts w:hint="default" w:ascii="Times New Roman" w:hAnsi="Times New Roman" w:eastAsia="宋体" w:cs="Times New Roman"/>
          <w:color w:val="000000"/>
          <w:sz w:val="24"/>
          <w:szCs w:val="28"/>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28" w:name="_Toc10917"/>
      <w:r>
        <w:rPr>
          <w:rFonts w:hint="default" w:ascii="Times New Roman" w:hAnsi="Times New Roman" w:eastAsia="宋体" w:cs="Times New Roman"/>
          <w:b/>
          <w:sz w:val="28"/>
          <w:szCs w:val="32"/>
        </w:rPr>
        <w:t>3.</w:t>
      </w:r>
      <w:r>
        <w:rPr>
          <w:rFonts w:hint="eastAsia" w:ascii="Times New Roman" w:hAnsi="Times New Roman" w:eastAsia="宋体" w:cs="Times New Roman"/>
          <w:b/>
          <w:sz w:val="28"/>
          <w:szCs w:val="32"/>
          <w:lang w:val="en-US" w:eastAsia="zh-CN"/>
        </w:rPr>
        <w:t>6</w:t>
      </w:r>
      <w:r>
        <w:rPr>
          <w:rFonts w:hint="default" w:ascii="Times New Roman" w:hAnsi="Times New Roman" w:eastAsia="宋体" w:cs="Times New Roman"/>
          <w:b/>
          <w:sz w:val="28"/>
          <w:szCs w:val="32"/>
        </w:rPr>
        <w:t>生产工艺</w:t>
      </w:r>
      <w:bookmarkEnd w:id="2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rPr>
      </w:pPr>
      <w:r>
        <w:rPr>
          <w:rFonts w:hint="eastAsia" w:ascii="Times New Roman" w:hAnsi="Times New Roman" w:eastAsia="宋体" w:cs="Times New Roman"/>
          <w:sz w:val="24"/>
          <w:szCs w:val="28"/>
          <w:lang w:val="en-US" w:eastAsia="zh-CN"/>
        </w:rPr>
        <w:t>项目分期验收</w:t>
      </w:r>
      <w:r>
        <w:rPr>
          <w:rFonts w:hint="eastAsia" w:ascii="Times New Roman" w:hAnsi="Times New Roman" w:eastAsia="宋体" w:cs="Times New Roman"/>
          <w:color w:val="000000"/>
          <w:sz w:val="24"/>
          <w:szCs w:val="28"/>
          <w:lang w:val="en-US" w:eastAsia="zh-CN"/>
        </w:rPr>
        <w:t>，本次验收范围为</w:t>
      </w:r>
      <w:r>
        <w:rPr>
          <w:rFonts w:hint="eastAsia" w:ascii="Times New Roman" w:hAnsi="Times New Roman" w:eastAsia="宋体" w:cs="Times New Roman"/>
          <w:sz w:val="24"/>
          <w:szCs w:val="24"/>
          <w:lang w:val="en-US" w:eastAsia="zh-CN"/>
        </w:rPr>
        <w:t>年产小容量（安瓿瓶）注射剂产品：维生素B6注射液500万支、钠钾镁钙注射用浓溶液800万支，共计1300万支；小容量（西林瓶）冻干注射剂产品：注射用盐酸罗沙替丁醋酸酯80万支、注射用地尔硫卓80万支，共计160万支</w:t>
      </w:r>
      <w:r>
        <w:rPr>
          <w:rFonts w:hint="default" w:ascii="Times New Roman" w:hAnsi="Times New Roman" w:eastAsia="宋体" w:cs="Times New Roman"/>
          <w:kern w:val="0"/>
          <w:sz w:val="24"/>
          <w:szCs w:val="24"/>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2" w:firstLineChars="200"/>
        <w:jc w:val="both"/>
        <w:textAlignment w:val="auto"/>
        <w:rPr>
          <w:rFonts w:hint="default" w:ascii="Times New Roman" w:hAnsi="Times New Roman" w:eastAsia="宋体" w:cs="Times New Roman"/>
          <w:b/>
          <w:bCs/>
          <w:sz w:val="24"/>
          <w:szCs w:val="24"/>
          <w:highlight w:val="none"/>
          <w:lang w:val="en-US" w:eastAsia="zh-CN"/>
        </w:rPr>
      </w:pPr>
      <w:bookmarkStart w:id="29" w:name="_Toc497001470"/>
      <w:r>
        <w:rPr>
          <w:rFonts w:hint="eastAsia" w:ascii="Times New Roman" w:hAnsi="Times New Roman" w:eastAsia="宋体" w:cs="Times New Roman"/>
          <w:b/>
          <w:bCs/>
          <w:sz w:val="24"/>
          <w:szCs w:val="24"/>
          <w:highlight w:val="none"/>
          <w:lang w:val="en-US" w:eastAsia="zh-CN"/>
        </w:rPr>
        <w:t>1、</w:t>
      </w:r>
      <w:r>
        <w:rPr>
          <w:rFonts w:hint="default" w:ascii="Times New Roman" w:hAnsi="Times New Roman" w:eastAsia="宋体" w:cs="Times New Roman"/>
          <w:b/>
          <w:bCs/>
          <w:sz w:val="24"/>
          <w:szCs w:val="24"/>
          <w:highlight w:val="none"/>
          <w:lang w:val="en-US" w:eastAsia="zh-CN"/>
        </w:rPr>
        <w:t>小容量（安瓿瓶）注射剂产品工艺流程及产污环节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highlight w:val="none"/>
          <w:lang w:val="en-US" w:eastAsia="zh-CN"/>
        </w:rPr>
      </w:pPr>
      <w:r>
        <w:rPr>
          <w:rFonts w:hint="eastAsia" w:ascii="Times New Roman" w:hAnsi="Times New Roman" w:eastAsia="宋体" w:cs="Times New Roman"/>
          <w:sz w:val="24"/>
          <w:szCs w:val="24"/>
          <w:highlight w:val="none"/>
          <w:lang w:val="en-US" w:eastAsia="zh-CN"/>
        </w:rPr>
        <w:t>本次验收范围</w:t>
      </w:r>
      <w:r>
        <w:rPr>
          <w:rFonts w:hint="default" w:ascii="Times New Roman" w:hAnsi="Times New Roman" w:eastAsia="宋体" w:cs="Times New Roman"/>
          <w:sz w:val="24"/>
          <w:szCs w:val="24"/>
          <w:highlight w:val="none"/>
          <w:lang w:val="en-US" w:eastAsia="zh-CN"/>
        </w:rPr>
        <w:t>小容量（安瓿瓶）注射剂</w:t>
      </w:r>
      <w:r>
        <w:rPr>
          <w:rFonts w:hint="eastAsia" w:ascii="Times New Roman" w:hAnsi="Times New Roman" w:eastAsia="宋体" w:cs="Times New Roman"/>
          <w:sz w:val="24"/>
          <w:szCs w:val="24"/>
          <w:highlight w:val="none"/>
          <w:lang w:val="en-US" w:eastAsia="zh-CN"/>
        </w:rPr>
        <w:t>产品包括</w:t>
      </w:r>
      <w:r>
        <w:rPr>
          <w:rFonts w:hint="default" w:ascii="Times New Roman" w:hAnsi="Times New Roman" w:eastAsia="宋体" w:cs="Times New Roman"/>
          <w:sz w:val="24"/>
          <w:szCs w:val="24"/>
          <w:highlight w:val="none"/>
          <w:lang w:val="en-US" w:eastAsia="zh-CN"/>
        </w:rPr>
        <w:t>维生素B6注射液</w:t>
      </w:r>
      <w:r>
        <w:rPr>
          <w:rFonts w:hint="eastAsia" w:ascii="Times New Roman" w:hAnsi="Times New Roman" w:eastAsia="宋体" w:cs="Times New Roman"/>
          <w:sz w:val="24"/>
          <w:szCs w:val="24"/>
          <w:highlight w:val="none"/>
          <w:lang w:val="en-US" w:eastAsia="zh-CN"/>
        </w:rPr>
        <w:t>、</w:t>
      </w:r>
      <w:r>
        <w:rPr>
          <w:rFonts w:hint="default" w:ascii="Times New Roman" w:hAnsi="Times New Roman" w:eastAsia="宋体" w:cs="Times New Roman"/>
          <w:sz w:val="24"/>
          <w:szCs w:val="24"/>
          <w:highlight w:val="none"/>
          <w:lang w:val="en-US" w:eastAsia="zh-CN"/>
        </w:rPr>
        <w:t>钠钾镁钙注射用浓溶液</w:t>
      </w:r>
      <w:r>
        <w:rPr>
          <w:rFonts w:hint="eastAsia" w:ascii="Times New Roman" w:hAnsi="Times New Roman" w:eastAsia="宋体" w:cs="Times New Roman"/>
          <w:sz w:val="24"/>
          <w:szCs w:val="24"/>
          <w:highlight w:val="none"/>
          <w:lang w:val="en-US" w:eastAsia="zh-CN"/>
        </w:rPr>
        <w:t>，其生产工艺及产污环节相同，本项目</w:t>
      </w:r>
      <w:r>
        <w:rPr>
          <w:rFonts w:hint="default" w:ascii="Times New Roman" w:hAnsi="Times New Roman" w:eastAsia="宋体" w:cs="Times New Roman"/>
          <w:sz w:val="24"/>
          <w:szCs w:val="24"/>
          <w:highlight w:val="none"/>
          <w:lang w:val="en-US" w:eastAsia="zh-CN"/>
        </w:rPr>
        <w:t>小容量（安瓿瓶）注射剂产品</w:t>
      </w:r>
      <w:r>
        <w:rPr>
          <w:rFonts w:hint="eastAsia" w:ascii="Times New Roman" w:hAnsi="Times New Roman" w:eastAsia="宋体" w:cs="Times New Roman"/>
          <w:sz w:val="24"/>
          <w:szCs w:val="24"/>
          <w:highlight w:val="none"/>
          <w:lang w:val="en-US" w:eastAsia="zh-CN"/>
        </w:rPr>
        <w:t>工艺流程</w:t>
      </w:r>
      <w:r>
        <w:rPr>
          <w:rFonts w:hint="default" w:ascii="Times New Roman" w:hAnsi="Times New Roman" w:eastAsia="宋体" w:cs="Times New Roman"/>
          <w:sz w:val="24"/>
          <w:szCs w:val="24"/>
          <w:highlight w:val="none"/>
          <w:lang w:val="en-US" w:eastAsia="zh-CN"/>
        </w:rPr>
        <w:t>及产污环节见下图所示：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sz w:val="24"/>
        </w:rPr>
        <mc:AlternateContent>
          <mc:Choice Requires="wpg">
            <w:drawing>
              <wp:anchor distT="0" distB="0" distL="114300" distR="114300" simplePos="0" relativeHeight="251668480" behindDoc="0" locked="0" layoutInCell="1" allowOverlap="1">
                <wp:simplePos x="0" y="0"/>
                <wp:positionH relativeFrom="column">
                  <wp:posOffset>368935</wp:posOffset>
                </wp:positionH>
                <wp:positionV relativeFrom="paragraph">
                  <wp:posOffset>118745</wp:posOffset>
                </wp:positionV>
                <wp:extent cx="4785995" cy="4643120"/>
                <wp:effectExtent l="5080" t="4445" r="0" b="19685"/>
                <wp:wrapNone/>
                <wp:docPr id="227" name="组合 227"/>
                <wp:cNvGraphicFramePr/>
                <a:graphic xmlns:a="http://schemas.openxmlformats.org/drawingml/2006/main">
                  <a:graphicData uri="http://schemas.microsoft.com/office/word/2010/wordprocessingGroup">
                    <wpg:wgp>
                      <wpg:cNvGrpSpPr/>
                      <wpg:grpSpPr>
                        <a:xfrm>
                          <a:off x="0" y="0"/>
                          <a:ext cx="4785995" cy="4643120"/>
                          <a:chOff x="2664" y="481202"/>
                          <a:chExt cx="7537" cy="7312"/>
                        </a:xfrm>
                      </wpg:grpSpPr>
                      <wps:wsp>
                        <wps:cNvPr id="184" name="文本框 184"/>
                        <wps:cNvSpPr txBox="1"/>
                        <wps:spPr>
                          <a:xfrm>
                            <a:off x="4897" y="481202"/>
                            <a:ext cx="1541" cy="4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szCs w:val="24"/>
                                </w:rPr>
                              </w:pPr>
                              <w:r>
                                <w:rPr>
                                  <w:rFonts w:hint="eastAsia" w:ascii="宋体" w:hAnsi="宋体" w:eastAsia="宋体" w:cs="宋体"/>
                                  <w:szCs w:val="24"/>
                                  <w:lang w:val="en-US" w:eastAsia="zh-CN"/>
                                </w:rPr>
                                <w:t>原料</w:t>
                              </w:r>
                              <w:r>
                                <w:rPr>
                                  <w:rFonts w:hint="eastAsia" w:ascii="宋体" w:hAnsi="宋体" w:eastAsia="宋体" w:cs="宋体"/>
                                  <w:szCs w:val="24"/>
                                </w:rPr>
                                <w:t>、辅料</w:t>
                              </w:r>
                            </w:p>
                            <w:p>
                              <w:pPr>
                                <w:rPr>
                                  <w:rFonts w:hint="eastAsia" w:ascii="黑体" w:hAnsi="Times New Roman" w:eastAsia="黑体" w:cs="Times New Roman"/>
                                  <w:szCs w:val="24"/>
                                </w:rPr>
                              </w:pPr>
                            </w:p>
                          </w:txbxContent>
                        </wps:txbx>
                        <wps:bodyPr upright="1"/>
                      </wps:wsp>
                      <wps:wsp>
                        <wps:cNvPr id="185" name="文本框 185"/>
                        <wps:cNvSpPr txBox="1"/>
                        <wps:spPr>
                          <a:xfrm>
                            <a:off x="6875" y="481920"/>
                            <a:ext cx="1275" cy="4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黑体" w:hAnsi="Times New Roman" w:eastAsia="黑体" w:cs="Times New Roman"/>
                                  <w:szCs w:val="24"/>
                                </w:rPr>
                              </w:pPr>
                              <w:r>
                                <w:rPr>
                                  <w:rFonts w:hint="eastAsia" w:ascii="宋体" w:hAnsi="宋体" w:eastAsia="宋体" w:cs="宋体"/>
                                  <w:szCs w:val="24"/>
                                  <w:lang w:val="en-US" w:eastAsia="zh-CN"/>
                                </w:rPr>
                                <w:t>注射用水</w:t>
                              </w:r>
                            </w:p>
                            <w:p>
                              <w:pPr>
                                <w:rPr>
                                  <w:rFonts w:hint="eastAsia" w:ascii="黑体" w:hAnsi="Times New Roman" w:eastAsia="黑体" w:cs="Times New Roman"/>
                                  <w:szCs w:val="24"/>
                                </w:rPr>
                              </w:pPr>
                            </w:p>
                          </w:txbxContent>
                        </wps:txbx>
                        <wps:bodyPr upright="1"/>
                      </wps:wsp>
                      <wps:wsp>
                        <wps:cNvPr id="186" name="直接连接符 186"/>
                        <wps:cNvCnPr/>
                        <wps:spPr>
                          <a:xfrm>
                            <a:off x="5680" y="481602"/>
                            <a:ext cx="0" cy="387"/>
                          </a:xfrm>
                          <a:prstGeom prst="line">
                            <a:avLst/>
                          </a:prstGeom>
                          <a:ln w="9525" cap="flat" cmpd="sng">
                            <a:solidFill>
                              <a:srgbClr val="000000"/>
                            </a:solidFill>
                            <a:prstDash val="solid"/>
                            <a:headEnd type="none" w="med" len="med"/>
                            <a:tailEnd type="triangle" w="med" len="med"/>
                          </a:ln>
                        </wps:spPr>
                        <wps:bodyPr upright="1"/>
                      </wps:wsp>
                      <wps:wsp>
                        <wps:cNvPr id="187" name="文本框 187"/>
                        <wps:cNvSpPr txBox="1"/>
                        <wps:spPr>
                          <a:xfrm>
                            <a:off x="5082" y="481981"/>
                            <a:ext cx="1201" cy="40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称量</w:t>
                              </w:r>
                            </w:p>
                            <w:p>
                              <w:pPr>
                                <w:rPr>
                                  <w:rFonts w:hint="eastAsia" w:ascii="黑体" w:hAnsi="Times New Roman" w:eastAsia="黑体" w:cs="Times New Roman"/>
                                  <w:szCs w:val="24"/>
                                </w:rPr>
                              </w:pPr>
                            </w:p>
                          </w:txbxContent>
                        </wps:txbx>
                        <wps:bodyPr upright="1"/>
                      </wps:wsp>
                      <wps:wsp>
                        <wps:cNvPr id="188" name="文本框 188"/>
                        <wps:cNvSpPr txBox="1"/>
                        <wps:spPr>
                          <a:xfrm>
                            <a:off x="5102" y="482686"/>
                            <a:ext cx="1201" cy="38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ascii="黑体" w:hAnsi="Times New Roman" w:eastAsia="黑体" w:cs="Times New Roman"/>
                                  <w:szCs w:val="24"/>
                                </w:rPr>
                              </w:pPr>
                              <w:r>
                                <w:rPr>
                                  <w:rFonts w:hint="eastAsia" w:ascii="宋体" w:hAnsi="宋体" w:eastAsia="宋体" w:cs="宋体"/>
                                  <w:szCs w:val="24"/>
                                  <w:lang w:val="en-US" w:eastAsia="zh-CN"/>
                                </w:rPr>
                                <w:t>搅拌溶解</w:t>
                              </w:r>
                              <w:r>
                                <w:rPr>
                                  <w:rFonts w:hint="eastAsia" w:ascii="黑体" w:hAnsi="Times New Roman" w:eastAsia="黑体" w:cs="Times New Roman"/>
                                  <w:szCs w:val="24"/>
                                </w:rPr>
                                <w:t>人、、、</w:t>
                              </w:r>
                            </w:p>
                            <w:p>
                              <w:pPr>
                                <w:rPr>
                                  <w:rFonts w:hint="eastAsia" w:ascii="黑体" w:hAnsi="Times New Roman" w:eastAsia="黑体" w:cs="Times New Roman"/>
                                  <w:szCs w:val="24"/>
                                </w:rPr>
                              </w:pPr>
                            </w:p>
                          </w:txbxContent>
                        </wps:txbx>
                        <wps:bodyPr upright="1"/>
                      </wps:wsp>
                      <wps:wsp>
                        <wps:cNvPr id="189" name="直接连接符 189"/>
                        <wps:cNvCnPr/>
                        <wps:spPr>
                          <a:xfrm>
                            <a:off x="7496" y="482377"/>
                            <a:ext cx="0" cy="509"/>
                          </a:xfrm>
                          <a:prstGeom prst="line">
                            <a:avLst/>
                          </a:prstGeom>
                          <a:ln w="9525" cap="flat" cmpd="sng">
                            <a:solidFill>
                              <a:srgbClr val="000000"/>
                            </a:solidFill>
                            <a:prstDash val="solid"/>
                            <a:headEnd type="none" w="med" len="med"/>
                            <a:tailEnd type="none" w="med" len="med"/>
                          </a:ln>
                        </wps:spPr>
                        <wps:bodyPr upright="1"/>
                      </wps:wsp>
                      <wps:wsp>
                        <wps:cNvPr id="190" name="直接连接符 190"/>
                        <wps:cNvCnPr/>
                        <wps:spPr>
                          <a:xfrm>
                            <a:off x="5698" y="482397"/>
                            <a:ext cx="0" cy="259"/>
                          </a:xfrm>
                          <a:prstGeom prst="line">
                            <a:avLst/>
                          </a:prstGeom>
                          <a:ln w="9525" cap="flat" cmpd="sng">
                            <a:solidFill>
                              <a:srgbClr val="000000"/>
                            </a:solidFill>
                            <a:prstDash val="solid"/>
                            <a:headEnd type="none" w="med" len="med"/>
                            <a:tailEnd type="triangle" w="med" len="med"/>
                          </a:ln>
                        </wps:spPr>
                        <wps:bodyPr upright="1"/>
                      </wps:wsp>
                      <wps:wsp>
                        <wps:cNvPr id="191" name="文本框 191"/>
                        <wps:cNvSpPr txBox="1"/>
                        <wps:spPr>
                          <a:xfrm>
                            <a:off x="7803" y="482979"/>
                            <a:ext cx="1401" cy="4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i w:val="0"/>
                                  <w:color w:val="000000"/>
                                  <w:kern w:val="0"/>
                                  <w:sz w:val="21"/>
                                  <w:szCs w:val="21"/>
                                  <w:u w:val="none"/>
                                  <w:lang w:val="en-US" w:eastAsia="zh-CN" w:bidi="ar"/>
                                </w:rPr>
                                <w:t>安瓿瓶</w:t>
                              </w:r>
                            </w:p>
                          </w:txbxContent>
                        </wps:txbx>
                        <wps:bodyPr upright="1"/>
                      </wps:wsp>
                      <wps:wsp>
                        <wps:cNvPr id="192" name="直接连接符 192"/>
                        <wps:cNvCnPr/>
                        <wps:spPr>
                          <a:xfrm flipV="1">
                            <a:off x="6454" y="483115"/>
                            <a:ext cx="438" cy="300"/>
                          </a:xfrm>
                          <a:prstGeom prst="line">
                            <a:avLst/>
                          </a:prstGeom>
                          <a:ln w="9525" cap="flat" cmpd="sng">
                            <a:solidFill>
                              <a:srgbClr val="000000"/>
                            </a:solidFill>
                            <a:prstDash val="dashDot"/>
                            <a:headEnd type="none" w="med" len="med"/>
                            <a:tailEnd type="arrow" w="med" len="med"/>
                          </a:ln>
                        </wps:spPr>
                        <wps:bodyPr upright="1"/>
                      </wps:wsp>
                      <wps:wsp>
                        <wps:cNvPr id="193" name="直接连接符 193"/>
                        <wps:cNvCnPr/>
                        <wps:spPr>
                          <a:xfrm>
                            <a:off x="5692" y="483105"/>
                            <a:ext cx="0" cy="259"/>
                          </a:xfrm>
                          <a:prstGeom prst="line">
                            <a:avLst/>
                          </a:prstGeom>
                          <a:ln w="9525" cap="flat" cmpd="sng">
                            <a:solidFill>
                              <a:srgbClr val="000000"/>
                            </a:solidFill>
                            <a:prstDash val="solid"/>
                            <a:headEnd type="none" w="med" len="med"/>
                            <a:tailEnd type="triangle" w="med" len="med"/>
                          </a:ln>
                        </wps:spPr>
                        <wps:bodyPr upright="1"/>
                      </wps:wsp>
                      <wps:wsp>
                        <wps:cNvPr id="194" name="直接连接符 194"/>
                        <wps:cNvCnPr/>
                        <wps:spPr>
                          <a:xfrm flipV="1">
                            <a:off x="6319" y="482883"/>
                            <a:ext cx="1217" cy="0"/>
                          </a:xfrm>
                          <a:prstGeom prst="line">
                            <a:avLst/>
                          </a:prstGeom>
                          <a:ln w="9525" cap="flat" cmpd="sng">
                            <a:solidFill>
                              <a:srgbClr val="000000"/>
                            </a:solidFill>
                            <a:prstDash val="solid"/>
                            <a:headEnd type="triangle" w="med" len="med"/>
                            <a:tailEnd type="none" w="med" len="med"/>
                          </a:ln>
                        </wps:spPr>
                        <wps:bodyPr upright="1"/>
                      </wps:wsp>
                      <wps:wsp>
                        <wps:cNvPr id="195" name="文本框 195"/>
                        <wps:cNvSpPr txBox="1"/>
                        <wps:spPr>
                          <a:xfrm>
                            <a:off x="6817" y="482773"/>
                            <a:ext cx="1339" cy="410"/>
                          </a:xfrm>
                          <a:prstGeom prst="rect">
                            <a:avLst/>
                          </a:prstGeom>
                          <a:noFill/>
                          <a:ln w="9525" cap="flat" cmpd="sng">
                            <a:solidFill>
                              <a:srgbClr val="FFFFFF"/>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N、G1-1</w:t>
                              </w:r>
                            </w:p>
                          </w:txbxContent>
                        </wps:txbx>
                        <wps:bodyPr upright="1"/>
                      </wps:wsp>
                      <wps:wsp>
                        <wps:cNvPr id="196" name="直接连接符 196"/>
                        <wps:cNvCnPr/>
                        <wps:spPr>
                          <a:xfrm>
                            <a:off x="8465" y="483453"/>
                            <a:ext cx="15" cy="570"/>
                          </a:xfrm>
                          <a:prstGeom prst="line">
                            <a:avLst/>
                          </a:prstGeom>
                          <a:ln w="9525" cap="flat" cmpd="sng">
                            <a:solidFill>
                              <a:srgbClr val="000000"/>
                            </a:solidFill>
                            <a:prstDash val="solid"/>
                            <a:headEnd type="none" w="med" len="med"/>
                            <a:tailEnd type="triangle" w="med" len="med"/>
                          </a:ln>
                        </wps:spPr>
                        <wps:bodyPr upright="1"/>
                      </wps:wsp>
                      <wps:wsp>
                        <wps:cNvPr id="197" name="文本框 197"/>
                        <wps:cNvSpPr txBox="1"/>
                        <wps:spPr>
                          <a:xfrm>
                            <a:off x="4907" y="483363"/>
                            <a:ext cx="1593" cy="43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药液配制</w:t>
                              </w:r>
                            </w:p>
                          </w:txbxContent>
                        </wps:txbx>
                        <wps:bodyPr upright="1"/>
                      </wps:wsp>
                      <wps:wsp>
                        <wps:cNvPr id="198" name="直接连接符 198"/>
                        <wps:cNvCnPr/>
                        <wps:spPr>
                          <a:xfrm flipV="1">
                            <a:off x="9136" y="483740"/>
                            <a:ext cx="438" cy="300"/>
                          </a:xfrm>
                          <a:prstGeom prst="line">
                            <a:avLst/>
                          </a:prstGeom>
                          <a:ln w="9525" cap="flat" cmpd="sng">
                            <a:solidFill>
                              <a:srgbClr val="000000"/>
                            </a:solidFill>
                            <a:prstDash val="dashDot"/>
                            <a:headEnd type="none" w="med" len="med"/>
                            <a:tailEnd type="arrow" w="med" len="med"/>
                          </a:ln>
                        </wps:spPr>
                        <wps:bodyPr upright="1"/>
                      </wps:wsp>
                      <wps:wsp>
                        <wps:cNvPr id="199" name="文本框 199"/>
                        <wps:cNvSpPr txBox="1"/>
                        <wps:spPr>
                          <a:xfrm>
                            <a:off x="2952" y="483832"/>
                            <a:ext cx="1810" cy="43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ascii="宋体" w:hAnsi="宋体" w:eastAsia="宋体" w:cs="宋体"/>
                                  <w:szCs w:val="24"/>
                                  <w:lang w:val="en-US" w:eastAsia="zh-CN"/>
                                </w:rPr>
                              </w:pPr>
                              <w:r>
                                <w:rPr>
                                  <w:rFonts w:hint="eastAsia" w:ascii="宋体" w:hAnsi="宋体" w:eastAsia="宋体" w:cs="宋体"/>
                                  <w:szCs w:val="24"/>
                                  <w:lang w:val="en-US" w:eastAsia="zh-CN"/>
                                </w:rPr>
                                <w:t>中间产品检测</w:t>
                              </w:r>
                            </w:p>
                          </w:txbxContent>
                        </wps:txbx>
                        <wps:bodyPr upright="1"/>
                      </wps:wsp>
                      <wps:wsp>
                        <wps:cNvPr id="200" name="直接连接符 200"/>
                        <wps:cNvCnPr/>
                        <wps:spPr>
                          <a:xfrm>
                            <a:off x="5677" y="483761"/>
                            <a:ext cx="4" cy="499"/>
                          </a:xfrm>
                          <a:prstGeom prst="line">
                            <a:avLst/>
                          </a:prstGeom>
                          <a:ln w="9525" cap="flat" cmpd="sng">
                            <a:solidFill>
                              <a:srgbClr val="000000"/>
                            </a:solidFill>
                            <a:prstDash val="solid"/>
                            <a:headEnd type="none" w="med" len="med"/>
                            <a:tailEnd type="triangle" w="med" len="med"/>
                          </a:ln>
                        </wps:spPr>
                        <wps:bodyPr upright="1"/>
                      </wps:wsp>
                      <wps:wsp>
                        <wps:cNvPr id="201" name="文本框 201"/>
                        <wps:cNvSpPr txBox="1"/>
                        <wps:spPr>
                          <a:xfrm>
                            <a:off x="6267" y="483660"/>
                            <a:ext cx="1536" cy="41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N、S1-1</w:t>
                              </w:r>
                            </w:p>
                          </w:txbxContent>
                        </wps:txbx>
                        <wps:bodyPr upright="1"/>
                      </wps:wsp>
                      <wps:wsp>
                        <wps:cNvPr id="202" name="文本框 202"/>
                        <wps:cNvSpPr txBox="1"/>
                        <wps:spPr>
                          <a:xfrm>
                            <a:off x="7755" y="484009"/>
                            <a:ext cx="1401" cy="4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i w:val="0"/>
                                  <w:color w:val="000000"/>
                                  <w:kern w:val="0"/>
                                  <w:sz w:val="21"/>
                                  <w:szCs w:val="21"/>
                                  <w:u w:val="none"/>
                                  <w:lang w:val="en-US" w:eastAsia="zh-CN" w:bidi="ar"/>
                                </w:rPr>
                                <w:t>清洗</w:t>
                              </w:r>
                            </w:p>
                          </w:txbxContent>
                        </wps:txbx>
                        <wps:bodyPr upright="1"/>
                      </wps:wsp>
                      <wps:wsp>
                        <wps:cNvPr id="203" name="直接连接符 203"/>
                        <wps:cNvCnPr/>
                        <wps:spPr>
                          <a:xfrm flipV="1">
                            <a:off x="6216" y="484000"/>
                            <a:ext cx="213" cy="239"/>
                          </a:xfrm>
                          <a:prstGeom prst="line">
                            <a:avLst/>
                          </a:prstGeom>
                          <a:ln w="9525" cap="flat" cmpd="sng">
                            <a:solidFill>
                              <a:srgbClr val="000000"/>
                            </a:solidFill>
                            <a:prstDash val="dashDot"/>
                            <a:headEnd type="none" w="med" len="med"/>
                            <a:tailEnd type="arrow" w="med" len="med"/>
                          </a:ln>
                        </wps:spPr>
                        <wps:bodyPr upright="1"/>
                      </wps:wsp>
                      <wps:wsp>
                        <wps:cNvPr id="204" name="直接连接符 204"/>
                        <wps:cNvCnPr/>
                        <wps:spPr>
                          <a:xfrm>
                            <a:off x="4794" y="484025"/>
                            <a:ext cx="898" cy="10"/>
                          </a:xfrm>
                          <a:prstGeom prst="line">
                            <a:avLst/>
                          </a:prstGeom>
                          <a:ln w="9525" cap="flat" cmpd="sng">
                            <a:solidFill>
                              <a:srgbClr val="000000"/>
                            </a:solidFill>
                            <a:prstDash val="solid"/>
                            <a:headEnd type="none" w="med" len="med"/>
                            <a:tailEnd type="triangle" w="med" len="med"/>
                          </a:ln>
                        </wps:spPr>
                        <wps:bodyPr upright="1"/>
                      </wps:wsp>
                      <wps:wsp>
                        <wps:cNvPr id="205" name="文本框 205"/>
                        <wps:cNvSpPr txBox="1"/>
                        <wps:spPr>
                          <a:xfrm>
                            <a:off x="4999" y="484254"/>
                            <a:ext cx="1381" cy="41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终端过滤</w:t>
                              </w:r>
                            </w:p>
                          </w:txbxContent>
                        </wps:txbx>
                        <wps:bodyPr upright="1"/>
                      </wps:wsp>
                      <wps:wsp>
                        <wps:cNvPr id="206" name="文本框 206"/>
                        <wps:cNvSpPr txBox="1"/>
                        <wps:spPr>
                          <a:xfrm>
                            <a:off x="6549" y="484464"/>
                            <a:ext cx="606" cy="41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w:t>
                              </w:r>
                            </w:p>
                          </w:txbxContent>
                        </wps:txbx>
                        <wps:bodyPr upright="1"/>
                      </wps:wsp>
                      <wps:wsp>
                        <wps:cNvPr id="207" name="直接连接符 207"/>
                        <wps:cNvCnPr/>
                        <wps:spPr>
                          <a:xfrm>
                            <a:off x="8447" y="484416"/>
                            <a:ext cx="15" cy="659"/>
                          </a:xfrm>
                          <a:prstGeom prst="line">
                            <a:avLst/>
                          </a:prstGeom>
                          <a:ln w="9525" cap="flat" cmpd="sng">
                            <a:solidFill>
                              <a:srgbClr val="000000"/>
                            </a:solidFill>
                            <a:prstDash val="solid"/>
                            <a:headEnd type="none" w="med" len="med"/>
                            <a:tailEnd type="triangle" w="med" len="med"/>
                          </a:ln>
                        </wps:spPr>
                        <wps:bodyPr upright="1"/>
                      </wps:wsp>
                      <wps:wsp>
                        <wps:cNvPr id="208" name="直接连接符 208"/>
                        <wps:cNvCnPr/>
                        <wps:spPr>
                          <a:xfrm flipV="1">
                            <a:off x="6303" y="484810"/>
                            <a:ext cx="213" cy="239"/>
                          </a:xfrm>
                          <a:prstGeom prst="line">
                            <a:avLst/>
                          </a:prstGeom>
                          <a:ln w="9525" cap="flat" cmpd="sng">
                            <a:solidFill>
                              <a:srgbClr val="000000"/>
                            </a:solidFill>
                            <a:prstDash val="dashDot"/>
                            <a:headEnd type="none" w="med" len="med"/>
                            <a:tailEnd type="arrow" w="med" len="med"/>
                          </a:ln>
                        </wps:spPr>
                        <wps:bodyPr upright="1"/>
                      </wps:wsp>
                      <wps:wsp>
                        <wps:cNvPr id="209" name="直接连接符 209"/>
                        <wps:cNvCnPr/>
                        <wps:spPr>
                          <a:xfrm flipH="1">
                            <a:off x="5661" y="484677"/>
                            <a:ext cx="13" cy="384"/>
                          </a:xfrm>
                          <a:prstGeom prst="line">
                            <a:avLst/>
                          </a:prstGeom>
                          <a:ln w="9525" cap="flat" cmpd="sng">
                            <a:solidFill>
                              <a:srgbClr val="000000"/>
                            </a:solidFill>
                            <a:prstDash val="solid"/>
                            <a:headEnd type="none" w="med" len="med"/>
                            <a:tailEnd type="triangle" w="med" len="med"/>
                          </a:ln>
                        </wps:spPr>
                        <wps:bodyPr upright="1"/>
                      </wps:wsp>
                      <wps:wsp>
                        <wps:cNvPr id="210" name="文本框 210"/>
                        <wps:cNvSpPr txBox="1"/>
                        <wps:spPr>
                          <a:xfrm>
                            <a:off x="7812" y="485044"/>
                            <a:ext cx="1401" cy="4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灭菌</w:t>
                              </w:r>
                            </w:p>
                          </w:txbxContent>
                        </wps:txbx>
                        <wps:bodyPr upright="1"/>
                      </wps:wsp>
                      <wps:wsp>
                        <wps:cNvPr id="211" name="文本框 211"/>
                        <wps:cNvSpPr txBox="1"/>
                        <wps:spPr>
                          <a:xfrm>
                            <a:off x="4831" y="485062"/>
                            <a:ext cx="1700" cy="41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ascii="黑体" w:hAnsi="Times New Roman" w:eastAsia="黑体" w:cs="Times New Roman"/>
                                  <w:szCs w:val="24"/>
                                  <w:lang w:val="en-US"/>
                                </w:rPr>
                              </w:pPr>
                              <w:r>
                                <w:rPr>
                                  <w:rFonts w:hint="eastAsia" w:ascii="宋体" w:hAnsi="宋体" w:eastAsia="宋体" w:cs="宋体"/>
                                  <w:szCs w:val="24"/>
                                  <w:lang w:val="en-US" w:eastAsia="zh-CN"/>
                                </w:rPr>
                                <w:t>灌封</w:t>
                              </w:r>
                            </w:p>
                          </w:txbxContent>
                        </wps:txbx>
                        <wps:bodyPr upright="1"/>
                      </wps:wsp>
                      <wps:wsp>
                        <wps:cNvPr id="212" name="直接连接符 212"/>
                        <wps:cNvCnPr/>
                        <wps:spPr>
                          <a:xfrm flipH="1" flipV="1">
                            <a:off x="6528" y="485273"/>
                            <a:ext cx="1311" cy="26"/>
                          </a:xfrm>
                          <a:prstGeom prst="line">
                            <a:avLst/>
                          </a:prstGeom>
                          <a:ln w="9525" cap="flat" cmpd="sng">
                            <a:solidFill>
                              <a:srgbClr val="000000"/>
                            </a:solidFill>
                            <a:prstDash val="solid"/>
                            <a:headEnd type="none" w="med" len="med"/>
                            <a:tailEnd type="triangle" w="med" len="med"/>
                          </a:ln>
                        </wps:spPr>
                        <wps:bodyPr upright="1"/>
                      </wps:wsp>
                      <wps:wsp>
                        <wps:cNvPr id="213" name="直接连接符 213"/>
                        <wps:cNvCnPr/>
                        <wps:spPr>
                          <a:xfrm>
                            <a:off x="5669" y="485489"/>
                            <a:ext cx="14" cy="644"/>
                          </a:xfrm>
                          <a:prstGeom prst="line">
                            <a:avLst/>
                          </a:prstGeom>
                          <a:ln w="9525" cap="flat" cmpd="sng">
                            <a:solidFill>
                              <a:srgbClr val="000000"/>
                            </a:solidFill>
                            <a:prstDash val="solid"/>
                            <a:headEnd type="none" w="med" len="med"/>
                            <a:tailEnd type="triangle" w="med" len="med"/>
                          </a:ln>
                        </wps:spPr>
                        <wps:bodyPr upright="1"/>
                      </wps:wsp>
                      <wps:wsp>
                        <wps:cNvPr id="214" name="矩形 214"/>
                        <wps:cNvSpPr/>
                        <wps:spPr>
                          <a:xfrm>
                            <a:off x="2664" y="485021"/>
                            <a:ext cx="1625" cy="47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ascii="宋体" w:hAnsi="宋体" w:eastAsia="宋体" w:cs="宋体"/>
                                  <w:szCs w:val="24"/>
                                  <w:lang w:val="en-US" w:eastAsia="zh-CN"/>
                                </w:rPr>
                              </w:pPr>
                              <w:r>
                                <w:rPr>
                                  <w:rFonts w:hint="eastAsia" w:ascii="宋体" w:hAnsi="宋体" w:eastAsia="宋体" w:cs="宋体"/>
                                  <w:szCs w:val="24"/>
                                  <w:lang w:val="en-US" w:eastAsia="zh-CN"/>
                                </w:rPr>
                                <w:t>灌封机</w:t>
                              </w:r>
                            </w:p>
                          </w:txbxContent>
                        </wps:txbx>
                        <wps:bodyPr upright="1"/>
                      </wps:wsp>
                      <wps:wsp>
                        <wps:cNvPr id="215" name="直接连接符 215"/>
                        <wps:cNvCnPr/>
                        <wps:spPr>
                          <a:xfrm flipV="1">
                            <a:off x="4310" y="485265"/>
                            <a:ext cx="646" cy="19"/>
                          </a:xfrm>
                          <a:prstGeom prst="line">
                            <a:avLst/>
                          </a:prstGeom>
                          <a:ln w="9525" cap="flat" cmpd="sng">
                            <a:solidFill>
                              <a:srgbClr val="000000"/>
                            </a:solidFill>
                            <a:prstDash val="solid"/>
                            <a:headEnd type="none" w="med" len="med"/>
                            <a:tailEnd type="triangle" w="med" len="med"/>
                          </a:ln>
                        </wps:spPr>
                        <wps:bodyPr upright="1"/>
                      </wps:wsp>
                      <wps:wsp>
                        <wps:cNvPr id="216" name="文本框 216"/>
                        <wps:cNvSpPr txBox="1"/>
                        <wps:spPr>
                          <a:xfrm>
                            <a:off x="5015" y="486162"/>
                            <a:ext cx="1487" cy="43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灭菌</w:t>
                              </w:r>
                            </w:p>
                          </w:txbxContent>
                        </wps:txbx>
                        <wps:bodyPr upright="1"/>
                      </wps:wsp>
                      <wps:wsp>
                        <wps:cNvPr id="217" name="直接连接符 217"/>
                        <wps:cNvCnPr/>
                        <wps:spPr>
                          <a:xfrm>
                            <a:off x="5785" y="486639"/>
                            <a:ext cx="1" cy="654"/>
                          </a:xfrm>
                          <a:prstGeom prst="line">
                            <a:avLst/>
                          </a:prstGeom>
                          <a:ln w="9525" cap="flat" cmpd="sng">
                            <a:solidFill>
                              <a:srgbClr val="000000"/>
                            </a:solidFill>
                            <a:prstDash val="solid"/>
                            <a:headEnd type="none" w="med" len="med"/>
                            <a:tailEnd type="triangle" w="med" len="med"/>
                          </a:ln>
                        </wps:spPr>
                        <wps:bodyPr upright="1"/>
                      </wps:wsp>
                      <wps:wsp>
                        <wps:cNvPr id="218" name="文本框 218"/>
                        <wps:cNvSpPr txBox="1"/>
                        <wps:spPr>
                          <a:xfrm>
                            <a:off x="7145" y="486930"/>
                            <a:ext cx="1140" cy="46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N、S1-2</w:t>
                              </w:r>
                            </w:p>
                          </w:txbxContent>
                        </wps:txbx>
                        <wps:bodyPr upright="1"/>
                      </wps:wsp>
                      <wps:wsp>
                        <wps:cNvPr id="219" name="直接连接符 219"/>
                        <wps:cNvCnPr/>
                        <wps:spPr>
                          <a:xfrm flipV="1">
                            <a:off x="6575" y="487125"/>
                            <a:ext cx="510" cy="405"/>
                          </a:xfrm>
                          <a:prstGeom prst="line">
                            <a:avLst/>
                          </a:prstGeom>
                          <a:ln w="9525" cap="flat" cmpd="sng">
                            <a:solidFill>
                              <a:srgbClr val="000000"/>
                            </a:solidFill>
                            <a:prstDash val="dashDot"/>
                            <a:headEnd type="none" w="med" len="med"/>
                            <a:tailEnd type="arrow" w="med" len="med"/>
                          </a:ln>
                        </wps:spPr>
                        <wps:bodyPr upright="1"/>
                      </wps:wsp>
                      <wps:wsp>
                        <wps:cNvPr id="220" name="文本框 220"/>
                        <wps:cNvSpPr txBox="1"/>
                        <wps:spPr>
                          <a:xfrm>
                            <a:off x="5067" y="487300"/>
                            <a:ext cx="1495" cy="44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黑体" w:hAnsi="Times New Roman" w:eastAsia="黑体" w:cs="Times New Roman"/>
                                  <w:szCs w:val="24"/>
                                </w:rPr>
                              </w:pPr>
                              <w:r>
                                <w:rPr>
                                  <w:rFonts w:hint="eastAsia" w:ascii="宋体" w:hAnsi="宋体" w:eastAsia="宋体" w:cs="宋体"/>
                                  <w:szCs w:val="24"/>
                                  <w:lang w:val="en-US" w:eastAsia="zh-CN"/>
                                </w:rPr>
                                <w:t>检查</w:t>
                              </w:r>
                            </w:p>
                          </w:txbxContent>
                        </wps:txbx>
                        <wps:bodyPr upright="1"/>
                      </wps:wsp>
                      <wps:wsp>
                        <wps:cNvPr id="221" name="直接连接符 221"/>
                        <wps:cNvCnPr/>
                        <wps:spPr>
                          <a:xfrm>
                            <a:off x="5779" y="487766"/>
                            <a:ext cx="1" cy="355"/>
                          </a:xfrm>
                          <a:prstGeom prst="line">
                            <a:avLst/>
                          </a:prstGeom>
                          <a:ln w="9525" cap="flat" cmpd="sng">
                            <a:solidFill>
                              <a:srgbClr val="000000"/>
                            </a:solidFill>
                            <a:prstDash val="solid"/>
                            <a:headEnd type="none" w="med" len="med"/>
                            <a:tailEnd type="triangle" w="med" len="med"/>
                          </a:ln>
                        </wps:spPr>
                        <wps:bodyPr upright="1"/>
                      </wps:wsp>
                      <wps:wsp>
                        <wps:cNvPr id="222" name="文本框 222"/>
                        <wps:cNvSpPr txBox="1"/>
                        <wps:spPr>
                          <a:xfrm>
                            <a:off x="5014" y="488130"/>
                            <a:ext cx="1495" cy="3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包装入库</w:t>
                              </w:r>
                            </w:p>
                          </w:txbxContent>
                        </wps:txbx>
                        <wps:bodyPr upright="1"/>
                      </wps:wsp>
                      <wps:wsp>
                        <wps:cNvPr id="223" name="文本框 223"/>
                        <wps:cNvSpPr txBox="1"/>
                        <wps:spPr>
                          <a:xfrm>
                            <a:off x="2763" y="485910"/>
                            <a:ext cx="1400" cy="45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ascii="宋体" w:hAnsi="宋体" w:eastAsia="宋体" w:cs="宋体"/>
                                  <w:szCs w:val="24"/>
                                  <w:lang w:val="en-US" w:eastAsia="zh-CN"/>
                                </w:rPr>
                              </w:pPr>
                              <w:r>
                                <w:rPr>
                                  <w:rFonts w:hint="eastAsia" w:ascii="宋体" w:hAnsi="宋体" w:eastAsia="宋体" w:cs="宋体"/>
                                  <w:szCs w:val="24"/>
                                  <w:lang w:val="en-US" w:eastAsia="zh-CN"/>
                                </w:rPr>
                                <w:t>氢氧发生器</w:t>
                              </w:r>
                            </w:p>
                          </w:txbxContent>
                        </wps:txbx>
                        <wps:bodyPr upright="1"/>
                      </wps:wsp>
                      <wps:wsp>
                        <wps:cNvPr id="224" name="直接连接符 224"/>
                        <wps:cNvCnPr/>
                        <wps:spPr>
                          <a:xfrm flipH="1" flipV="1">
                            <a:off x="3453" y="485489"/>
                            <a:ext cx="14" cy="389"/>
                          </a:xfrm>
                          <a:prstGeom prst="line">
                            <a:avLst/>
                          </a:prstGeom>
                          <a:ln w="9525" cap="flat" cmpd="sng">
                            <a:solidFill>
                              <a:srgbClr val="000000"/>
                            </a:solidFill>
                            <a:prstDash val="solid"/>
                            <a:headEnd type="none" w="med" len="med"/>
                            <a:tailEnd type="triangle" w="med" len="med"/>
                          </a:ln>
                        </wps:spPr>
                        <wps:bodyPr upright="1"/>
                      </wps:wsp>
                      <wps:wsp>
                        <wps:cNvPr id="225" name="文本框 225"/>
                        <wps:cNvSpPr txBox="1"/>
                        <wps:spPr>
                          <a:xfrm>
                            <a:off x="9069" y="483432"/>
                            <a:ext cx="1132" cy="410"/>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N、W1-1</w:t>
                              </w:r>
                            </w:p>
                          </w:txbxContent>
                        </wps:txbx>
                        <wps:bodyPr upright="1"/>
                      </wps:wsp>
                    </wpg:wgp>
                  </a:graphicData>
                </a:graphic>
              </wp:anchor>
            </w:drawing>
          </mc:Choice>
          <mc:Fallback>
            <w:pict>
              <v:group id="_x0000_s1026" o:spid="_x0000_s1026" o:spt="203" style="position:absolute;left:0pt;margin-left:29.05pt;margin-top:9.35pt;height:365.6pt;width:376.85pt;z-index:251668480;mso-width-relative:page;mso-height-relative:page;" coordorigin="2664,481202" coordsize="7537,7312" o:gfxdata="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">
                <o:lock v:ext="edit" aspectratio="f"/>
                <v:shape id="_x0000_s1026" o:spid="_x0000_s1026" o:spt="202" type="#_x0000_t202" style="position:absolute;left:4897;top:481202;height:410;width:1541;" fillcolor="#FFFFFF" filled="t" stroked="t" coordsize="21600,21600" o:gfxdata="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1mPvK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ascii="宋体" w:hAnsi="宋体" w:eastAsia="宋体" w:cs="宋体"/>
                            <w:szCs w:val="24"/>
                          </w:rPr>
                        </w:pPr>
                        <w:r>
                          <w:rPr>
                            <w:rFonts w:hint="eastAsia" w:ascii="宋体" w:hAnsi="宋体" w:eastAsia="宋体" w:cs="宋体"/>
                            <w:szCs w:val="24"/>
                            <w:lang w:val="en-US" w:eastAsia="zh-CN"/>
                          </w:rPr>
                          <w:t>原料</w:t>
                        </w:r>
                        <w:r>
                          <w:rPr>
                            <w:rFonts w:hint="eastAsia" w:ascii="宋体" w:hAnsi="宋体" w:eastAsia="宋体" w:cs="宋体"/>
                            <w:szCs w:val="24"/>
                          </w:rPr>
                          <w:t>、辅料</w:t>
                        </w:r>
                      </w:p>
                      <w:p>
                        <w:pPr>
                          <w:rPr>
                            <w:rFonts w:hint="eastAsia" w:ascii="黑体" w:hAnsi="Times New Roman" w:eastAsia="黑体" w:cs="Times New Roman"/>
                            <w:szCs w:val="24"/>
                          </w:rPr>
                        </w:pPr>
                      </w:p>
                    </w:txbxContent>
                  </v:textbox>
                </v:shape>
                <v:shape id="_x0000_s1026" o:spid="_x0000_s1026" o:spt="202" type="#_x0000_t202" style="position:absolute;left:6875;top:481920;height:447;width:1275;" fillcolor="#FFFFFF" filled="t" stroked="t" coordsize="21600,21600" o:gfxdata="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Iqm2m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ascii="黑体" w:hAnsi="Times New Roman" w:eastAsia="黑体" w:cs="Times New Roman"/>
                            <w:szCs w:val="24"/>
                          </w:rPr>
                        </w:pPr>
                        <w:r>
                          <w:rPr>
                            <w:rFonts w:hint="eastAsia" w:ascii="宋体" w:hAnsi="宋体" w:eastAsia="宋体" w:cs="宋体"/>
                            <w:szCs w:val="24"/>
                            <w:lang w:val="en-US" w:eastAsia="zh-CN"/>
                          </w:rPr>
                          <w:t>注射用水</w:t>
                        </w:r>
                      </w:p>
                      <w:p>
                        <w:pPr>
                          <w:rPr>
                            <w:rFonts w:hint="eastAsia" w:ascii="黑体" w:hAnsi="Times New Roman" w:eastAsia="黑体" w:cs="Times New Roman"/>
                            <w:szCs w:val="24"/>
                          </w:rPr>
                        </w:pPr>
                      </w:p>
                    </w:txbxContent>
                  </v:textbox>
                </v:shape>
                <v:line id="_x0000_s1026" o:spid="_x0000_s1026" o:spt="20" style="position:absolute;left:5680;top:481602;height:387;width:0;" filled="f" stroked="t" coordsize="21600,21600" o:gfxdata="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vLwAO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shape id="_x0000_s1026" o:spid="_x0000_s1026" o:spt="202" type="#_x0000_t202" style="position:absolute;left:5082;top:481981;height:402;width:1201;" fillcolor="#FFFFFF" filled="t" stroked="t" coordsize="21600,21600" o:gfxdata="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20oIW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称量</w:t>
                        </w:r>
                      </w:p>
                      <w:p>
                        <w:pPr>
                          <w:rPr>
                            <w:rFonts w:hint="eastAsia" w:ascii="黑体" w:hAnsi="Times New Roman" w:eastAsia="黑体" w:cs="Times New Roman"/>
                            <w:szCs w:val="24"/>
                          </w:rPr>
                        </w:pPr>
                      </w:p>
                    </w:txbxContent>
                  </v:textbox>
                </v:shape>
                <v:shape id="_x0000_s1026" o:spid="_x0000_s1026" o:spt="202" type="#_x0000_t202" style="position:absolute;left:5102;top:482686;height:388;width:1201;" fillcolor="#FFFFFF" filled="t" stroked="t" coordsize="21600,21600" o:gfxdata="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wrNPe/&#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rPr>
                            <w:rFonts w:hint="eastAsia" w:ascii="黑体" w:hAnsi="Times New Roman" w:eastAsia="黑体" w:cs="Times New Roman"/>
                            <w:szCs w:val="24"/>
                          </w:rPr>
                        </w:pPr>
                        <w:r>
                          <w:rPr>
                            <w:rFonts w:hint="eastAsia" w:ascii="宋体" w:hAnsi="宋体" w:eastAsia="宋体" w:cs="宋体"/>
                            <w:szCs w:val="24"/>
                            <w:lang w:val="en-US" w:eastAsia="zh-CN"/>
                          </w:rPr>
                          <w:t>搅拌溶解</w:t>
                        </w:r>
                        <w:r>
                          <w:rPr>
                            <w:rFonts w:hint="eastAsia" w:ascii="黑体" w:hAnsi="Times New Roman" w:eastAsia="黑体" w:cs="Times New Roman"/>
                            <w:szCs w:val="24"/>
                          </w:rPr>
                          <w:t>人、、、</w:t>
                        </w:r>
                      </w:p>
                      <w:p>
                        <w:pPr>
                          <w:rPr>
                            <w:rFonts w:hint="eastAsia" w:ascii="黑体" w:hAnsi="Times New Roman" w:eastAsia="黑体" w:cs="Times New Roman"/>
                            <w:szCs w:val="24"/>
                          </w:rPr>
                        </w:pPr>
                      </w:p>
                    </w:txbxContent>
                  </v:textbox>
                </v:shape>
                <v:line id="_x0000_s1026" o:spid="_x0000_s1026" o:spt="20" style="position:absolute;left:7496;top:482377;height:509;width:0;" filled="f" stroked="t" coordsize="21600,21600" o:gfxdata="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FDPg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line id="_x0000_s1026" o:spid="_x0000_s1026" o:spt="20" style="position:absolute;left:5698;top:482397;height:259;width:0;" filled="f" stroked="t" coordsize="21600,21600" o:gfxdata="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Drdr&#10;McEAAADcAAAADwAAAAAAAAABACAAAAAiAAAAZHJzL2Rvd25yZXYueG1sUEsBAhQAFAAAAAgAh07i&#10;QDMvBZ47AAAAOQAAABAAAAAAAAAAAQAgAAAAEAEAAGRycy9zaGFwZXhtbC54bWxQSwUGAAAAAAYA&#10;BgBbAQAAugMAAAAA&#10;">
                  <v:fill on="f" focussize="0,0"/>
                  <v:stroke color="#000000" joinstyle="round" endarrow="block"/>
                  <v:imagedata o:title=""/>
                  <o:lock v:ext="edit" aspectratio="f"/>
                </v:line>
                <v:shape id="_x0000_s1026" o:spid="_x0000_s1026" o:spt="202" type="#_x0000_t202" style="position:absolute;left:7803;top:482979;height:440;width:1401;" fillcolor="#FFFFFF" filled="t" stroked="t" coordsize="21600,21600" o:gfxdata="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jIC7e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i w:val="0"/>
                            <w:color w:val="000000"/>
                            <w:kern w:val="0"/>
                            <w:sz w:val="21"/>
                            <w:szCs w:val="21"/>
                            <w:u w:val="none"/>
                            <w:lang w:val="en-US" w:eastAsia="zh-CN" w:bidi="ar"/>
                          </w:rPr>
                          <w:t>安瓿瓶</w:t>
                        </w:r>
                      </w:p>
                    </w:txbxContent>
                  </v:textbox>
                </v:shape>
                <v:line id="_x0000_s1026" o:spid="_x0000_s1026" o:spt="20" style="position:absolute;left:6454;top:483115;flip:y;height:300;width:438;" filled="f" stroked="t" coordsize="21600,21600" o:gfxdata="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cMqn74A&#10;AADcAAAADwAAAAAAAAABACAAAAAiAAAAZHJzL2Rvd25yZXYueG1sUEsBAhQAFAAAAAgAh07iQDMv&#10;BZ47AAAAOQAAABAAAAAAAAAAAQAgAAAADQEAAGRycy9zaGFwZXhtbC54bWxQSwUGAAAAAAYABgBb&#10;AQAAtwMAAAAA&#10;">
                  <v:fill on="f" focussize="0,0"/>
                  <v:stroke color="#000000" joinstyle="round" dashstyle="dashDot" endarrow="open"/>
                  <v:imagedata o:title=""/>
                  <o:lock v:ext="edit" aspectratio="f"/>
                </v:line>
                <v:line id="_x0000_s1026" o:spid="_x0000_s1026" o:spt="20" style="position:absolute;left:5692;top:483105;height:259;width:0;" filled="f" stroked="t" coordsize="21600,21600" o:gfxdata="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fVG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6319;top:482883;flip:y;height:0;width:1217;" filled="f" stroked="t" coordsize="21600,21600" o:gfxdata="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toNG8AAAA&#10;3AAAAA8AAAAAAAAAAQAgAAAAIgAAAGRycy9kb3ducmV2LnhtbFBLAQIUABQAAAAIAIdO4kAzLwWe&#10;OwAAADkAAAAQAAAAAAAAAAEAIAAAAAsBAABkcnMvc2hhcGV4bWwueG1sUEsFBgAAAAAGAAYAWwEA&#10;ALUDAAAAAA==&#10;">
                  <v:fill on="f" focussize="0,0"/>
                  <v:stroke color="#000000" joinstyle="round" startarrow="block"/>
                  <v:imagedata o:title=""/>
                  <o:lock v:ext="edit" aspectratio="f"/>
                </v:line>
                <v:shape id="_x0000_s1026" o:spid="_x0000_s1026" o:spt="202" type="#_x0000_t202" style="position:absolute;left:6817;top:482773;height:410;width:1339;" filled="f" stroked="t" coordsize="21600,21600" o:gfxdata="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31lOrsAAADc&#10;AAAADwAAAAAAAAABACAAAAAiAAAAZHJzL2Rvd25yZXYueG1sUEsBAhQAFAAAAAgAh07iQDMvBZ47&#10;AAAAOQAAABAAAAAAAAAAAQAgAAAACgEAAGRycy9zaGFwZXhtbC54bWxQSwUGAAAAAAYABgBbAQAA&#10;tAMAAAAA&#10;">
                  <v:fill on="f" focussize="0,0"/>
                  <v:stroke color="#FFFFFF"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N、G1-1</w:t>
                        </w:r>
                      </w:p>
                    </w:txbxContent>
                  </v:textbox>
                </v:shape>
                <v:line id="_x0000_s1026" o:spid="_x0000_s1026" o:spt="20" style="position:absolute;left:8465;top:483453;height:570;width:15;" filled="f" stroked="t" coordsize="21600,21600" o:gfxdata="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Elbe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_x0000_s1026" o:spid="_x0000_s1026" o:spt="202" type="#_x0000_t202" style="position:absolute;left:4907;top:483363;height:432;width:1593;" fillcolor="#FFFFFF" filled="t" stroked="t" coordsize="21600,21600" o:gfxdata="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htNli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药液配制</w:t>
                        </w:r>
                      </w:p>
                    </w:txbxContent>
                  </v:textbox>
                </v:shape>
                <v:line id="_x0000_s1026" o:spid="_x0000_s1026" o:spt="20" style="position:absolute;left:9136;top:483740;flip:y;height:300;width:438;" filled="f" stroked="t" coordsize="21600,21600" o:gfxdata="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Kx11&#10;wAAAANwAAAAPAAAAAAAAAAEAIAAAACIAAABkcnMvZG93bnJldi54bWxQSwECFAAUAAAACACHTuJA&#10;My8FnjsAAAA5AAAAEAAAAAAAAAABACAAAAAPAQAAZHJzL3NoYXBleG1sLnhtbFBLBQYAAAAABgAG&#10;AFsBAAC5AwAAAAA=&#10;">
                  <v:fill on="f" focussize="0,0"/>
                  <v:stroke color="#000000" joinstyle="round" dashstyle="dashDot" endarrow="open"/>
                  <v:imagedata o:title=""/>
                  <o:lock v:ext="edit" aspectratio="f"/>
                </v:line>
                <v:shape id="_x0000_s1026" o:spid="_x0000_s1026" o:spt="202" type="#_x0000_t202" style="position:absolute;left:2952;top:483832;height:432;width:1810;" fillcolor="#FFFFFF" filled="t" stroked="t" coordsize="21600,21600" o:gfxdata="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a+B7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rPr>
                            <w:rFonts w:hint="eastAsia" w:ascii="宋体" w:hAnsi="宋体" w:eastAsia="宋体" w:cs="宋体"/>
                            <w:szCs w:val="24"/>
                            <w:lang w:val="en-US" w:eastAsia="zh-CN"/>
                          </w:rPr>
                        </w:pPr>
                        <w:r>
                          <w:rPr>
                            <w:rFonts w:hint="eastAsia" w:ascii="宋体" w:hAnsi="宋体" w:eastAsia="宋体" w:cs="宋体"/>
                            <w:szCs w:val="24"/>
                            <w:lang w:val="en-US" w:eastAsia="zh-CN"/>
                          </w:rPr>
                          <w:t>中间产品检测</w:t>
                        </w:r>
                      </w:p>
                    </w:txbxContent>
                  </v:textbox>
                </v:shape>
                <v:line id="_x0000_s1026" o:spid="_x0000_s1026" o:spt="20" style="position:absolute;left:5677;top:483761;height:499;width:4;" filled="f" stroked="t" coordsize="21600,21600" o:gfxdata="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Zifyr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6267;top:483660;height:410;width:1536;" fillcolor="#FFFFFF" filled="t" stroked="t" coordsize="21600,21600" o:gfxdata="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Ys/5vQAA&#10;ANwAAAAPAAAAAAAAAAEAIAAAACIAAABkcnMvZG93bnJldi54bWxQSwECFAAUAAAACACHTuJAMy8F&#10;njsAAAA5AAAAEAAAAAAAAAABACAAAAAMAQAAZHJzL3NoYXBleG1sLnhtbFBLBQYAAAAABgAGAFsB&#10;AAC2AwAAAAA=&#10;">
                  <v:fill on="t" focussize="0,0"/>
                  <v:stroke color="#FFFFFF"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N、S1-1</w:t>
                        </w:r>
                      </w:p>
                    </w:txbxContent>
                  </v:textbox>
                </v:shape>
                <v:shape id="_x0000_s1026" o:spid="_x0000_s1026" o:spt="202" type="#_x0000_t202" style="position:absolute;left:7755;top:484009;height:440;width:1401;" fillcolor="#FFFFFF" filled="t" stroked="t" coordsize="21600,21600" o:gfxdata="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zVhO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i w:val="0"/>
                            <w:color w:val="000000"/>
                            <w:kern w:val="0"/>
                            <w:sz w:val="21"/>
                            <w:szCs w:val="21"/>
                            <w:u w:val="none"/>
                            <w:lang w:val="en-US" w:eastAsia="zh-CN" w:bidi="ar"/>
                          </w:rPr>
                          <w:t>清洗</w:t>
                        </w:r>
                      </w:p>
                    </w:txbxContent>
                  </v:textbox>
                </v:shape>
                <v:line id="_x0000_s1026" o:spid="_x0000_s1026" o:spt="20" style="position:absolute;left:6216;top:484000;flip:y;height:239;width:213;" filled="f" stroked="t" coordsize="21600,21600" o:gfxdata="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aB7/74A&#10;AADcAAAADwAAAAAAAAABACAAAAAiAAAAZHJzL2Rvd25yZXYueG1sUEsBAhQAFAAAAAgAh07iQDMv&#10;BZ47AAAAOQAAABAAAAAAAAAAAQAgAAAADQEAAGRycy9zaGFwZXhtbC54bWxQSwUGAAAAAAYABgBb&#10;AQAAtwMAAAAA&#10;">
                  <v:fill on="f" focussize="0,0"/>
                  <v:stroke color="#000000" joinstyle="round" dashstyle="dashDot" endarrow="open"/>
                  <v:imagedata o:title=""/>
                  <o:lock v:ext="edit" aspectratio="f"/>
                </v:line>
                <v:line id="_x0000_s1026" o:spid="_x0000_s1026" o:spt="20" style="position:absolute;left:4794;top:484025;height:10;width:898;" filled="f" stroked="t" coordsize="21600,21600" o:gfxdata="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Kjmcm/&#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4999;top:484254;height:417;width:1381;" fillcolor="#FFFFFF" filled="t" stroked="t" coordsize="21600,21600" o:gfxdata="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Tc+U+/&#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终端过滤</w:t>
                        </w:r>
                      </w:p>
                    </w:txbxContent>
                  </v:textbox>
                </v:shape>
                <v:shape id="_x0000_s1026" o:spid="_x0000_s1026" o:spt="202" type="#_x0000_t202" style="position:absolute;left:6549;top:484464;height:410;width:606;" fillcolor="#FFFFFF" filled="t" stroked="t" coordsize="21600,21600" o:gfxdata="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i1eNvQAA&#10;ANwAAAAPAAAAAAAAAAEAIAAAACIAAABkcnMvZG93bnJldi54bWxQSwECFAAUAAAACACHTuJAMy8F&#10;njsAAAA5AAAAEAAAAAAAAAABACAAAAAMAQAAZHJzL3NoYXBleG1sLnhtbFBLBQYAAAAABgAGAFsB&#10;AAC2AwAAAAA=&#10;">
                  <v:fill on="t" focussize="0,0"/>
                  <v:stroke color="#FFFFFF"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w:t>
                        </w:r>
                      </w:p>
                    </w:txbxContent>
                  </v:textbox>
                </v:shape>
                <v:line id="_x0000_s1026" o:spid="_x0000_s1026" o:spt="20" style="position:absolute;left:8447;top:484416;height:659;width:15;" filled="f" stroked="t" coordsize="21600,21600" o:gfxdata="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JxB76/&#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6303;top:484810;flip:y;height:239;width:213;" filled="f" stroked="t" coordsize="21600,21600" o:gfxdata="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sE6Y68AAAA&#10;3AAAAA8AAAAAAAAAAQAgAAAAIgAAAGRycy9kb3ducmV2LnhtbFBLAQIUABQAAAAIAIdO4kAzLwWe&#10;OwAAADkAAAAQAAAAAAAAAAEAIAAAAAsBAABkcnMvc2hhcGV4bWwueG1sUEsFBgAAAAAGAAYAWwEA&#10;ALUDAAAAAA==&#10;">
                  <v:fill on="f" focussize="0,0"/>
                  <v:stroke color="#000000" joinstyle="round" dashstyle="dashDot" endarrow="open"/>
                  <v:imagedata o:title=""/>
                  <o:lock v:ext="edit" aspectratio="f"/>
                </v:line>
                <v:line id="_x0000_s1026" o:spid="_x0000_s1026" o:spt="20" style="position:absolute;left:5661;top:484677;flip:x;height:384;width:13;" filled="f" stroked="t" coordsize="21600,21600" o:gfxdata="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UcOue/&#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7812;top:485044;height:440;width:1401;" fillcolor="#FFFFFF" filled="t" stroked="t" coordsize="21600,21600" o:gfxdata="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FyzAq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灭菌</w:t>
                        </w:r>
                      </w:p>
                    </w:txbxContent>
                  </v:textbox>
                </v:shape>
                <v:shape id="_x0000_s1026" o:spid="_x0000_s1026" o:spt="202" type="#_x0000_t202" style="position:absolute;left:4831;top:485062;height:414;width:1700;" fillcolor="#FFFFFF" filled="t" stroked="t" coordsize="21600,21600" o:gfxdata="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4+aZG/&#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default" w:ascii="黑体" w:hAnsi="Times New Roman" w:eastAsia="黑体" w:cs="Times New Roman"/>
                            <w:szCs w:val="24"/>
                            <w:lang w:val="en-US"/>
                          </w:rPr>
                        </w:pPr>
                        <w:r>
                          <w:rPr>
                            <w:rFonts w:hint="eastAsia" w:ascii="宋体" w:hAnsi="宋体" w:eastAsia="宋体" w:cs="宋体"/>
                            <w:szCs w:val="24"/>
                            <w:lang w:val="en-US" w:eastAsia="zh-CN"/>
                          </w:rPr>
                          <w:t>灌封</w:t>
                        </w:r>
                      </w:p>
                    </w:txbxContent>
                  </v:textbox>
                </v:shape>
                <v:line id="_x0000_s1026" o:spid="_x0000_s1026" o:spt="20" style="position:absolute;left:6528;top:485273;flip:x y;height:26;width:1311;" filled="f" stroked="t" coordsize="21600,21600" o:gfxdata="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bAPW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5669;top:485489;height:644;width:14;" filled="f" stroked="t" coordsize="21600,21600" o:gfxdata="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iTl2C/&#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_x0000_s1026" o:spid="_x0000_s1026" o:spt="1" style="position:absolute;left:2664;top:485021;height:470;width:1625;" fillcolor="#FFFFFF" filled="t" stroked="t" coordsize="21600,21600" o:gfxdata="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TaJv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ascii="宋体" w:hAnsi="宋体" w:eastAsia="宋体" w:cs="宋体"/>
                            <w:szCs w:val="24"/>
                            <w:lang w:val="en-US" w:eastAsia="zh-CN"/>
                          </w:rPr>
                        </w:pPr>
                        <w:r>
                          <w:rPr>
                            <w:rFonts w:hint="eastAsia" w:ascii="宋体" w:hAnsi="宋体" w:eastAsia="宋体" w:cs="宋体"/>
                            <w:szCs w:val="24"/>
                            <w:lang w:val="en-US" w:eastAsia="zh-CN"/>
                          </w:rPr>
                          <w:t>灌封机</w:t>
                        </w:r>
                      </w:p>
                    </w:txbxContent>
                  </v:textbox>
                </v:rect>
                <v:line id="_x0000_s1026" o:spid="_x0000_s1026" o:spt="20" style="position:absolute;left:4310;top:485265;flip:y;height:19;width:646;" filled="f" stroked="t" coordsize="21600,21600" o:gfxdata="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GIpj+/&#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5015;top:486162;height:438;width:1487;" fillcolor="#FFFFFF" filled="t" stroked="t" coordsize="21600,21600" o:gfxdata="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HX8eW/&#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灭菌</w:t>
                        </w:r>
                      </w:p>
                    </w:txbxContent>
                  </v:textbox>
                </v:shape>
                <v:line id="_x0000_s1026" o:spid="_x0000_s1026" o:spt="20" style="position:absolute;left:5785;top:486639;height:654;width:1;" filled="f" stroked="t" coordsize="21600,21600" o:gfxdata="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eokWO/&#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7145;top:486930;height:465;width:1140;" fillcolor="#FFFFFF" filled="t" stroked="t" coordsize="21600,21600" o:gfxdata="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0gfC5ugAAANwA&#10;AAAPAAAAAAAAAAEAIAAAACIAAABkcnMvZG93bnJldi54bWxQSwECFAAUAAAACACHTuJAMy8FnjsA&#10;AAA5AAAAEAAAAAAAAAABACAAAAAJAQAAZHJzL3NoYXBleG1sLnhtbFBLBQYAAAAABgAGAFsBAACz&#10;AwAAAAA=&#10;">
                  <v:fill on="t" focussize="0,0"/>
                  <v:stroke color="#FFFFFF" joinstyle="miter"/>
                  <v:imagedata o:title=""/>
                  <o:lock v:ext="edit" aspectratio="f"/>
                  <v:textbox>
                    <w:txbxContent>
                      <w:p>
                        <w:pPr>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N、S1-2</w:t>
                        </w:r>
                      </w:p>
                    </w:txbxContent>
                  </v:textbox>
                </v:shape>
                <v:line id="_x0000_s1026" o:spid="_x0000_s1026" o:spt="20" style="position:absolute;left:6575;top:487125;flip:y;height:405;width:510;" filled="f" stroked="t" coordsize="21600,21600" o:gfxdata="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GR2si/&#10;AAAA3AAAAA8AAAAAAAAAAQAgAAAAIgAAAGRycy9kb3ducmV2LnhtbFBLAQIUABQAAAAIAIdO4kAz&#10;LwWeOwAAADkAAAAQAAAAAAAAAAEAIAAAAA4BAABkcnMvc2hhcGV4bWwueG1sUEsFBgAAAAAGAAYA&#10;WwEAALgDAAAAAA==&#10;">
                  <v:fill on="f" focussize="0,0"/>
                  <v:stroke color="#000000" joinstyle="round" dashstyle="dashDot" endarrow="open"/>
                  <v:imagedata o:title=""/>
                  <o:lock v:ext="edit" aspectratio="f"/>
                </v:line>
                <v:shape id="_x0000_s1026" o:spid="_x0000_s1026" o:spt="202" type="#_x0000_t202" style="position:absolute;left:5067;top:487300;height:444;width:1495;" fillcolor="#FFFFFF" filled="t" stroked="t" coordsize="21600,21600" o:gfxdata="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8eBre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ascii="黑体" w:hAnsi="Times New Roman" w:eastAsia="黑体" w:cs="Times New Roman"/>
                            <w:szCs w:val="24"/>
                          </w:rPr>
                        </w:pPr>
                        <w:r>
                          <w:rPr>
                            <w:rFonts w:hint="eastAsia" w:ascii="宋体" w:hAnsi="宋体" w:eastAsia="宋体" w:cs="宋体"/>
                            <w:szCs w:val="24"/>
                            <w:lang w:val="en-US" w:eastAsia="zh-CN"/>
                          </w:rPr>
                          <w:t>检查</w:t>
                        </w:r>
                      </w:p>
                    </w:txbxContent>
                  </v:textbox>
                </v:shape>
                <v:line id="_x0000_s1026" o:spid="_x0000_s1026" o:spt="20" style="position:absolute;left:5779;top:487766;height:355;width:1;" filled="f" stroked="t" coordsize="21600,21600" o:gfxdata="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ZYWYx&#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_x0000_s1026" o:spid="_x0000_s1026" o:spt="202" type="#_x0000_t202" style="position:absolute;left:5014;top:488130;height:385;width:1495;" fillcolor="#FFFFFF" filled="t" stroked="t" coordsize="21600,21600" o:gfxdata="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IA9W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包装入库</w:t>
                        </w:r>
                      </w:p>
                    </w:txbxContent>
                  </v:textbox>
                </v:shape>
                <v:shape id="_x0000_s1026" o:spid="_x0000_s1026" o:spt="202" type="#_x0000_t202" style="position:absolute;left:2763;top:485910;height:452;width:1400;" fillcolor="#FFFFFF" filled="t" stroked="t" coordsize="21600,21600" o:gfxdata="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MmMC/&#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default" w:ascii="宋体" w:hAnsi="宋体" w:eastAsia="宋体" w:cs="宋体"/>
                            <w:szCs w:val="24"/>
                            <w:lang w:val="en-US" w:eastAsia="zh-CN"/>
                          </w:rPr>
                        </w:pPr>
                        <w:r>
                          <w:rPr>
                            <w:rFonts w:hint="eastAsia" w:ascii="宋体" w:hAnsi="宋体" w:eastAsia="宋体" w:cs="宋体"/>
                            <w:szCs w:val="24"/>
                            <w:lang w:val="en-US" w:eastAsia="zh-CN"/>
                          </w:rPr>
                          <w:t>氢氧发生器</w:t>
                        </w:r>
                      </w:p>
                    </w:txbxContent>
                  </v:textbox>
                </v:shape>
                <v:line id="_x0000_s1026" o:spid="_x0000_s1026" o:spt="20" style="position:absolute;left:3453;top:485489;flip:x y;height:389;width:14;" filled="f" stroked="t" coordsize="21600,21600" o:gfxdata="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6X0hL4A&#10;AADc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9069;top:483432;height:410;width:1132;" filled="f" stroked="f" coordsize="21600,21600" o:gfxdata="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rphum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N、W1-1</w:t>
                        </w:r>
                      </w:p>
                    </w:txbxContent>
                  </v:textbox>
                </v:shape>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eastAsia" w:ascii="宋体" w:hAnsi="宋体" w:eastAsia="宋体" w:cs="宋体"/>
          <w:sz w:val="24"/>
          <w:szCs w:val="24"/>
          <w:lang w:val="en-US" w:eastAsia="zh-CN"/>
        </w:rPr>
      </w:pPr>
      <w:r>
        <w:rPr>
          <w:rFonts w:hint="default" w:ascii="Times New Roman" w:hAnsi="Times New Roman" w:eastAsia="宋体" w:cs="Times New Roman"/>
          <w:b/>
          <w:color w:val="000000"/>
          <w:szCs w:val="21"/>
        </w:rPr>
        <w:t>图</w:t>
      </w:r>
      <w:r>
        <w:rPr>
          <w:rFonts w:hint="eastAsia" w:ascii="Times New Roman" w:hAnsi="Times New Roman" w:eastAsia="宋体" w:cs="Times New Roman"/>
          <w:b/>
          <w:color w:val="000000"/>
          <w:szCs w:val="21"/>
          <w:lang w:val="en-US" w:eastAsia="zh-CN"/>
        </w:rPr>
        <w:t>3-6</w:t>
      </w:r>
      <w:r>
        <w:rPr>
          <w:rFonts w:hint="default" w:ascii="Times New Roman" w:hAnsi="Times New Roman" w:eastAsia="宋体" w:cs="Times New Roman"/>
          <w:b/>
          <w:color w:val="000000"/>
          <w:szCs w:val="21"/>
        </w:rPr>
        <w:t xml:space="preserve">  </w:t>
      </w:r>
      <w:r>
        <w:rPr>
          <w:rFonts w:ascii="Times New Roman" w:hAnsi="Times New Roman" w:eastAsia="宋体" w:cs="Times New Roman"/>
          <w:b/>
          <w:color w:val="000000"/>
          <w:szCs w:val="21"/>
        </w:rPr>
        <w:t>项目</w:t>
      </w:r>
      <w:r>
        <w:rPr>
          <w:rFonts w:hint="default" w:ascii="Times New Roman" w:hAnsi="Times New Roman" w:eastAsia="宋体" w:cs="Times New Roman"/>
          <w:b/>
          <w:color w:val="000000"/>
          <w:szCs w:val="21"/>
          <w:lang w:val="en-US" w:eastAsia="zh-CN"/>
        </w:rPr>
        <w:t>小容量（安瓿瓶）注射剂产品</w:t>
      </w:r>
      <w:r>
        <w:rPr>
          <w:rFonts w:ascii="Times New Roman" w:hAnsi="Times New Roman" w:eastAsia="宋体" w:cs="Times New Roman"/>
          <w:b/>
          <w:color w:val="000000"/>
          <w:szCs w:val="21"/>
        </w:rPr>
        <w:t>生产工艺流程及产污环节图</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sz w:val="24"/>
          <w:szCs w:val="24"/>
          <w:lang w:eastAsia="zh-CN"/>
        </w:rPr>
      </w:pPr>
      <w:r>
        <w:rPr>
          <w:rFonts w:hint="default" w:ascii="Times New Roman" w:hAnsi="Times New Roman" w:eastAsia="宋体" w:cs="Times New Roman"/>
          <w:b/>
          <w:bCs/>
          <w:color w:val="auto"/>
          <w:sz w:val="24"/>
          <w:szCs w:val="24"/>
          <w:lang w:eastAsia="zh-CN"/>
        </w:rPr>
        <w:t>生产工艺流程简述：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原辅料：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按</w:t>
      </w:r>
      <w:r>
        <w:rPr>
          <w:rFonts w:hint="default" w:ascii="Times New Roman" w:hAnsi="Times New Roman" w:eastAsia="宋体" w:cs="Times New Roman"/>
          <w:sz w:val="24"/>
          <w:szCs w:val="24"/>
          <w:lang w:val="en-US" w:eastAsia="zh-CN"/>
        </w:rPr>
        <w:t>小容量（安瓿瓶）注射剂产品</w:t>
      </w:r>
      <w:r>
        <w:rPr>
          <w:rFonts w:hint="eastAsia" w:ascii="Times New Roman" w:hAnsi="Times New Roman" w:eastAsia="宋体" w:cs="Times New Roman"/>
          <w:sz w:val="24"/>
          <w:szCs w:val="24"/>
          <w:lang w:val="en-US" w:eastAsia="zh-CN"/>
        </w:rPr>
        <w:t>配方说明进行领料数量的统计，经确认后把领料数量进行输入。在物料交接室对仓库送来的物料进行检查，检查物料的外包装是否整洁、完好，如有异常应立即报告上级并接受指示。确认物料外包装标签上物料名称、物料代码、接收批号及数量，检查外包装上是否贴有质量管理部发放的绿色合格证，合格证上的有效期是否有效。其检验编号是否与领料单上的检验编号一致。核对无误后，则可把各种物料有序的装载于物流台车上，载有各种物料的物流台车则运送到指定位置上整齐停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核对所需物料名称、物料代码及接收批号，然后将经确认无误的物料运送至原料处理室/准备室，在原料袋上注明物料名称、物料代码、接收批号，经货淋室/缓冲室净化后进入洁净室。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称重：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w:t>
      </w:r>
      <w:r>
        <w:rPr>
          <w:rFonts w:hint="default" w:ascii="Times New Roman" w:hAnsi="Times New Roman" w:eastAsia="宋体" w:cs="Times New Roman"/>
          <w:sz w:val="24"/>
          <w:szCs w:val="24"/>
          <w:lang w:val="en-US" w:eastAsia="zh-CN"/>
        </w:rPr>
        <w:t>处方量</w:t>
      </w:r>
      <w:r>
        <w:rPr>
          <w:rFonts w:hint="eastAsia" w:ascii="Times New Roman" w:hAnsi="Times New Roman" w:eastAsia="宋体" w:cs="Times New Roman"/>
          <w:sz w:val="24"/>
          <w:szCs w:val="24"/>
          <w:lang w:val="en-US" w:eastAsia="zh-CN"/>
        </w:rPr>
        <w:t>按《生产线物料称量操作程序》进行称重。称量过程中要避免粉尘的产生防止原料的重量出现偏差，称量前后操作都要进行清场，防止物料混淆以及交叉污染。称量由两个或两个以上的操作人员进行，并对所称量物料名称、接收批号及数量进行复核并及时记录，做好相应标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搅拌溶解、药液配制：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产品工艺规程规定开启搅拌，加入规定量的注射用水，并依次投入原辅料，并按照工艺时间进行搅拌回流溶解，达到规定工艺时间后进行中间体取样检测，检测合格后，经药液泵终端过滤输送至灌装工序，本项目产品仅为常温常压下物理混合搅拌，不涉及化学反应。在药液配制工序中会产生</w:t>
      </w:r>
      <w:r>
        <w:rPr>
          <w:rFonts w:hint="eastAsia" w:ascii="Times New Roman" w:hAnsi="Times New Roman" w:eastAsia="宋体" w:cs="Times New Roman"/>
          <w:kern w:val="2"/>
          <w:sz w:val="24"/>
          <w:szCs w:val="24"/>
          <w:lang w:val="en-US" w:eastAsia="zh-CN"/>
        </w:rPr>
        <w:t>少量异味气体（G1-1）、生产设备噪声（N）。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终端过滤：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配液岗位操作人员检测pH值、性状及渗透压摩尔浓度合格后，打开药液输送阀门，使药液依次经一级滤芯、二级滤芯、三级滤芯过滤，药液过滤压力保持在0.18Mpa～0.25 Mpa范围内。配液前及当批生产结束后确认滤芯经过完整性检测合格，并已安装好。在终端过滤工序中会产生</w:t>
      </w:r>
      <w:r>
        <w:rPr>
          <w:rFonts w:hint="eastAsia" w:ascii="Times New Roman" w:hAnsi="Times New Roman" w:eastAsia="宋体" w:cs="Times New Roman"/>
          <w:kern w:val="2"/>
          <w:sz w:val="24"/>
          <w:szCs w:val="24"/>
          <w:lang w:val="en-US" w:eastAsia="zh-CN"/>
        </w:rPr>
        <w:t>废活性炭滤芯（S1-1）、生产设备噪声（N）。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清洗：</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对安瓿瓶进行清洗，a外洗机、粗洗机及精洗机的操作按《洗瓶机组操作、维护和保养规程》进行。b最终精洗机的操作按《最终精洗机操作、维护和保养规程》进行。c超声波粗洗机的操作按《超声波粗洗机操作、维护和保养规程》进行。d立式精洗机的操作按《立式精洗机操作、维护和保养规程》进行。e安瓿瓶的清洗按《安瓿瓶的清洗操作程序》进行。在清洗工序中会产生</w:t>
      </w:r>
      <w:r>
        <w:rPr>
          <w:rFonts w:hint="eastAsia" w:ascii="Times New Roman" w:hAnsi="Times New Roman" w:eastAsia="宋体" w:cs="Times New Roman"/>
          <w:kern w:val="2"/>
          <w:sz w:val="24"/>
          <w:szCs w:val="24"/>
          <w:lang w:val="en-US" w:eastAsia="zh-CN"/>
        </w:rPr>
        <w:t>包装容器清洗废水（W1-1）、生产设备噪声（N）。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灭菌：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灭菌工序具体操作程序按《安瓿瓶的灭菌工序操作规程》进行。清洗后的辅料通过输送带输送至灭菌岗位。将产品按照要求整齐、均匀地摆放到灭菌托盘内。进行灭菌。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氢氧发生器：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氢氧发生器的工作原理是：水由氢氧组成，化学名称为H</w:t>
      </w:r>
      <w:r>
        <w:rPr>
          <w:rFonts w:hint="default" w:ascii="Times New Roman" w:hAnsi="Times New Roman" w:eastAsia="宋体" w:cs="Times New Roman"/>
          <w:sz w:val="24"/>
          <w:szCs w:val="24"/>
          <w:vertAlign w:val="subscript"/>
          <w:lang w:val="en-US" w:eastAsia="zh-CN"/>
        </w:rPr>
        <w:t>2</w:t>
      </w:r>
      <w:r>
        <w:rPr>
          <w:rFonts w:hint="default" w:ascii="Times New Roman" w:hAnsi="Times New Roman" w:eastAsia="宋体" w:cs="Times New Roman"/>
          <w:sz w:val="24"/>
          <w:szCs w:val="24"/>
          <w:lang w:val="en-US" w:eastAsia="zh-CN"/>
        </w:rPr>
        <w:t>O。它由两个氢原子和一个氧原子组成。在特定条件下，水可以分解成氢和氧，即两个水分子可以分解成两个氢和一个氧。中学化学书中有水电解试验。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氢是一种很好的高能燃料。当我们使用氢作为燃料时，氧气燃烧，氢氧燃烧后产生水，燃烧过程中无污染。因此，氢是一种清洁环保的可再生能源，是中国十一五计划推荐的新能源。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氢氧发生器是一种利用水电解原理将水分解成氢氧的燃料供应设备。由电源模块、电解槽、水分离系统、气体洗涤系统、循环冷却系统、安全装置、智能控制装置等组成。电解槽是水分解氢氧燃料的核心装置，由多个电解板按一定规则串联。一般来说，氢氧发生器由多个电解槽组成，每个电解槽由多个电解板组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使用时，打开电源开关，电源模块将交流电转换为高频谐振直流电，并应用于电解槽两端。电解槽中的水分子从混乱到有序。氢原子总是对应阴极板，氧原子总是对应阳极板。氢氧化学键在电场作用下被迫打破，形成化学阴阳离子。阴阳离子沿各自的方向移动，在阳极上形成氧气，在阴极上形成氢气。形成的气体和电解质通过循环冷却系统输送到热交换器进行气液分离，电解质回到电解槽进行电解，氢氧进入气体洗涤罐，进一步脱离微量电解质，通过安全水密封罐和干氢氧阻火器输送到气体设备，点火即可使用。智能控制系统自动检测气压、电解槽水位、电解槽温度和机器自动停止。所有产品都需要自动处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灌封：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启动灌封机按相关文件要求进行灌封操作，设定灌封速度、熔封高度。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开启氢氧气阀门，并调整火焰大小，确保灌封机的拉丝封口效果，要求封口密封圆滑，无尖头、鼓泡、瘪头、漏封等现象。生产过程中在前期、中期、后期进行氢氧气压力检查。灌封工序拉丝封口后中间产品放置条件均为密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灭菌：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Times New Roman" w:hAnsi="Times New Roman" w:eastAsia="宋体" w:cs="Times New Roman"/>
          <w:sz w:val="24"/>
          <w:szCs w:val="24"/>
          <w:lang w:val="en-US" w:eastAsia="zh-CN"/>
        </w:rPr>
        <w:t>灭菌工序具体操作程序按《安瓿瓶产品的灭菌工序操作规程》进行。灌封后的产品通过输送带输送至灭菌岗位。将产品按照要求整齐、均匀地摆放到灭菌托盘内。同一批次产品分柜灭菌时，应在灭菌车的状态标示牌上注明灭菌柜次并且每车都要用高压蒸汽灭菌指示胶带进行灭菌效果监测。灭菌柜符合要求方可进行灭菌，每柜次记录灭菌温度、灭菌时间及F0值，确保灭菌过程无异常。</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检查：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自动灯检：(a)开启全自动灯检机总电源开关，打开压缩空气手动球阀，确认压缩空气压力在0.60MPa以上。(b)按《全自动灯检机操作、维护和保养规程》对全自动灯检机进行点检，点检完毕后将设备的运行状态由“完好待用”转为“使用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人工灯检：用照度计对每个灯检位置的光照度进行测定，当确认每个灯检位的光照度为1000-1500lx后才可以开始灯检操作。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对待检查产品进行全数灯检。</w:t>
      </w:r>
      <w:r>
        <w:rPr>
          <w:rFonts w:hint="eastAsia" w:ascii="宋体" w:hAnsi="宋体" w:eastAsia="宋体" w:cs="宋体"/>
          <w:sz w:val="24"/>
          <w:szCs w:val="24"/>
          <w:lang w:val="en-US" w:eastAsia="zh-CN"/>
        </w:rPr>
        <w:t>在检查工序中会产</w:t>
      </w:r>
      <w:r>
        <w:rPr>
          <w:rFonts w:hint="eastAsia" w:ascii="Times New Roman" w:hAnsi="Times New Roman" w:eastAsia="宋体" w:cs="Times New Roman"/>
          <w:sz w:val="24"/>
          <w:szCs w:val="24"/>
          <w:lang w:val="en-US" w:eastAsia="zh-CN"/>
        </w:rPr>
        <w:t>生报废药品</w:t>
      </w:r>
      <w:r>
        <w:rPr>
          <w:rFonts w:hint="eastAsia" w:ascii="Times New Roman" w:hAnsi="Times New Roman" w:eastAsia="宋体" w:cs="Times New Roman"/>
          <w:kern w:val="2"/>
          <w:sz w:val="24"/>
          <w:szCs w:val="24"/>
          <w:lang w:val="en-US" w:eastAsia="zh-CN"/>
        </w:rPr>
        <w:t>（S1-2）、生产设备噪声（N）。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包装入库：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灯检合格产品通过输送系统输送至外袋包装工序进行包装入库。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sz w:val="24"/>
          <w:szCs w:val="24"/>
          <w:highlight w:val="none"/>
          <w:lang w:val="en-US" w:eastAsia="zh-CN"/>
        </w:rPr>
      </w:pPr>
    </w:p>
    <w:p>
      <w:pPr>
        <w:pStyle w:val="2"/>
        <w:rPr>
          <w:rFonts w:hint="eastAsia" w:ascii="Times New Roman" w:hAnsi="Times New Roman" w:eastAsia="宋体" w:cs="Times New Roman"/>
          <w:b/>
          <w:bCs/>
          <w:sz w:val="24"/>
          <w:szCs w:val="24"/>
          <w:highlight w:val="none"/>
          <w:lang w:val="en-US" w:eastAsia="zh-CN"/>
        </w:rPr>
      </w:pPr>
    </w:p>
    <w:p>
      <w:pPr>
        <w:pStyle w:val="3"/>
        <w:widowControl w:val="0"/>
        <w:numPr>
          <w:ilvl w:val="0"/>
          <w:numId w:val="0"/>
        </w:numPr>
        <w:jc w:val="both"/>
        <w:rPr>
          <w:rFonts w:hint="eastAsia" w:ascii="Times New Roman" w:hAnsi="Times New Roman" w:eastAsia="宋体" w:cs="Times New Roman"/>
          <w:b/>
          <w:bCs/>
          <w:sz w:val="24"/>
          <w:szCs w:val="24"/>
          <w:highlight w:val="none"/>
          <w:lang w:val="en-US" w:eastAsia="zh-CN"/>
        </w:rPr>
      </w:pPr>
    </w:p>
    <w:p>
      <w:pPr>
        <w:pStyle w:val="3"/>
        <w:widowControl w:val="0"/>
        <w:numPr>
          <w:ilvl w:val="0"/>
          <w:numId w:val="0"/>
        </w:numPr>
        <w:jc w:val="both"/>
        <w:rPr>
          <w:rFonts w:hint="eastAsia" w:ascii="Times New Roman" w:hAnsi="Times New Roman" w:eastAsia="宋体" w:cs="Times New Roman"/>
          <w:b/>
          <w:bCs/>
          <w:sz w:val="24"/>
          <w:szCs w:val="24"/>
          <w:highlight w:val="none"/>
          <w:lang w:val="en-US" w:eastAsia="zh-CN"/>
        </w:rPr>
      </w:pPr>
    </w:p>
    <w:p>
      <w:pPr>
        <w:pStyle w:val="3"/>
        <w:widowControl w:val="0"/>
        <w:numPr>
          <w:ilvl w:val="0"/>
          <w:numId w:val="0"/>
        </w:numPr>
        <w:jc w:val="both"/>
        <w:rPr>
          <w:rFonts w:hint="eastAsia" w:ascii="Times New Roman" w:hAnsi="Times New Roman" w:eastAsia="宋体" w:cs="Times New Roman"/>
          <w:b/>
          <w:bCs/>
          <w:sz w:val="24"/>
          <w:szCs w:val="24"/>
          <w:highlight w:val="none"/>
          <w:lang w:val="en-US" w:eastAsia="zh-CN"/>
        </w:rPr>
      </w:pPr>
    </w:p>
    <w:p>
      <w:pPr>
        <w:pStyle w:val="3"/>
        <w:widowControl w:val="0"/>
        <w:numPr>
          <w:ilvl w:val="0"/>
          <w:numId w:val="0"/>
        </w:numPr>
        <w:jc w:val="both"/>
        <w:rPr>
          <w:rFonts w:hint="eastAsia" w:ascii="Times New Roman" w:hAnsi="Times New Roman" w:eastAsia="宋体" w:cs="Times New Roman"/>
          <w:b/>
          <w:bCs/>
          <w:sz w:val="24"/>
          <w:szCs w:val="24"/>
          <w:highlight w:val="none"/>
          <w:lang w:val="en-US" w:eastAsia="zh-CN"/>
        </w:rPr>
      </w:pPr>
    </w:p>
    <w:p>
      <w:pPr>
        <w:pStyle w:val="3"/>
        <w:widowControl w:val="0"/>
        <w:numPr>
          <w:ilvl w:val="0"/>
          <w:numId w:val="0"/>
        </w:numPr>
        <w:jc w:val="both"/>
        <w:rPr>
          <w:rFonts w:hint="eastAsia" w:ascii="Times New Roman" w:hAnsi="Times New Roman" w:eastAsia="宋体" w:cs="Times New Roman"/>
          <w:b/>
          <w:bCs/>
          <w:sz w:val="24"/>
          <w:szCs w:val="24"/>
          <w:highlight w:val="none"/>
          <w:lang w:val="en-US" w:eastAsia="zh-CN"/>
        </w:rPr>
      </w:pPr>
    </w:p>
    <w:p>
      <w:pPr>
        <w:pStyle w:val="3"/>
        <w:widowControl w:val="0"/>
        <w:numPr>
          <w:ilvl w:val="0"/>
          <w:numId w:val="0"/>
        </w:numPr>
        <w:jc w:val="both"/>
        <w:rPr>
          <w:rFonts w:hint="eastAsia" w:ascii="Times New Roman" w:hAnsi="Times New Roman" w:eastAsia="宋体" w:cs="Times New Roman"/>
          <w:b/>
          <w:bCs/>
          <w:sz w:val="24"/>
          <w:szCs w:val="24"/>
          <w:highlight w:val="none"/>
          <w:lang w:val="en-US" w:eastAsia="zh-CN"/>
        </w:rPr>
      </w:pPr>
    </w:p>
    <w:p>
      <w:pPr>
        <w:pStyle w:val="3"/>
        <w:widowControl w:val="0"/>
        <w:numPr>
          <w:ilvl w:val="0"/>
          <w:numId w:val="0"/>
        </w:numPr>
        <w:jc w:val="both"/>
        <w:rPr>
          <w:rFonts w:hint="eastAsia" w:ascii="Times New Roman" w:hAnsi="Times New Roman" w:eastAsia="宋体" w:cs="Times New Roman"/>
          <w:b/>
          <w:bCs/>
          <w:sz w:val="24"/>
          <w:szCs w:val="24"/>
          <w:highlight w:val="none"/>
          <w:lang w:val="en-US" w:eastAsia="zh-CN"/>
        </w:rPr>
      </w:pPr>
    </w:p>
    <w:p>
      <w:pPr>
        <w:pStyle w:val="3"/>
        <w:widowControl w:val="0"/>
        <w:numPr>
          <w:ilvl w:val="0"/>
          <w:numId w:val="0"/>
        </w:numPr>
        <w:jc w:val="both"/>
        <w:rPr>
          <w:rFonts w:hint="eastAsia" w:ascii="Times New Roman" w:hAnsi="Times New Roman" w:eastAsia="宋体" w:cs="Times New Roman"/>
          <w:b/>
          <w:bCs/>
          <w:sz w:val="24"/>
          <w:szCs w:val="24"/>
          <w:highlight w:val="none"/>
          <w:lang w:val="en-US" w:eastAsia="zh-CN"/>
        </w:rPr>
      </w:pPr>
    </w:p>
    <w:p>
      <w:pPr>
        <w:pStyle w:val="3"/>
        <w:widowControl w:val="0"/>
        <w:numPr>
          <w:ilvl w:val="0"/>
          <w:numId w:val="0"/>
        </w:numPr>
        <w:jc w:val="both"/>
        <w:rPr>
          <w:rFonts w:hint="eastAsia" w:ascii="Times New Roman" w:hAnsi="Times New Roman" w:eastAsia="宋体" w:cs="Times New Roman"/>
          <w:b/>
          <w:bCs/>
          <w:sz w:val="24"/>
          <w:szCs w:val="24"/>
          <w:highlight w:val="none"/>
          <w:lang w:val="en-US" w:eastAsia="zh-CN"/>
        </w:rPr>
      </w:pPr>
    </w:p>
    <w:p>
      <w:pPr>
        <w:pStyle w:val="3"/>
        <w:widowControl w:val="0"/>
        <w:numPr>
          <w:ilvl w:val="0"/>
          <w:numId w:val="0"/>
        </w:numPr>
        <w:jc w:val="both"/>
        <w:rPr>
          <w:rFonts w:hint="eastAsia" w:ascii="Times New Roman" w:hAnsi="Times New Roman" w:eastAsia="宋体" w:cs="Times New Roman"/>
          <w:b/>
          <w:bCs/>
          <w:sz w:val="24"/>
          <w:szCs w:val="24"/>
          <w:highlight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sz w:val="24"/>
          <w:szCs w:val="24"/>
          <w:highlight w:val="none"/>
          <w:lang w:val="en-US" w:eastAsia="zh-CN"/>
        </w:rPr>
      </w:pPr>
      <w:r>
        <w:rPr>
          <w:rFonts w:hint="eastAsia" w:ascii="Times New Roman" w:hAnsi="Times New Roman" w:eastAsia="宋体" w:cs="Times New Roman"/>
          <w:b/>
          <w:bCs/>
          <w:sz w:val="24"/>
          <w:szCs w:val="24"/>
          <w:highlight w:val="none"/>
          <w:lang w:val="en-US" w:eastAsia="zh-CN"/>
        </w:rPr>
        <w:t>2、</w:t>
      </w:r>
      <w:r>
        <w:rPr>
          <w:rFonts w:hint="default" w:ascii="Times New Roman" w:hAnsi="Times New Roman" w:eastAsia="宋体" w:cs="Times New Roman"/>
          <w:b/>
          <w:bCs/>
          <w:sz w:val="24"/>
          <w:szCs w:val="24"/>
          <w:highlight w:val="none"/>
          <w:lang w:val="en-US" w:eastAsia="zh-CN"/>
        </w:rPr>
        <w:t>小容量（西林瓶）冻干注射剂产品工艺流程及产污环节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highlight w:val="none"/>
          <w:lang w:val="en-US" w:eastAsia="zh-CN"/>
        </w:rPr>
      </w:pPr>
      <w:r>
        <w:rPr>
          <w:rFonts w:hint="eastAsia" w:ascii="Times New Roman" w:hAnsi="Times New Roman" w:eastAsia="宋体" w:cs="Times New Roman"/>
          <w:sz w:val="24"/>
          <w:szCs w:val="24"/>
          <w:highlight w:val="none"/>
          <w:lang w:val="en-US" w:eastAsia="zh-CN"/>
        </w:rPr>
        <w:t>本次验收范围为</w:t>
      </w:r>
      <w:r>
        <w:rPr>
          <w:rFonts w:hint="default" w:ascii="Times New Roman" w:hAnsi="Times New Roman" w:eastAsia="宋体" w:cs="Times New Roman"/>
          <w:sz w:val="24"/>
          <w:szCs w:val="24"/>
          <w:highlight w:val="none"/>
          <w:lang w:val="en-US" w:eastAsia="zh-CN"/>
        </w:rPr>
        <w:t>小容量（西林瓶）冻干注射剂产品</w:t>
      </w:r>
      <w:r>
        <w:rPr>
          <w:rFonts w:hint="eastAsia" w:ascii="Times New Roman" w:hAnsi="Times New Roman" w:eastAsia="宋体" w:cs="Times New Roman"/>
          <w:sz w:val="24"/>
          <w:szCs w:val="24"/>
          <w:highlight w:val="none"/>
          <w:lang w:val="en-US" w:eastAsia="zh-CN"/>
        </w:rPr>
        <w:t>包括</w:t>
      </w:r>
      <w:r>
        <w:rPr>
          <w:rFonts w:hint="default" w:ascii="Times New Roman" w:hAnsi="Times New Roman" w:eastAsia="宋体" w:cs="Times New Roman"/>
          <w:sz w:val="24"/>
          <w:szCs w:val="24"/>
          <w:highlight w:val="none"/>
          <w:lang w:val="en-US" w:eastAsia="zh-CN"/>
        </w:rPr>
        <w:t>注射用盐酸罗沙替丁醋酸酯</w:t>
      </w:r>
      <w:r>
        <w:rPr>
          <w:rFonts w:hint="eastAsia" w:ascii="Times New Roman" w:hAnsi="Times New Roman" w:eastAsia="宋体" w:cs="Times New Roman"/>
          <w:sz w:val="24"/>
          <w:szCs w:val="24"/>
          <w:highlight w:val="none"/>
          <w:lang w:val="en-US" w:eastAsia="zh-CN"/>
        </w:rPr>
        <w:t>、</w:t>
      </w:r>
      <w:r>
        <w:rPr>
          <w:rFonts w:hint="default" w:ascii="Times New Roman" w:hAnsi="Times New Roman" w:eastAsia="宋体" w:cs="Times New Roman"/>
          <w:sz w:val="24"/>
          <w:szCs w:val="24"/>
          <w:highlight w:val="none"/>
          <w:lang w:val="en-US" w:eastAsia="zh-CN"/>
        </w:rPr>
        <w:t>注射用地尔硫卓</w:t>
      </w:r>
      <w:r>
        <w:rPr>
          <w:rFonts w:hint="eastAsia" w:ascii="Times New Roman" w:hAnsi="Times New Roman" w:eastAsia="宋体" w:cs="Times New Roman"/>
          <w:sz w:val="24"/>
          <w:szCs w:val="24"/>
          <w:highlight w:val="none"/>
          <w:lang w:val="en-US" w:eastAsia="zh-CN"/>
        </w:rPr>
        <w:t>产品，其生产工艺及产污环本相同，本项目</w:t>
      </w:r>
      <w:r>
        <w:rPr>
          <w:rFonts w:hint="default" w:ascii="Times New Roman" w:hAnsi="Times New Roman" w:eastAsia="宋体" w:cs="Times New Roman"/>
          <w:sz w:val="24"/>
          <w:szCs w:val="24"/>
          <w:highlight w:val="none"/>
          <w:lang w:val="en-US" w:eastAsia="zh-CN"/>
        </w:rPr>
        <w:t>小容量（西林瓶）冻干注射剂产品</w:t>
      </w:r>
      <w:r>
        <w:rPr>
          <w:rFonts w:hint="eastAsia" w:ascii="Times New Roman" w:hAnsi="Times New Roman" w:eastAsia="宋体" w:cs="Times New Roman"/>
          <w:sz w:val="24"/>
          <w:szCs w:val="24"/>
          <w:highlight w:val="none"/>
          <w:lang w:val="en-US" w:eastAsia="zh-CN"/>
        </w:rPr>
        <w:t>工艺流程</w:t>
      </w:r>
      <w:r>
        <w:rPr>
          <w:rFonts w:hint="default" w:ascii="Times New Roman" w:hAnsi="Times New Roman" w:eastAsia="宋体" w:cs="Times New Roman"/>
          <w:sz w:val="24"/>
          <w:szCs w:val="24"/>
          <w:highlight w:val="none"/>
          <w:lang w:val="en-US" w:eastAsia="zh-CN"/>
        </w:rPr>
        <w:t>及产污环节见下图所示：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ascii="Times New Roman" w:hAnsi="Times New Roman" w:eastAsia="宋体" w:cs="Times New Roman"/>
          <w:sz w:val="24"/>
          <w:szCs w:val="24"/>
        </w:rPr>
        <mc:AlternateContent>
          <mc:Choice Requires="wpg">
            <w:drawing>
              <wp:anchor distT="0" distB="0" distL="114300" distR="114300" simplePos="0" relativeHeight="251669504" behindDoc="0" locked="0" layoutInCell="1" allowOverlap="1">
                <wp:simplePos x="0" y="0"/>
                <wp:positionH relativeFrom="column">
                  <wp:posOffset>-135890</wp:posOffset>
                </wp:positionH>
                <wp:positionV relativeFrom="paragraph">
                  <wp:posOffset>194945</wp:posOffset>
                </wp:positionV>
                <wp:extent cx="5498465" cy="5424170"/>
                <wp:effectExtent l="4445" t="4445" r="0" b="19685"/>
                <wp:wrapNone/>
                <wp:docPr id="290" name="组合 290"/>
                <wp:cNvGraphicFramePr/>
                <a:graphic xmlns:a="http://schemas.openxmlformats.org/drawingml/2006/main">
                  <a:graphicData uri="http://schemas.microsoft.com/office/word/2010/wordprocessingGroup">
                    <wpg:wgp>
                      <wpg:cNvGrpSpPr/>
                      <wpg:grpSpPr>
                        <a:xfrm>
                          <a:off x="0" y="0"/>
                          <a:ext cx="5498465" cy="5424170"/>
                          <a:chOff x="2229" y="962944"/>
                          <a:chExt cx="8659" cy="8542"/>
                        </a:xfrm>
                      </wpg:grpSpPr>
                      <wps:wsp>
                        <wps:cNvPr id="228" name="文本框 228"/>
                        <wps:cNvSpPr txBox="1"/>
                        <wps:spPr>
                          <a:xfrm>
                            <a:off x="5257" y="962944"/>
                            <a:ext cx="1541" cy="4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szCs w:val="24"/>
                                </w:rPr>
                              </w:pPr>
                              <w:r>
                                <w:rPr>
                                  <w:rFonts w:hint="eastAsia" w:ascii="宋体" w:hAnsi="宋体" w:eastAsia="宋体" w:cs="宋体"/>
                                  <w:szCs w:val="24"/>
                                  <w:lang w:val="en-US" w:eastAsia="zh-CN"/>
                                </w:rPr>
                                <w:t>原料</w:t>
                              </w:r>
                              <w:r>
                                <w:rPr>
                                  <w:rFonts w:hint="eastAsia" w:ascii="宋体" w:hAnsi="宋体" w:eastAsia="宋体" w:cs="宋体"/>
                                  <w:szCs w:val="24"/>
                                </w:rPr>
                                <w:t>、辅料</w:t>
                              </w:r>
                            </w:p>
                            <w:p>
                              <w:pPr>
                                <w:rPr>
                                  <w:rFonts w:hint="eastAsia" w:ascii="黑体" w:hAnsi="Times New Roman" w:eastAsia="黑体" w:cs="Times New Roman"/>
                                  <w:szCs w:val="24"/>
                                </w:rPr>
                              </w:pPr>
                            </w:p>
                          </w:txbxContent>
                        </wps:txbx>
                        <wps:bodyPr upright="1"/>
                      </wps:wsp>
                      <wps:wsp>
                        <wps:cNvPr id="229" name="文本框 229"/>
                        <wps:cNvSpPr txBox="1"/>
                        <wps:spPr>
                          <a:xfrm>
                            <a:off x="7235" y="963662"/>
                            <a:ext cx="1275" cy="44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黑体" w:hAnsi="Times New Roman" w:eastAsia="黑体" w:cs="Times New Roman"/>
                                  <w:szCs w:val="24"/>
                                </w:rPr>
                              </w:pPr>
                              <w:r>
                                <w:rPr>
                                  <w:rFonts w:hint="eastAsia" w:ascii="宋体" w:hAnsi="宋体" w:eastAsia="宋体" w:cs="宋体"/>
                                  <w:szCs w:val="24"/>
                                  <w:lang w:val="en-US" w:eastAsia="zh-CN"/>
                                </w:rPr>
                                <w:t>注射用水</w:t>
                              </w:r>
                            </w:p>
                            <w:p>
                              <w:pPr>
                                <w:rPr>
                                  <w:rFonts w:hint="eastAsia" w:ascii="黑体" w:hAnsi="Times New Roman" w:eastAsia="黑体" w:cs="Times New Roman"/>
                                  <w:szCs w:val="24"/>
                                </w:rPr>
                              </w:pPr>
                            </w:p>
                          </w:txbxContent>
                        </wps:txbx>
                        <wps:bodyPr upright="1"/>
                      </wps:wsp>
                      <wps:wsp>
                        <wps:cNvPr id="230" name="直接连接符 230"/>
                        <wps:cNvCnPr/>
                        <wps:spPr>
                          <a:xfrm>
                            <a:off x="6040" y="963344"/>
                            <a:ext cx="0" cy="387"/>
                          </a:xfrm>
                          <a:prstGeom prst="line">
                            <a:avLst/>
                          </a:prstGeom>
                          <a:ln w="9525" cap="flat" cmpd="sng">
                            <a:solidFill>
                              <a:srgbClr val="000000"/>
                            </a:solidFill>
                            <a:prstDash val="solid"/>
                            <a:headEnd type="none" w="med" len="med"/>
                            <a:tailEnd type="triangle" w="med" len="med"/>
                          </a:ln>
                        </wps:spPr>
                        <wps:bodyPr upright="1"/>
                      </wps:wsp>
                      <wps:wsp>
                        <wps:cNvPr id="231" name="文本框 231"/>
                        <wps:cNvSpPr txBox="1"/>
                        <wps:spPr>
                          <a:xfrm>
                            <a:off x="5442" y="963723"/>
                            <a:ext cx="1201" cy="40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称量</w:t>
                              </w:r>
                            </w:p>
                            <w:p>
                              <w:pPr>
                                <w:rPr>
                                  <w:rFonts w:hint="eastAsia" w:ascii="黑体" w:hAnsi="Times New Roman" w:eastAsia="黑体" w:cs="Times New Roman"/>
                                  <w:szCs w:val="24"/>
                                </w:rPr>
                              </w:pPr>
                            </w:p>
                          </w:txbxContent>
                        </wps:txbx>
                        <wps:bodyPr upright="1"/>
                      </wps:wsp>
                      <wps:wsp>
                        <wps:cNvPr id="232" name="文本框 232"/>
                        <wps:cNvSpPr txBox="1"/>
                        <wps:spPr>
                          <a:xfrm>
                            <a:off x="5462" y="964428"/>
                            <a:ext cx="1201" cy="38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ascii="黑体" w:hAnsi="Times New Roman" w:eastAsia="黑体" w:cs="Times New Roman"/>
                                  <w:szCs w:val="24"/>
                                </w:rPr>
                              </w:pPr>
                              <w:r>
                                <w:rPr>
                                  <w:rFonts w:hint="eastAsia" w:ascii="宋体" w:hAnsi="宋体" w:eastAsia="宋体" w:cs="宋体"/>
                                  <w:szCs w:val="24"/>
                                  <w:lang w:val="en-US" w:eastAsia="zh-CN"/>
                                </w:rPr>
                                <w:t>搅拌溶解</w:t>
                              </w:r>
                              <w:r>
                                <w:rPr>
                                  <w:rFonts w:hint="eastAsia" w:ascii="黑体" w:hAnsi="Times New Roman" w:eastAsia="黑体" w:cs="Times New Roman"/>
                                  <w:szCs w:val="24"/>
                                </w:rPr>
                                <w:t>人、、、</w:t>
                              </w:r>
                            </w:p>
                            <w:p>
                              <w:pPr>
                                <w:rPr>
                                  <w:rFonts w:hint="eastAsia" w:ascii="黑体" w:hAnsi="Times New Roman" w:eastAsia="黑体" w:cs="Times New Roman"/>
                                  <w:szCs w:val="24"/>
                                </w:rPr>
                              </w:pPr>
                            </w:p>
                          </w:txbxContent>
                        </wps:txbx>
                        <wps:bodyPr upright="1"/>
                      </wps:wsp>
                      <wps:wsp>
                        <wps:cNvPr id="233" name="直接连接符 233"/>
                        <wps:cNvCnPr/>
                        <wps:spPr>
                          <a:xfrm>
                            <a:off x="7856" y="964119"/>
                            <a:ext cx="0" cy="509"/>
                          </a:xfrm>
                          <a:prstGeom prst="line">
                            <a:avLst/>
                          </a:prstGeom>
                          <a:ln w="9525" cap="flat" cmpd="sng">
                            <a:solidFill>
                              <a:srgbClr val="000000"/>
                            </a:solidFill>
                            <a:prstDash val="solid"/>
                            <a:headEnd type="none" w="med" len="med"/>
                            <a:tailEnd type="none" w="med" len="med"/>
                          </a:ln>
                        </wps:spPr>
                        <wps:bodyPr upright="1"/>
                      </wps:wsp>
                      <wps:wsp>
                        <wps:cNvPr id="234" name="直接连接符 234"/>
                        <wps:cNvCnPr/>
                        <wps:spPr>
                          <a:xfrm>
                            <a:off x="6058" y="964139"/>
                            <a:ext cx="0" cy="259"/>
                          </a:xfrm>
                          <a:prstGeom prst="line">
                            <a:avLst/>
                          </a:prstGeom>
                          <a:ln w="9525" cap="flat" cmpd="sng">
                            <a:solidFill>
                              <a:srgbClr val="000000"/>
                            </a:solidFill>
                            <a:prstDash val="solid"/>
                            <a:headEnd type="none" w="med" len="med"/>
                            <a:tailEnd type="triangle" w="med" len="med"/>
                          </a:ln>
                        </wps:spPr>
                        <wps:bodyPr upright="1"/>
                      </wps:wsp>
                      <wps:wsp>
                        <wps:cNvPr id="235" name="文本框 235"/>
                        <wps:cNvSpPr txBox="1"/>
                        <wps:spPr>
                          <a:xfrm>
                            <a:off x="8163" y="964721"/>
                            <a:ext cx="1401" cy="4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i w:val="0"/>
                                  <w:color w:val="000000"/>
                                  <w:kern w:val="0"/>
                                  <w:sz w:val="21"/>
                                  <w:szCs w:val="21"/>
                                  <w:u w:val="none"/>
                                  <w:lang w:val="en-US" w:eastAsia="zh-CN" w:bidi="ar"/>
                                </w:rPr>
                                <w:t>西林瓶</w:t>
                              </w:r>
                            </w:p>
                          </w:txbxContent>
                        </wps:txbx>
                        <wps:bodyPr upright="1"/>
                      </wps:wsp>
                      <wps:wsp>
                        <wps:cNvPr id="236" name="直接连接符 236"/>
                        <wps:cNvCnPr/>
                        <wps:spPr>
                          <a:xfrm flipV="1">
                            <a:off x="6814" y="964857"/>
                            <a:ext cx="438" cy="300"/>
                          </a:xfrm>
                          <a:prstGeom prst="line">
                            <a:avLst/>
                          </a:prstGeom>
                          <a:ln w="9525" cap="flat" cmpd="sng">
                            <a:solidFill>
                              <a:srgbClr val="000000"/>
                            </a:solidFill>
                            <a:prstDash val="dashDot"/>
                            <a:headEnd type="none" w="med" len="med"/>
                            <a:tailEnd type="arrow" w="med" len="med"/>
                          </a:ln>
                        </wps:spPr>
                        <wps:bodyPr upright="1"/>
                      </wps:wsp>
                      <wps:wsp>
                        <wps:cNvPr id="237" name="直接连接符 237"/>
                        <wps:cNvCnPr/>
                        <wps:spPr>
                          <a:xfrm>
                            <a:off x="6052" y="964847"/>
                            <a:ext cx="0" cy="259"/>
                          </a:xfrm>
                          <a:prstGeom prst="line">
                            <a:avLst/>
                          </a:prstGeom>
                          <a:ln w="9525" cap="flat" cmpd="sng">
                            <a:solidFill>
                              <a:srgbClr val="000000"/>
                            </a:solidFill>
                            <a:prstDash val="solid"/>
                            <a:headEnd type="none" w="med" len="med"/>
                            <a:tailEnd type="triangle" w="med" len="med"/>
                          </a:ln>
                        </wps:spPr>
                        <wps:bodyPr upright="1"/>
                      </wps:wsp>
                      <wps:wsp>
                        <wps:cNvPr id="238" name="直接连接符 238"/>
                        <wps:cNvCnPr/>
                        <wps:spPr>
                          <a:xfrm flipV="1">
                            <a:off x="6679" y="964625"/>
                            <a:ext cx="1217" cy="0"/>
                          </a:xfrm>
                          <a:prstGeom prst="line">
                            <a:avLst/>
                          </a:prstGeom>
                          <a:ln w="9525" cap="flat" cmpd="sng">
                            <a:solidFill>
                              <a:srgbClr val="000000"/>
                            </a:solidFill>
                            <a:prstDash val="solid"/>
                            <a:headEnd type="triangle" w="med" len="med"/>
                            <a:tailEnd type="none" w="med" len="med"/>
                          </a:ln>
                        </wps:spPr>
                        <wps:bodyPr upright="1"/>
                      </wps:wsp>
                      <wps:wsp>
                        <wps:cNvPr id="239" name="文本框 239"/>
                        <wps:cNvSpPr txBox="1"/>
                        <wps:spPr>
                          <a:xfrm>
                            <a:off x="7177" y="964515"/>
                            <a:ext cx="1339" cy="410"/>
                          </a:xfrm>
                          <a:prstGeom prst="rect">
                            <a:avLst/>
                          </a:prstGeom>
                          <a:noFill/>
                          <a:ln w="9525" cap="flat" cmpd="sng">
                            <a:solidFill>
                              <a:srgbClr val="FFFFFF"/>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N、G2-1</w:t>
                              </w:r>
                            </w:p>
                          </w:txbxContent>
                        </wps:txbx>
                        <wps:bodyPr upright="1"/>
                      </wps:wsp>
                      <wps:wsp>
                        <wps:cNvPr id="240" name="直接连接符 240"/>
                        <wps:cNvCnPr/>
                        <wps:spPr>
                          <a:xfrm>
                            <a:off x="8825" y="965195"/>
                            <a:ext cx="15" cy="570"/>
                          </a:xfrm>
                          <a:prstGeom prst="line">
                            <a:avLst/>
                          </a:prstGeom>
                          <a:ln w="9525" cap="flat" cmpd="sng">
                            <a:solidFill>
                              <a:srgbClr val="000000"/>
                            </a:solidFill>
                            <a:prstDash val="solid"/>
                            <a:headEnd type="none" w="med" len="med"/>
                            <a:tailEnd type="triangle" w="med" len="med"/>
                          </a:ln>
                        </wps:spPr>
                        <wps:bodyPr upright="1"/>
                      </wps:wsp>
                      <wps:wsp>
                        <wps:cNvPr id="241" name="文本框 241"/>
                        <wps:cNvSpPr txBox="1"/>
                        <wps:spPr>
                          <a:xfrm>
                            <a:off x="5267" y="965105"/>
                            <a:ext cx="1593" cy="43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药液配制</w:t>
                              </w:r>
                            </w:p>
                          </w:txbxContent>
                        </wps:txbx>
                        <wps:bodyPr upright="1"/>
                      </wps:wsp>
                      <wps:wsp>
                        <wps:cNvPr id="242" name="直接连接符 242"/>
                        <wps:cNvCnPr/>
                        <wps:spPr>
                          <a:xfrm flipV="1">
                            <a:off x="9496" y="965482"/>
                            <a:ext cx="438" cy="300"/>
                          </a:xfrm>
                          <a:prstGeom prst="line">
                            <a:avLst/>
                          </a:prstGeom>
                          <a:ln w="9525" cap="flat" cmpd="sng">
                            <a:solidFill>
                              <a:srgbClr val="000000"/>
                            </a:solidFill>
                            <a:prstDash val="dashDot"/>
                            <a:headEnd type="none" w="med" len="med"/>
                            <a:tailEnd type="arrow" w="med" len="med"/>
                          </a:ln>
                        </wps:spPr>
                        <wps:bodyPr upright="1"/>
                      </wps:wsp>
                      <wps:wsp>
                        <wps:cNvPr id="243" name="文本框 243"/>
                        <wps:cNvSpPr txBox="1"/>
                        <wps:spPr>
                          <a:xfrm>
                            <a:off x="3312" y="965574"/>
                            <a:ext cx="1810" cy="43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ascii="宋体" w:hAnsi="宋体" w:eastAsia="宋体" w:cs="宋体"/>
                                  <w:szCs w:val="24"/>
                                  <w:lang w:val="en-US" w:eastAsia="zh-CN"/>
                                </w:rPr>
                              </w:pPr>
                              <w:r>
                                <w:rPr>
                                  <w:rFonts w:hint="eastAsia" w:ascii="宋体" w:hAnsi="宋体" w:eastAsia="宋体" w:cs="宋体"/>
                                  <w:szCs w:val="24"/>
                                  <w:lang w:val="en-US" w:eastAsia="zh-CN"/>
                                </w:rPr>
                                <w:t>中间产品检测</w:t>
                              </w:r>
                            </w:p>
                          </w:txbxContent>
                        </wps:txbx>
                        <wps:bodyPr upright="1"/>
                      </wps:wsp>
                      <wps:wsp>
                        <wps:cNvPr id="244" name="直接连接符 244"/>
                        <wps:cNvCnPr/>
                        <wps:spPr>
                          <a:xfrm>
                            <a:off x="6037" y="965503"/>
                            <a:ext cx="4" cy="499"/>
                          </a:xfrm>
                          <a:prstGeom prst="line">
                            <a:avLst/>
                          </a:prstGeom>
                          <a:ln w="9525" cap="flat" cmpd="sng">
                            <a:solidFill>
                              <a:srgbClr val="000000"/>
                            </a:solidFill>
                            <a:prstDash val="solid"/>
                            <a:headEnd type="none" w="med" len="med"/>
                            <a:tailEnd type="triangle" w="med" len="med"/>
                          </a:ln>
                        </wps:spPr>
                        <wps:bodyPr upright="1"/>
                      </wps:wsp>
                      <wps:wsp>
                        <wps:cNvPr id="245" name="文本框 245"/>
                        <wps:cNvSpPr txBox="1"/>
                        <wps:spPr>
                          <a:xfrm>
                            <a:off x="6627" y="965402"/>
                            <a:ext cx="1536" cy="41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N、S2-1</w:t>
                              </w:r>
                            </w:p>
                          </w:txbxContent>
                        </wps:txbx>
                        <wps:bodyPr upright="1"/>
                      </wps:wsp>
                      <wps:wsp>
                        <wps:cNvPr id="246" name="文本框 246"/>
                        <wps:cNvSpPr txBox="1"/>
                        <wps:spPr>
                          <a:xfrm>
                            <a:off x="8115" y="965751"/>
                            <a:ext cx="1401" cy="4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i w:val="0"/>
                                  <w:color w:val="000000"/>
                                  <w:kern w:val="0"/>
                                  <w:sz w:val="21"/>
                                  <w:szCs w:val="21"/>
                                  <w:u w:val="none"/>
                                  <w:lang w:val="en-US" w:eastAsia="zh-CN" w:bidi="ar"/>
                                </w:rPr>
                                <w:t>清洗</w:t>
                              </w:r>
                            </w:p>
                          </w:txbxContent>
                        </wps:txbx>
                        <wps:bodyPr upright="1"/>
                      </wps:wsp>
                      <wps:wsp>
                        <wps:cNvPr id="247" name="直接连接符 247"/>
                        <wps:cNvCnPr/>
                        <wps:spPr>
                          <a:xfrm flipV="1">
                            <a:off x="6576" y="965742"/>
                            <a:ext cx="213" cy="239"/>
                          </a:xfrm>
                          <a:prstGeom prst="line">
                            <a:avLst/>
                          </a:prstGeom>
                          <a:ln w="9525" cap="flat" cmpd="sng">
                            <a:solidFill>
                              <a:srgbClr val="000000"/>
                            </a:solidFill>
                            <a:prstDash val="dashDot"/>
                            <a:headEnd type="none" w="med" len="med"/>
                            <a:tailEnd type="arrow" w="med" len="med"/>
                          </a:ln>
                        </wps:spPr>
                        <wps:bodyPr upright="1"/>
                      </wps:wsp>
                      <wps:wsp>
                        <wps:cNvPr id="248" name="直接连接符 248"/>
                        <wps:cNvCnPr/>
                        <wps:spPr>
                          <a:xfrm>
                            <a:off x="5154" y="965767"/>
                            <a:ext cx="898" cy="10"/>
                          </a:xfrm>
                          <a:prstGeom prst="line">
                            <a:avLst/>
                          </a:prstGeom>
                          <a:ln w="9525" cap="flat" cmpd="sng">
                            <a:solidFill>
                              <a:srgbClr val="000000"/>
                            </a:solidFill>
                            <a:prstDash val="solid"/>
                            <a:headEnd type="none" w="med" len="med"/>
                            <a:tailEnd type="triangle" w="med" len="med"/>
                          </a:ln>
                        </wps:spPr>
                        <wps:bodyPr upright="1"/>
                      </wps:wsp>
                      <wps:wsp>
                        <wps:cNvPr id="249" name="文本框 249"/>
                        <wps:cNvSpPr txBox="1"/>
                        <wps:spPr>
                          <a:xfrm>
                            <a:off x="5359" y="965996"/>
                            <a:ext cx="1381" cy="41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终端过滤</w:t>
                              </w:r>
                            </w:p>
                          </w:txbxContent>
                        </wps:txbx>
                        <wps:bodyPr upright="1"/>
                      </wps:wsp>
                      <wps:wsp>
                        <wps:cNvPr id="250" name="文本框 250"/>
                        <wps:cNvSpPr txBox="1"/>
                        <wps:spPr>
                          <a:xfrm>
                            <a:off x="6909" y="966206"/>
                            <a:ext cx="606" cy="41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w:t>
                              </w:r>
                            </w:p>
                          </w:txbxContent>
                        </wps:txbx>
                        <wps:bodyPr upright="1"/>
                      </wps:wsp>
                      <wps:wsp>
                        <wps:cNvPr id="251" name="直接连接符 251"/>
                        <wps:cNvCnPr/>
                        <wps:spPr>
                          <a:xfrm>
                            <a:off x="8807" y="966158"/>
                            <a:ext cx="15" cy="659"/>
                          </a:xfrm>
                          <a:prstGeom prst="line">
                            <a:avLst/>
                          </a:prstGeom>
                          <a:ln w="9525" cap="flat" cmpd="sng">
                            <a:solidFill>
                              <a:srgbClr val="000000"/>
                            </a:solidFill>
                            <a:prstDash val="solid"/>
                            <a:headEnd type="none" w="med" len="med"/>
                            <a:tailEnd type="triangle" w="med" len="med"/>
                          </a:ln>
                        </wps:spPr>
                        <wps:bodyPr upright="1"/>
                      </wps:wsp>
                      <wps:wsp>
                        <wps:cNvPr id="252" name="直接连接符 252"/>
                        <wps:cNvCnPr/>
                        <wps:spPr>
                          <a:xfrm flipV="1">
                            <a:off x="6663" y="966552"/>
                            <a:ext cx="213" cy="239"/>
                          </a:xfrm>
                          <a:prstGeom prst="line">
                            <a:avLst/>
                          </a:prstGeom>
                          <a:ln w="9525" cap="flat" cmpd="sng">
                            <a:solidFill>
                              <a:srgbClr val="000000"/>
                            </a:solidFill>
                            <a:prstDash val="dashDot"/>
                            <a:headEnd type="none" w="med" len="med"/>
                            <a:tailEnd type="arrow" w="med" len="med"/>
                          </a:ln>
                        </wps:spPr>
                        <wps:bodyPr upright="1"/>
                      </wps:wsp>
                      <wps:wsp>
                        <wps:cNvPr id="253" name="直接连接符 253"/>
                        <wps:cNvCnPr/>
                        <wps:spPr>
                          <a:xfrm flipH="1">
                            <a:off x="6021" y="966419"/>
                            <a:ext cx="13" cy="384"/>
                          </a:xfrm>
                          <a:prstGeom prst="line">
                            <a:avLst/>
                          </a:prstGeom>
                          <a:ln w="9525" cap="flat" cmpd="sng">
                            <a:solidFill>
                              <a:srgbClr val="000000"/>
                            </a:solidFill>
                            <a:prstDash val="solid"/>
                            <a:headEnd type="none" w="med" len="med"/>
                            <a:tailEnd type="triangle" w="med" len="med"/>
                          </a:ln>
                        </wps:spPr>
                        <wps:bodyPr upright="1"/>
                      </wps:wsp>
                      <wps:wsp>
                        <wps:cNvPr id="254" name="文本框 254"/>
                        <wps:cNvSpPr txBox="1"/>
                        <wps:spPr>
                          <a:xfrm>
                            <a:off x="8172" y="966786"/>
                            <a:ext cx="1401" cy="4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灭菌</w:t>
                              </w:r>
                            </w:p>
                          </w:txbxContent>
                        </wps:txbx>
                        <wps:bodyPr upright="1"/>
                      </wps:wsp>
                      <wps:wsp>
                        <wps:cNvPr id="255" name="文本框 255"/>
                        <wps:cNvSpPr txBox="1"/>
                        <wps:spPr>
                          <a:xfrm>
                            <a:off x="5191" y="966804"/>
                            <a:ext cx="1700" cy="41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ascii="宋体" w:hAnsi="宋体" w:eastAsia="宋体" w:cs="宋体"/>
                                  <w:szCs w:val="24"/>
                                  <w:lang w:val="en-US" w:eastAsia="zh-CN"/>
                                </w:rPr>
                              </w:pPr>
                              <w:r>
                                <w:rPr>
                                  <w:rFonts w:hint="eastAsia" w:ascii="宋体" w:hAnsi="宋体" w:eastAsia="宋体" w:cs="宋体"/>
                                  <w:szCs w:val="24"/>
                                  <w:lang w:val="en-US" w:eastAsia="zh-CN"/>
                                </w:rPr>
                                <w:t>灌装半加塞</w:t>
                              </w:r>
                            </w:p>
                            <w:p>
                              <w:pPr>
                                <w:rPr>
                                  <w:rFonts w:hint="default" w:ascii="Times New Roman" w:hAnsi="Times New Roman" w:eastAsia="宋体" w:cs="Times New Roman"/>
                                  <w:szCs w:val="24"/>
                                  <w:lang w:val="en-US"/>
                                </w:rPr>
                              </w:pPr>
                            </w:p>
                          </w:txbxContent>
                        </wps:txbx>
                        <wps:bodyPr upright="1"/>
                      </wps:wsp>
                      <wps:wsp>
                        <wps:cNvPr id="256" name="直接连接符 256"/>
                        <wps:cNvCnPr/>
                        <wps:spPr>
                          <a:xfrm flipH="1" flipV="1">
                            <a:off x="6888" y="967015"/>
                            <a:ext cx="1311" cy="26"/>
                          </a:xfrm>
                          <a:prstGeom prst="line">
                            <a:avLst/>
                          </a:prstGeom>
                          <a:ln w="9525" cap="flat" cmpd="sng">
                            <a:solidFill>
                              <a:srgbClr val="000000"/>
                            </a:solidFill>
                            <a:prstDash val="solid"/>
                            <a:headEnd type="none" w="med" len="med"/>
                            <a:tailEnd type="triangle" w="med" len="med"/>
                          </a:ln>
                        </wps:spPr>
                        <wps:bodyPr upright="1"/>
                      </wps:wsp>
                      <wps:wsp>
                        <wps:cNvPr id="257" name="直接连接符 257"/>
                        <wps:cNvCnPr/>
                        <wps:spPr>
                          <a:xfrm>
                            <a:off x="6029" y="967231"/>
                            <a:ext cx="14" cy="419"/>
                          </a:xfrm>
                          <a:prstGeom prst="line">
                            <a:avLst/>
                          </a:prstGeom>
                          <a:ln w="9525" cap="flat" cmpd="sng">
                            <a:solidFill>
                              <a:srgbClr val="000000"/>
                            </a:solidFill>
                            <a:prstDash val="solid"/>
                            <a:headEnd type="none" w="med" len="med"/>
                            <a:tailEnd type="triangle" w="med" len="med"/>
                          </a:ln>
                        </wps:spPr>
                        <wps:bodyPr upright="1"/>
                      </wps:wsp>
                      <wps:wsp>
                        <wps:cNvPr id="258" name="矩形 258"/>
                        <wps:cNvSpPr/>
                        <wps:spPr>
                          <a:xfrm>
                            <a:off x="3024" y="966763"/>
                            <a:ext cx="1625" cy="47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氮气保护</w:t>
                              </w:r>
                            </w:p>
                            <w:p>
                              <w:pPr>
                                <w:rPr>
                                  <w:rFonts w:hint="default" w:ascii="Times New Roman" w:hAnsi="Times New Roman" w:eastAsia="宋体" w:cs="Times New Roman"/>
                                  <w:szCs w:val="24"/>
                                  <w:lang w:val="en-US" w:eastAsia="zh-CN"/>
                                </w:rPr>
                              </w:pPr>
                            </w:p>
                          </w:txbxContent>
                        </wps:txbx>
                        <wps:bodyPr upright="1"/>
                      </wps:wsp>
                      <wps:wsp>
                        <wps:cNvPr id="259" name="直接连接符 259"/>
                        <wps:cNvCnPr/>
                        <wps:spPr>
                          <a:xfrm>
                            <a:off x="4670" y="967026"/>
                            <a:ext cx="586" cy="11"/>
                          </a:xfrm>
                          <a:prstGeom prst="line">
                            <a:avLst/>
                          </a:prstGeom>
                          <a:ln w="9525" cap="flat" cmpd="sng">
                            <a:solidFill>
                              <a:srgbClr val="000000"/>
                            </a:solidFill>
                            <a:prstDash val="solid"/>
                            <a:headEnd type="none" w="med" len="med"/>
                            <a:tailEnd type="triangle" w="med" len="med"/>
                          </a:ln>
                        </wps:spPr>
                        <wps:bodyPr upright="1"/>
                      </wps:wsp>
                      <wps:wsp>
                        <wps:cNvPr id="260" name="文本框 260"/>
                        <wps:cNvSpPr txBox="1"/>
                        <wps:spPr>
                          <a:xfrm>
                            <a:off x="5375" y="967649"/>
                            <a:ext cx="1487" cy="43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灭菌</w:t>
                              </w:r>
                            </w:p>
                          </w:txbxContent>
                        </wps:txbx>
                        <wps:bodyPr upright="1"/>
                      </wps:wsp>
                      <wps:wsp>
                        <wps:cNvPr id="261" name="直接连接符 261"/>
                        <wps:cNvCnPr/>
                        <wps:spPr>
                          <a:xfrm>
                            <a:off x="6070" y="968066"/>
                            <a:ext cx="1" cy="415"/>
                          </a:xfrm>
                          <a:prstGeom prst="line">
                            <a:avLst/>
                          </a:prstGeom>
                          <a:ln w="9525" cap="flat" cmpd="sng">
                            <a:solidFill>
                              <a:srgbClr val="000000"/>
                            </a:solidFill>
                            <a:prstDash val="solid"/>
                            <a:headEnd type="none" w="med" len="med"/>
                            <a:tailEnd type="triangle" w="med" len="med"/>
                          </a:ln>
                        </wps:spPr>
                        <wps:bodyPr upright="1"/>
                      </wps:wsp>
                      <wps:wsp>
                        <wps:cNvPr id="262" name="文本框 262"/>
                        <wps:cNvSpPr txBox="1"/>
                        <wps:spPr>
                          <a:xfrm>
                            <a:off x="9429" y="965174"/>
                            <a:ext cx="1132" cy="410"/>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N、W2-1</w:t>
                              </w:r>
                            </w:p>
                          </w:txbxContent>
                        </wps:txbx>
                        <wps:bodyPr upright="1"/>
                      </wps:wsp>
                      <wps:wsp>
                        <wps:cNvPr id="263" name="文本框 263"/>
                        <wps:cNvSpPr txBox="1"/>
                        <wps:spPr>
                          <a:xfrm>
                            <a:off x="8064" y="969338"/>
                            <a:ext cx="2558" cy="95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ascii="Times New Roman" w:hAnsi="Times New Roman" w:eastAsia="宋体" w:cs="Times New Roman"/>
                                  <w:szCs w:val="24"/>
                                  <w:lang w:val="en-US" w:eastAsia="zh-CN"/>
                                </w:rPr>
                              </w:pPr>
                              <w:r>
                                <w:rPr>
                                  <w:rFonts w:hint="default" w:ascii="Times New Roman" w:hAnsi="Times New Roman" w:eastAsia="宋体" w:cs="Times New Roman"/>
                                  <w:color w:val="auto"/>
                                  <w:sz w:val="21"/>
                                  <w:szCs w:val="21"/>
                                </w:rPr>
                                <w:t>注射用冷冻干燥无菌粉末用卤化丁基橡胶塞（氯化）</w:t>
                              </w:r>
                            </w:p>
                          </w:txbxContent>
                        </wps:txbx>
                        <wps:bodyPr upright="1"/>
                      </wps:wsp>
                      <wps:wsp>
                        <wps:cNvPr id="264" name="直接连接符 264"/>
                        <wps:cNvCnPr/>
                        <wps:spPr>
                          <a:xfrm flipV="1">
                            <a:off x="8950" y="968887"/>
                            <a:ext cx="1" cy="450"/>
                          </a:xfrm>
                          <a:prstGeom prst="line">
                            <a:avLst/>
                          </a:prstGeom>
                          <a:ln w="9525" cap="flat" cmpd="sng">
                            <a:solidFill>
                              <a:srgbClr val="000000"/>
                            </a:solidFill>
                            <a:prstDash val="solid"/>
                            <a:headEnd type="none" w="med" len="med"/>
                            <a:tailEnd type="triangle" w="med" len="med"/>
                          </a:ln>
                        </wps:spPr>
                        <wps:bodyPr upright="1"/>
                      </wps:wsp>
                      <wps:wsp>
                        <wps:cNvPr id="265" name="文本框 265"/>
                        <wps:cNvSpPr txBox="1"/>
                        <wps:spPr>
                          <a:xfrm>
                            <a:off x="8547" y="968465"/>
                            <a:ext cx="1401" cy="4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i w:val="0"/>
                                  <w:color w:val="000000"/>
                                  <w:kern w:val="0"/>
                                  <w:sz w:val="21"/>
                                  <w:szCs w:val="21"/>
                                  <w:u w:val="none"/>
                                  <w:lang w:val="en-US" w:eastAsia="zh-CN" w:bidi="ar"/>
                                </w:rPr>
                                <w:t>清洗</w:t>
                              </w:r>
                            </w:p>
                          </w:txbxContent>
                        </wps:txbx>
                        <wps:bodyPr upright="1"/>
                      </wps:wsp>
                      <wps:wsp>
                        <wps:cNvPr id="266" name="直接连接符 266"/>
                        <wps:cNvCnPr/>
                        <wps:spPr>
                          <a:xfrm flipV="1">
                            <a:off x="9478" y="968179"/>
                            <a:ext cx="438" cy="300"/>
                          </a:xfrm>
                          <a:prstGeom prst="line">
                            <a:avLst/>
                          </a:prstGeom>
                          <a:ln w="9525" cap="flat" cmpd="sng">
                            <a:solidFill>
                              <a:srgbClr val="000000"/>
                            </a:solidFill>
                            <a:prstDash val="dashDot"/>
                            <a:headEnd type="none" w="med" len="med"/>
                            <a:tailEnd type="arrow" w="med" len="med"/>
                          </a:ln>
                        </wps:spPr>
                        <wps:bodyPr upright="1"/>
                      </wps:wsp>
                      <wps:wsp>
                        <wps:cNvPr id="267" name="文本框 267"/>
                        <wps:cNvSpPr txBox="1"/>
                        <wps:spPr>
                          <a:xfrm>
                            <a:off x="9756" y="967764"/>
                            <a:ext cx="1132" cy="410"/>
                          </a:xfrm>
                          <a:prstGeom prst="rect">
                            <a:avLst/>
                          </a:prstGeom>
                          <a:noFill/>
                          <a:ln>
                            <a:noFill/>
                          </a:ln>
                        </wps:spPr>
                        <wps:txb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N、W2-2</w:t>
                              </w:r>
                            </w:p>
                          </w:txbxContent>
                        </wps:txbx>
                        <wps:bodyPr upright="1"/>
                      </wps:wsp>
                      <wps:wsp>
                        <wps:cNvPr id="268" name="直接连接符 268"/>
                        <wps:cNvCnPr/>
                        <wps:spPr>
                          <a:xfrm flipH="1" flipV="1">
                            <a:off x="8920" y="967912"/>
                            <a:ext cx="15" cy="555"/>
                          </a:xfrm>
                          <a:prstGeom prst="line">
                            <a:avLst/>
                          </a:prstGeom>
                          <a:ln w="9525" cap="flat" cmpd="sng">
                            <a:solidFill>
                              <a:srgbClr val="000000"/>
                            </a:solidFill>
                            <a:prstDash val="solid"/>
                            <a:headEnd type="none" w="med" len="med"/>
                            <a:tailEnd type="triangle" w="med" len="med"/>
                          </a:ln>
                        </wps:spPr>
                        <wps:bodyPr upright="1"/>
                      </wps:wsp>
                      <wps:wsp>
                        <wps:cNvPr id="269" name="文本框 269"/>
                        <wps:cNvSpPr txBox="1"/>
                        <wps:spPr>
                          <a:xfrm>
                            <a:off x="8439" y="967482"/>
                            <a:ext cx="1401" cy="4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灭菌</w:t>
                              </w:r>
                            </w:p>
                          </w:txbxContent>
                        </wps:txbx>
                        <wps:bodyPr upright="1"/>
                      </wps:wsp>
                      <wps:wsp>
                        <wps:cNvPr id="270" name="直接连接符 270"/>
                        <wps:cNvCnPr/>
                        <wps:spPr>
                          <a:xfrm flipH="1" flipV="1">
                            <a:off x="6910" y="967162"/>
                            <a:ext cx="1515" cy="495"/>
                          </a:xfrm>
                          <a:prstGeom prst="line">
                            <a:avLst/>
                          </a:prstGeom>
                          <a:ln w="9525" cap="flat" cmpd="sng">
                            <a:solidFill>
                              <a:srgbClr val="000000"/>
                            </a:solidFill>
                            <a:prstDash val="solid"/>
                            <a:headEnd type="none" w="med" len="med"/>
                            <a:tailEnd type="triangle" w="med" len="med"/>
                          </a:ln>
                        </wps:spPr>
                        <wps:bodyPr upright="1"/>
                      </wps:wsp>
                      <wps:wsp>
                        <wps:cNvPr id="271" name="矩形 271"/>
                        <wps:cNvSpPr/>
                        <wps:spPr>
                          <a:xfrm>
                            <a:off x="3276" y="967519"/>
                            <a:ext cx="1625" cy="47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ascii="Times New Roman" w:hAnsi="Times New Roman" w:eastAsia="宋体" w:cs="Times New Roman"/>
                                  <w:szCs w:val="24"/>
                                  <w:lang w:val="en-US" w:eastAsia="zh-CN"/>
                                </w:rPr>
                              </w:pPr>
                              <w:r>
                                <w:rPr>
                                  <w:rFonts w:hint="eastAsia" w:ascii="宋体" w:hAnsi="宋体" w:eastAsia="宋体" w:cs="宋体"/>
                                  <w:szCs w:val="24"/>
                                  <w:lang w:val="en-US" w:eastAsia="zh-CN"/>
                                </w:rPr>
                                <w:t>装量检查</w:t>
                              </w:r>
                            </w:p>
                          </w:txbxContent>
                        </wps:txbx>
                        <wps:bodyPr upright="1"/>
                      </wps:wsp>
                      <wps:wsp>
                        <wps:cNvPr id="272" name="直接连接符 272"/>
                        <wps:cNvCnPr/>
                        <wps:spPr>
                          <a:xfrm flipV="1">
                            <a:off x="4907" y="967421"/>
                            <a:ext cx="1125" cy="288"/>
                          </a:xfrm>
                          <a:prstGeom prst="line">
                            <a:avLst/>
                          </a:prstGeom>
                          <a:ln w="9525" cap="flat" cmpd="sng">
                            <a:solidFill>
                              <a:srgbClr val="000000"/>
                            </a:solidFill>
                            <a:prstDash val="solid"/>
                            <a:headEnd type="none" w="med" len="med"/>
                            <a:tailEnd type="triangle" w="med" len="med"/>
                          </a:ln>
                        </wps:spPr>
                        <wps:bodyPr upright="1"/>
                      </wps:wsp>
                      <wps:wsp>
                        <wps:cNvPr id="273" name="文本框 273"/>
                        <wps:cNvSpPr txBox="1"/>
                        <wps:spPr>
                          <a:xfrm>
                            <a:off x="3680" y="969782"/>
                            <a:ext cx="1140" cy="46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N、S2-2</w:t>
                              </w:r>
                            </w:p>
                          </w:txbxContent>
                        </wps:txbx>
                        <wps:bodyPr upright="1"/>
                      </wps:wsp>
                      <wps:wsp>
                        <wps:cNvPr id="274" name="直接连接符 274"/>
                        <wps:cNvCnPr/>
                        <wps:spPr>
                          <a:xfrm flipH="1" flipV="1">
                            <a:off x="4850" y="970112"/>
                            <a:ext cx="645" cy="360"/>
                          </a:xfrm>
                          <a:prstGeom prst="line">
                            <a:avLst/>
                          </a:prstGeom>
                          <a:ln w="9525" cap="flat" cmpd="sng">
                            <a:solidFill>
                              <a:srgbClr val="000000"/>
                            </a:solidFill>
                            <a:prstDash val="dashDot"/>
                            <a:headEnd type="none" w="med" len="med"/>
                            <a:tailEnd type="arrow" w="med" len="med"/>
                          </a:ln>
                        </wps:spPr>
                        <wps:bodyPr upright="1"/>
                      </wps:wsp>
                      <wps:wsp>
                        <wps:cNvPr id="275" name="文本框 275"/>
                        <wps:cNvSpPr txBox="1"/>
                        <wps:spPr>
                          <a:xfrm>
                            <a:off x="5412" y="970272"/>
                            <a:ext cx="1495" cy="44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黑体" w:hAnsi="Times New Roman" w:eastAsia="黑体" w:cs="Times New Roman"/>
                                  <w:szCs w:val="24"/>
                                </w:rPr>
                              </w:pPr>
                              <w:r>
                                <w:rPr>
                                  <w:rFonts w:hint="eastAsia" w:ascii="宋体" w:hAnsi="宋体" w:eastAsia="宋体" w:cs="宋体"/>
                                  <w:szCs w:val="24"/>
                                  <w:lang w:val="en-US" w:eastAsia="zh-CN"/>
                                </w:rPr>
                                <w:t>检查</w:t>
                              </w:r>
                            </w:p>
                          </w:txbxContent>
                        </wps:txbx>
                        <wps:bodyPr upright="1"/>
                      </wps:wsp>
                      <wps:wsp>
                        <wps:cNvPr id="276" name="直接连接符 276"/>
                        <wps:cNvCnPr/>
                        <wps:spPr>
                          <a:xfrm>
                            <a:off x="6139" y="970738"/>
                            <a:ext cx="1" cy="355"/>
                          </a:xfrm>
                          <a:prstGeom prst="line">
                            <a:avLst/>
                          </a:prstGeom>
                          <a:ln w="9525" cap="flat" cmpd="sng">
                            <a:solidFill>
                              <a:srgbClr val="000000"/>
                            </a:solidFill>
                            <a:prstDash val="solid"/>
                            <a:headEnd type="none" w="med" len="med"/>
                            <a:tailEnd type="triangle" w="med" len="med"/>
                          </a:ln>
                        </wps:spPr>
                        <wps:bodyPr upright="1"/>
                      </wps:wsp>
                      <wps:wsp>
                        <wps:cNvPr id="277" name="文本框 277"/>
                        <wps:cNvSpPr txBox="1"/>
                        <wps:spPr>
                          <a:xfrm>
                            <a:off x="5404" y="971102"/>
                            <a:ext cx="1495" cy="38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包装入库</w:t>
                              </w:r>
                            </w:p>
                          </w:txbxContent>
                        </wps:txbx>
                        <wps:bodyPr upright="1"/>
                      </wps:wsp>
                      <wps:wsp>
                        <wps:cNvPr id="278" name="文本框 278"/>
                        <wps:cNvSpPr txBox="1"/>
                        <wps:spPr>
                          <a:xfrm>
                            <a:off x="5446" y="968442"/>
                            <a:ext cx="1381" cy="41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ascii="宋体" w:hAnsi="宋体" w:eastAsia="宋体" w:cs="宋体"/>
                                  <w:szCs w:val="24"/>
                                  <w:lang w:val="en-US" w:eastAsia="zh-CN"/>
                                </w:rPr>
                              </w:pPr>
                              <w:r>
                                <w:rPr>
                                  <w:rFonts w:hint="eastAsia" w:ascii="宋体" w:hAnsi="宋体" w:eastAsia="宋体" w:cs="宋体"/>
                                  <w:szCs w:val="24"/>
                                  <w:lang w:val="en-US" w:eastAsia="zh-CN"/>
                                </w:rPr>
                                <w:t>冷冻干燥</w:t>
                              </w:r>
                            </w:p>
                          </w:txbxContent>
                        </wps:txbx>
                        <wps:bodyPr upright="1"/>
                      </wps:wsp>
                      <wps:wsp>
                        <wps:cNvPr id="279" name="直接连接符 279"/>
                        <wps:cNvCnPr/>
                        <wps:spPr>
                          <a:xfrm>
                            <a:off x="6101" y="968859"/>
                            <a:ext cx="15" cy="435"/>
                          </a:xfrm>
                          <a:prstGeom prst="line">
                            <a:avLst/>
                          </a:prstGeom>
                          <a:ln w="9525" cap="flat" cmpd="sng">
                            <a:solidFill>
                              <a:srgbClr val="000000"/>
                            </a:solidFill>
                            <a:prstDash val="solid"/>
                            <a:headEnd type="none" w="med" len="med"/>
                            <a:tailEnd type="triangle" w="med" len="med"/>
                          </a:ln>
                        </wps:spPr>
                        <wps:bodyPr upright="1"/>
                      </wps:wsp>
                      <wps:wsp>
                        <wps:cNvPr id="280" name="矩形 280"/>
                        <wps:cNvSpPr/>
                        <wps:spPr>
                          <a:xfrm>
                            <a:off x="5403" y="969299"/>
                            <a:ext cx="1460" cy="47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轧盖</w:t>
                              </w:r>
                            </w:p>
                            <w:p>
                              <w:pPr>
                                <w:rPr>
                                  <w:rFonts w:hint="default" w:ascii="Times New Roman" w:hAnsi="Times New Roman" w:eastAsia="宋体" w:cs="Times New Roman"/>
                                  <w:szCs w:val="24"/>
                                  <w:lang w:val="en-US" w:eastAsia="zh-CN"/>
                                </w:rPr>
                              </w:pPr>
                            </w:p>
                          </w:txbxContent>
                        </wps:txbx>
                        <wps:bodyPr upright="1"/>
                      </wps:wsp>
                      <wps:wsp>
                        <wps:cNvPr id="281" name="文本框 281"/>
                        <wps:cNvSpPr txBox="1"/>
                        <wps:spPr>
                          <a:xfrm>
                            <a:off x="2229" y="968243"/>
                            <a:ext cx="1675" cy="43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ascii="Times New Roman" w:hAnsi="Times New Roman" w:eastAsia="宋体" w:cs="Times New Roman"/>
                                  <w:szCs w:val="24"/>
                                  <w:lang w:val="en-US" w:eastAsia="zh-CN"/>
                                </w:rPr>
                              </w:pPr>
                              <w:r>
                                <w:rPr>
                                  <w:rFonts w:hint="eastAsia" w:ascii="宋体" w:hAnsi="宋体" w:eastAsia="宋体" w:cs="宋体"/>
                                  <w:szCs w:val="24"/>
                                  <w:lang w:val="en-US" w:eastAsia="zh-CN"/>
                                </w:rPr>
                                <w:t>西林瓶用铝</w:t>
                              </w:r>
                              <w:r>
                                <w:rPr>
                                  <w:rFonts w:hint="eastAsia" w:ascii="黑体" w:hAnsi="Times New Roman" w:eastAsia="黑体" w:cs="Times New Roman"/>
                                  <w:szCs w:val="24"/>
                                  <w:lang w:val="en-US" w:eastAsia="zh-CN"/>
                                </w:rPr>
                                <w:t>盖</w:t>
                              </w:r>
                            </w:p>
                          </w:txbxContent>
                        </wps:txbx>
                        <wps:bodyPr upright="1"/>
                      </wps:wsp>
                      <wps:wsp>
                        <wps:cNvPr id="282" name="文本框 282"/>
                        <wps:cNvSpPr txBox="1"/>
                        <wps:spPr>
                          <a:xfrm>
                            <a:off x="2230" y="969282"/>
                            <a:ext cx="1125" cy="43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清洗</w:t>
                              </w:r>
                            </w:p>
                          </w:txbxContent>
                        </wps:txbx>
                        <wps:bodyPr upright="1"/>
                      </wps:wsp>
                      <wps:wsp>
                        <wps:cNvPr id="283" name="文本框 283"/>
                        <wps:cNvSpPr txBox="1"/>
                        <wps:spPr>
                          <a:xfrm>
                            <a:off x="3820" y="969282"/>
                            <a:ext cx="1155" cy="434"/>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灭菌</w:t>
                              </w:r>
                            </w:p>
                          </w:txbxContent>
                        </wps:txbx>
                        <wps:bodyPr upright="1"/>
                      </wps:wsp>
                      <wps:wsp>
                        <wps:cNvPr id="284" name="直接连接符 284"/>
                        <wps:cNvCnPr/>
                        <wps:spPr>
                          <a:xfrm flipH="1">
                            <a:off x="2733" y="968718"/>
                            <a:ext cx="13" cy="534"/>
                          </a:xfrm>
                          <a:prstGeom prst="line">
                            <a:avLst/>
                          </a:prstGeom>
                          <a:ln w="9525" cap="flat" cmpd="sng">
                            <a:solidFill>
                              <a:srgbClr val="000000"/>
                            </a:solidFill>
                            <a:prstDash val="solid"/>
                            <a:headEnd type="none" w="med" len="med"/>
                            <a:tailEnd type="triangle" w="med" len="med"/>
                          </a:ln>
                        </wps:spPr>
                        <wps:bodyPr upright="1"/>
                      </wps:wsp>
                      <wps:wsp>
                        <wps:cNvPr id="285" name="直接连接符 285"/>
                        <wps:cNvCnPr/>
                        <wps:spPr>
                          <a:xfrm flipV="1">
                            <a:off x="2965" y="968997"/>
                            <a:ext cx="645" cy="300"/>
                          </a:xfrm>
                          <a:prstGeom prst="line">
                            <a:avLst/>
                          </a:prstGeom>
                          <a:ln w="9525" cap="flat" cmpd="sng">
                            <a:solidFill>
                              <a:srgbClr val="000000"/>
                            </a:solidFill>
                            <a:prstDash val="dashDot"/>
                            <a:headEnd type="none" w="med" len="med"/>
                            <a:tailEnd type="arrow" w="med" len="med"/>
                          </a:ln>
                        </wps:spPr>
                        <wps:bodyPr upright="1"/>
                      </wps:wsp>
                      <wps:wsp>
                        <wps:cNvPr id="286" name="文本框 286"/>
                        <wps:cNvSpPr txBox="1"/>
                        <wps:spPr>
                          <a:xfrm>
                            <a:off x="3520" y="968713"/>
                            <a:ext cx="1095" cy="434"/>
                          </a:xfrm>
                          <a:prstGeom prst="rect">
                            <a:avLst/>
                          </a:prstGeom>
                          <a:noFill/>
                          <a:ln>
                            <a:noFill/>
                          </a:ln>
                        </wps:spPr>
                        <wps:txbx>
                          <w:txbxContent>
                            <w:p>
                              <w:pPr>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N、W2-3</w:t>
                              </w:r>
                            </w:p>
                          </w:txbxContent>
                        </wps:txbx>
                        <wps:bodyPr upright="1"/>
                      </wps:wsp>
                      <wps:wsp>
                        <wps:cNvPr id="287" name="直接连接符 287"/>
                        <wps:cNvCnPr/>
                        <wps:spPr>
                          <a:xfrm flipH="1">
                            <a:off x="6145" y="969743"/>
                            <a:ext cx="15" cy="495"/>
                          </a:xfrm>
                          <a:prstGeom prst="line">
                            <a:avLst/>
                          </a:prstGeom>
                          <a:ln w="9525" cap="flat" cmpd="sng">
                            <a:solidFill>
                              <a:srgbClr val="000000"/>
                            </a:solidFill>
                            <a:prstDash val="solid"/>
                            <a:headEnd type="none" w="med" len="med"/>
                            <a:tailEnd type="triangle" w="med" len="med"/>
                          </a:ln>
                        </wps:spPr>
                        <wps:bodyPr upright="1"/>
                      </wps:wsp>
                      <wps:wsp>
                        <wps:cNvPr id="288" name="直接连接符 288"/>
                        <wps:cNvCnPr/>
                        <wps:spPr>
                          <a:xfrm flipV="1">
                            <a:off x="3400" y="969458"/>
                            <a:ext cx="360" cy="15"/>
                          </a:xfrm>
                          <a:prstGeom prst="line">
                            <a:avLst/>
                          </a:prstGeom>
                          <a:ln w="9525" cap="flat" cmpd="sng">
                            <a:solidFill>
                              <a:srgbClr val="000000"/>
                            </a:solidFill>
                            <a:prstDash val="solid"/>
                            <a:headEnd type="none" w="med" len="med"/>
                            <a:tailEnd type="triangle" w="med" len="med"/>
                          </a:ln>
                        </wps:spPr>
                        <wps:bodyPr upright="1"/>
                      </wps:wsp>
                      <wps:wsp>
                        <wps:cNvPr id="289" name="直接连接符 289"/>
                        <wps:cNvCnPr/>
                        <wps:spPr>
                          <a:xfrm flipV="1">
                            <a:off x="5005" y="969503"/>
                            <a:ext cx="435" cy="15"/>
                          </a:xfrm>
                          <a:prstGeom prst="line">
                            <a:avLst/>
                          </a:prstGeom>
                          <a:ln w="9525" cap="flat" cmpd="sng">
                            <a:solidFill>
                              <a:srgbClr val="000000"/>
                            </a:solidFill>
                            <a:prstDash val="solid"/>
                            <a:headEnd type="none" w="med" len="med"/>
                            <a:tailEnd type="triangle" w="med" len="med"/>
                          </a:ln>
                        </wps:spPr>
                        <wps:bodyPr upright="1"/>
                      </wps:wsp>
                    </wpg:wgp>
                  </a:graphicData>
                </a:graphic>
              </wp:anchor>
            </w:drawing>
          </mc:Choice>
          <mc:Fallback>
            <w:pict>
              <v:group id="_x0000_s1026" o:spid="_x0000_s1026" o:spt="203" style="position:absolute;left:0pt;margin-left:-10.7pt;margin-top:15.35pt;height:427.1pt;width:432.95pt;z-index:251669504;mso-width-relative:page;mso-height-relative:page;" coordorigin="2229,962944" coordsize="8659,8542" o:gfxdata="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">
                <o:lock v:ext="edit" aspectratio="f"/>
                <v:shape id="_x0000_s1026" o:spid="_x0000_s1026" o:spt="202" type="#_x0000_t202" style="position:absolute;left:5257;top:962944;height:410;width:1541;" fillcolor="#FFFFFF" filled="t" stroked="t" coordsize="21600,21600" o:gfxdata="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FoCr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ascii="宋体" w:hAnsi="宋体" w:eastAsia="宋体" w:cs="宋体"/>
                            <w:szCs w:val="24"/>
                          </w:rPr>
                        </w:pPr>
                        <w:r>
                          <w:rPr>
                            <w:rFonts w:hint="eastAsia" w:ascii="宋体" w:hAnsi="宋体" w:eastAsia="宋体" w:cs="宋体"/>
                            <w:szCs w:val="24"/>
                            <w:lang w:val="en-US" w:eastAsia="zh-CN"/>
                          </w:rPr>
                          <w:t>原料</w:t>
                        </w:r>
                        <w:r>
                          <w:rPr>
                            <w:rFonts w:hint="eastAsia" w:ascii="宋体" w:hAnsi="宋体" w:eastAsia="宋体" w:cs="宋体"/>
                            <w:szCs w:val="24"/>
                          </w:rPr>
                          <w:t>、辅料</w:t>
                        </w:r>
                      </w:p>
                      <w:p>
                        <w:pPr>
                          <w:rPr>
                            <w:rFonts w:hint="eastAsia" w:ascii="黑体" w:hAnsi="Times New Roman" w:eastAsia="黑体" w:cs="Times New Roman"/>
                            <w:szCs w:val="24"/>
                          </w:rPr>
                        </w:pPr>
                      </w:p>
                    </w:txbxContent>
                  </v:textbox>
                </v:shape>
                <v:shape id="_x0000_s1026" o:spid="_x0000_s1026" o:spt="202" type="#_x0000_t202" style="position:absolute;left:7235;top:963662;height:447;width:1275;" fillcolor="#FFFFFF" filled="t" stroked="t" coordsize="21600,21600" o:gfxdata="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4kryq/&#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eastAsia" w:ascii="黑体" w:hAnsi="Times New Roman" w:eastAsia="黑体" w:cs="Times New Roman"/>
                            <w:szCs w:val="24"/>
                          </w:rPr>
                        </w:pPr>
                        <w:r>
                          <w:rPr>
                            <w:rFonts w:hint="eastAsia" w:ascii="宋体" w:hAnsi="宋体" w:eastAsia="宋体" w:cs="宋体"/>
                            <w:szCs w:val="24"/>
                            <w:lang w:val="en-US" w:eastAsia="zh-CN"/>
                          </w:rPr>
                          <w:t>注射用水</w:t>
                        </w:r>
                      </w:p>
                      <w:p>
                        <w:pPr>
                          <w:rPr>
                            <w:rFonts w:hint="eastAsia" w:ascii="黑体" w:hAnsi="Times New Roman" w:eastAsia="黑体" w:cs="Times New Roman"/>
                            <w:szCs w:val="24"/>
                          </w:rPr>
                        </w:pPr>
                      </w:p>
                    </w:txbxContent>
                  </v:textbox>
                </v:shape>
                <v:line id="_x0000_s1026" o:spid="_x0000_s1026" o:spt="20" style="position:absolute;left:6040;top:963344;height:387;width:0;" filled="f" stroked="t" coordsize="21600,21600" o:gfxdata="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P0VXe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shape id="_x0000_s1026" o:spid="_x0000_s1026" o:spt="202" type="#_x0000_t202" style="position:absolute;left:5442;top:963723;height:402;width:1201;" fillcolor="#FFFFFF" filled="t" stroked="t" coordsize="21600,21600" o:gfxdata="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WLNfG/&#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称量</w:t>
                        </w:r>
                      </w:p>
                      <w:p>
                        <w:pPr>
                          <w:rPr>
                            <w:rFonts w:hint="eastAsia" w:ascii="黑体" w:hAnsi="Times New Roman" w:eastAsia="黑体" w:cs="Times New Roman"/>
                            <w:szCs w:val="24"/>
                          </w:rPr>
                        </w:pPr>
                      </w:p>
                    </w:txbxContent>
                  </v:textbox>
                </v:shape>
                <v:shape id="_x0000_s1026" o:spid="_x0000_s1026" o:spt="202" type="#_x0000_t202" style="position:absolute;left:5462;top:964428;height:388;width:1201;" fillcolor="#FFFFFF" filled="t" stroked="t" coordsize="21600,21600" o:gfxdata="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VZq4a/&#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rPr>
                            <w:rFonts w:hint="eastAsia" w:ascii="黑体" w:hAnsi="Times New Roman" w:eastAsia="黑体" w:cs="Times New Roman"/>
                            <w:szCs w:val="24"/>
                          </w:rPr>
                        </w:pPr>
                        <w:r>
                          <w:rPr>
                            <w:rFonts w:hint="eastAsia" w:ascii="宋体" w:hAnsi="宋体" w:eastAsia="宋体" w:cs="宋体"/>
                            <w:szCs w:val="24"/>
                            <w:lang w:val="en-US" w:eastAsia="zh-CN"/>
                          </w:rPr>
                          <w:t>搅拌溶解</w:t>
                        </w:r>
                        <w:r>
                          <w:rPr>
                            <w:rFonts w:hint="eastAsia" w:ascii="黑体" w:hAnsi="Times New Roman" w:eastAsia="黑体" w:cs="Times New Roman"/>
                            <w:szCs w:val="24"/>
                          </w:rPr>
                          <w:t>人、、、</w:t>
                        </w:r>
                      </w:p>
                      <w:p>
                        <w:pPr>
                          <w:rPr>
                            <w:rFonts w:hint="eastAsia" w:ascii="黑体" w:hAnsi="Times New Roman" w:eastAsia="黑体" w:cs="Times New Roman"/>
                            <w:szCs w:val="24"/>
                          </w:rPr>
                        </w:pPr>
                      </w:p>
                    </w:txbxContent>
                  </v:textbox>
                </v:shape>
                <v:line id="_x0000_s1026" o:spid="_x0000_s1026" o:spt="20" style="position:absolute;left:7856;top:964119;height:509;width:0;" filled="f" stroked="t" coordsize="21600,21600" o:gfxdata="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ZqyR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6058;top:964139;height:259;width:0;" filled="f" stroked="t" coordsize="21600,21600" o:gfxdata="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z1N0&#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_x0000_s1026" o:spid="_x0000_s1026" o:spt="202" type="#_x0000_t202" style="position:absolute;left:8163;top:964721;height:440;width:1401;" fillcolor="#FFFFFF" filled="t" stroked="t" coordsize="21600,21600" o:gfxdata="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qwM/K/&#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i w:val="0"/>
                            <w:color w:val="000000"/>
                            <w:kern w:val="0"/>
                            <w:sz w:val="21"/>
                            <w:szCs w:val="21"/>
                            <w:u w:val="none"/>
                            <w:lang w:val="en-US" w:eastAsia="zh-CN" w:bidi="ar"/>
                          </w:rPr>
                          <w:t>西林瓶</w:t>
                        </w:r>
                      </w:p>
                    </w:txbxContent>
                  </v:textbox>
                </v:shape>
                <v:line id="_x0000_s1026" o:spid="_x0000_s1026" o:spt="20" style="position:absolute;left:6814;top:964857;flip:y;height:300;width:438;" filled="f" stroked="t" coordsize="21600,21600" o:gfxdata="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7uxLa&#10;wAAAANwAAAAPAAAAAAAAAAEAIAAAACIAAABkcnMvZG93bnJldi54bWxQSwECFAAUAAAACACHTuJA&#10;My8FnjsAAAA5AAAAEAAAAAAAAAABACAAAAAPAQAAZHJzL3NoYXBleG1sLnhtbFBLBQYAAAAABgAG&#10;AFsBAAC5AwAAAAA=&#10;">
                  <v:fill on="f" focussize="0,0"/>
                  <v:stroke color="#000000" joinstyle="round" dashstyle="dashDot" endarrow="open"/>
                  <v:imagedata o:title=""/>
                  <o:lock v:ext="edit" aspectratio="f"/>
                </v:line>
                <v:line id="_x0000_s1026" o:spid="_x0000_s1026" o:spt="20" style="position:absolute;left:6052;top:964847;height:259;width:0;" filled="f" stroked="t" coordsize="21600,21600" o:gfxdata="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8Hc0D&#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_x0000_s1026" o:spid="_x0000_s1026" o:spt="20" style="position:absolute;left:6679;top:964625;flip:y;height:0;width:1217;" filled="f" stroked="t" coordsize="21600,21600" o:gfxdata="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wo5SSugAAANwA&#10;AAAPAAAAAAAAAAEAIAAAACIAAABkcnMvZG93bnJldi54bWxQSwECFAAUAAAACACHTuJAMy8FnjsA&#10;AAA5AAAAEAAAAAAAAAABACAAAAAJAQAAZHJzL3NoYXBleG1sLnhtbFBLBQYAAAAABgAGAFsBAACz&#10;AwAAAAA=&#10;">
                  <v:fill on="f" focussize="0,0"/>
                  <v:stroke color="#000000" joinstyle="round" startarrow="block"/>
                  <v:imagedata o:title=""/>
                  <o:lock v:ext="edit" aspectratio="f"/>
                </v:line>
                <v:shape id="_x0000_s1026" o:spid="_x0000_s1026" o:spt="202" type="#_x0000_t202" style="position:absolute;left:7177;top:964515;height:410;width:1339;" filled="f" stroked="t" coordsize="21600,21600" o:gfxdata="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3NReb4A&#10;AADcAAAADwAAAAAAAAABACAAAAAiAAAAZHJzL2Rvd25yZXYueG1sUEsBAhQAFAAAAAgAh07iQDMv&#10;BZ47AAAAOQAAABAAAAAAAAAAAQAgAAAADQEAAGRycy9zaGFwZXhtbC54bWxQSwUGAAAAAAYABgBb&#10;AQAAtwMAAAAA&#10;">
                  <v:fill on="f" focussize="0,0"/>
                  <v:stroke color="#FFFFFF"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N、G2-1</w:t>
                        </w:r>
                      </w:p>
                    </w:txbxContent>
                  </v:textbox>
                </v:shape>
                <v:line id="_x0000_s1026" o:spid="_x0000_s1026" o:spt="20" style="position:absolute;left:8825;top:965195;height:570;width:15;" filled="f" stroked="t" coordsize="21600,21600" o:gfxdata="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vyJgq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shape id="_x0000_s1026" o:spid="_x0000_s1026" o:spt="202" type="#_x0000_t202" style="position:absolute;left:5267;top:965105;height:432;width:1593;" fillcolor="#FFFFFF" filled="t" stroked="t" coordsize="21600,21600" o:gfxdata="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jUaM&#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药液配制</w:t>
                        </w:r>
                      </w:p>
                    </w:txbxContent>
                  </v:textbox>
                </v:shape>
                <v:line id="_x0000_s1026" o:spid="_x0000_s1026" o:spt="20" style="position:absolute;left:9496;top:965482;flip:y;height:300;width:438;" filled="f" stroked="t" coordsize="21600,21600" o:gfxdata="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yGZ6S/&#10;AAAA3AAAAA8AAAAAAAAAAQAgAAAAIgAAAGRycy9kb3ducmV2LnhtbFBLAQIUABQAAAAIAIdO4kAz&#10;LwWeOwAAADkAAAAQAAAAAAAAAAEAIAAAAA4BAABkcnMvc2hhcGV4bWwueG1sUEsFBgAAAAAGAAYA&#10;WwEAALgDAAAAAA==&#10;">
                  <v:fill on="f" focussize="0,0"/>
                  <v:stroke color="#000000" joinstyle="round" dashstyle="dashDot" endarrow="open"/>
                  <v:imagedata o:title=""/>
                  <o:lock v:ext="edit" aspectratio="f"/>
                </v:line>
                <v:shape id="_x0000_s1026" o:spid="_x0000_s1026" o:spt="202" type="#_x0000_t202" style="position:absolute;left:3312;top:965574;height:432;width:1810;" fillcolor="#FFFFFF" filled="t" stroked="t" coordsize="21600,21600" o:gfxdata="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hN9Y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rPr>
                            <w:rFonts w:hint="eastAsia" w:ascii="宋体" w:hAnsi="宋体" w:eastAsia="宋体" w:cs="宋体"/>
                            <w:szCs w:val="24"/>
                            <w:lang w:val="en-US" w:eastAsia="zh-CN"/>
                          </w:rPr>
                        </w:pPr>
                        <w:r>
                          <w:rPr>
                            <w:rFonts w:hint="eastAsia" w:ascii="宋体" w:hAnsi="宋体" w:eastAsia="宋体" w:cs="宋体"/>
                            <w:szCs w:val="24"/>
                            <w:lang w:val="en-US" w:eastAsia="zh-CN"/>
                          </w:rPr>
                          <w:t>中间产品检测</w:t>
                        </w:r>
                      </w:p>
                    </w:txbxContent>
                  </v:textbox>
                </v:shape>
                <v:line id="_x0000_s1026" o:spid="_x0000_s1026" o:spt="20" style="position:absolute;left:6037;top:965503;height:499;width:4;" filled="f" stroked="t" coordsize="21600,21600" o:gfxdata="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TJIAm/&#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6627;top:965402;height:410;width:1536;" fillcolor="#FFFFFF" filled="t" stroked="t" coordsize="21600,21600" o:gfxdata="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M3A6vQAA&#10;ANwAAAAPAAAAAAAAAAEAIAAAACIAAABkcnMvZG93bnJldi54bWxQSwECFAAUAAAACACHTuJAMy8F&#10;njsAAAA5AAAAEAAAAAAAAAABACAAAAAMAQAAZHJzL3NoYXBleG1sLnhtbFBLBQYAAAAABgAGAFsB&#10;AAC2AwAAAAA=&#10;">
                  <v:fill on="t" focussize="0,0"/>
                  <v:stroke color="#FFFFFF"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N、S2-1</w:t>
                        </w:r>
                      </w:p>
                    </w:txbxContent>
                  </v:textbox>
                </v:shape>
                <v:shape id="_x0000_s1026" o:spid="_x0000_s1026" o:spt="202" type="#_x0000_t202" style="position:absolute;left:8115;top:965751;height:440;width:1401;" fillcolor="#FFFFFF" filled="t" stroked="t" coordsize="21600,21600" o:gfxdata="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Jk3vi/&#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i w:val="0"/>
                            <w:color w:val="000000"/>
                            <w:kern w:val="0"/>
                            <w:sz w:val="21"/>
                            <w:szCs w:val="21"/>
                            <w:u w:val="none"/>
                            <w:lang w:val="en-US" w:eastAsia="zh-CN" w:bidi="ar"/>
                          </w:rPr>
                          <w:t>清洗</w:t>
                        </w:r>
                      </w:p>
                    </w:txbxContent>
                  </v:textbox>
                </v:shape>
                <v:line id="_x0000_s1026" o:spid="_x0000_s1026" o:spt="20" style="position:absolute;left:6576;top:965742;flip:y;height:239;width:213;" filled="f" stroked="t" coordsize="21600,21600" o:gfxdata="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8cQ8&#10;wAAAANwAAAAPAAAAAAAAAAEAIAAAACIAAABkcnMvZG93bnJldi54bWxQSwECFAAUAAAACACHTuJA&#10;My8FnjsAAAA5AAAAEAAAAAAAAAABACAAAAAPAQAAZHJzL3NoYXBleG1sLnhtbFBLBQYAAAAABgAG&#10;AFsBAAC5AwAAAAA=&#10;">
                  <v:fill on="f" focussize="0,0"/>
                  <v:stroke color="#000000" joinstyle="round" dashstyle="dashDot" endarrow="open"/>
                  <v:imagedata o:title=""/>
                  <o:lock v:ext="edit" aspectratio="f"/>
                </v:line>
                <v:line id="_x0000_s1026" o:spid="_x0000_s1026" o:spt="20" style="position:absolute;left:5154;top:965767;height:10;width:898;" filled="f" stroked="t" coordsize="21600,21600" o:gfxdata="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WEKgy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shape id="_x0000_s1026" o:spid="_x0000_s1026" o:spt="202" type="#_x0000_t202" style="position:absolute;left:5359;top:965996;height:417;width:1381;" fillcolor="#FFFFFF" filled="t" stroked="t" coordsize="21600,21600" o:gfxdata="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tKi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终端过滤</w:t>
                        </w:r>
                      </w:p>
                    </w:txbxContent>
                  </v:textbox>
                </v:shape>
                <v:shape id="_x0000_s1026" o:spid="_x0000_s1026" o:spt="202" type="#_x0000_t202" style="position:absolute;left:6909;top:966206;height:410;width:606;" fillcolor="#FFFFFF" filled="t" stroked="t" coordsize="21600,21600" o:gfxdata="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J1Ff7sAAADc&#10;AAAADwAAAAAAAAABACAAAAAiAAAAZHJzL2Rvd25yZXYueG1sUEsBAhQAFAAAAAgAh07iQDMvBZ47&#10;AAAAOQAAABAAAAAAAAAAAQAgAAAACgEAAGRycy9zaGFwZXhtbC54bWxQSwUGAAAAAAYABgBbAQAA&#10;tAMAAAAA&#10;">
                  <v:fill on="t" focussize="0,0"/>
                  <v:stroke color="#FFFFFF"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w:t>
                        </w:r>
                      </w:p>
                    </w:txbxContent>
                  </v:textbox>
                </v:shape>
                <v:line id="_x0000_s1026" o:spid="_x0000_s1026" o:spt="20" style="position:absolute;left:8807;top:966158;height:659;width:15;" filled="f" stroked="t" coordsize="21600,21600" o:gfxdata="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FnFUy/&#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6663;top:966552;flip:y;height:239;width:213;" filled="f" stroked="t" coordsize="21600,21600" o:gfxdata="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lf8Xm/&#10;AAAA3AAAAA8AAAAAAAAAAQAgAAAAIgAAAGRycy9kb3ducmV2LnhtbFBLAQIUABQAAAAIAIdO4kAz&#10;LwWeOwAAADkAAAAQAAAAAAAAAAEAIAAAAA4BAABkcnMvc2hhcGV4bWwueG1sUEsFBgAAAAAGAAYA&#10;WwEAALgDAAAAAA==&#10;">
                  <v:fill on="f" focussize="0,0"/>
                  <v:stroke color="#000000" joinstyle="round" dashstyle="dashDot" endarrow="open"/>
                  <v:imagedata o:title=""/>
                  <o:lock v:ext="edit" aspectratio="f"/>
                </v:line>
                <v:line id="_x0000_s1026" o:spid="_x0000_s1026" o:spt="20" style="position:absolute;left:6021;top:966419;flip:x;height:384;width:13;" filled="f" stroked="t" coordsize="21600,21600" o:gfxdata="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RyIQ&#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_x0000_s1026" o:spid="_x0000_s1026" o:spt="202" type="#_x0000_t202" style="position:absolute;left:8172;top:966786;height:440;width:1401;" fillcolor="#FFFFFF" filled="t" stroked="t" coordsize="21600,21600" o:gfxdata="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CNzy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灭菌</w:t>
                        </w:r>
                      </w:p>
                    </w:txbxContent>
                  </v:textbox>
                </v:shape>
                <v:shape id="_x0000_s1026" o:spid="_x0000_s1026" o:spt="202" type="#_x0000_t202" style="position:absolute;left:5191;top:966804;height:414;width:1700;" fillcolor="#FFFFFF" filled="t" stroked="t" coordsize="21600,21600" o:gfxdata="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2/WU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ascii="宋体" w:hAnsi="宋体" w:eastAsia="宋体" w:cs="宋体"/>
                            <w:szCs w:val="24"/>
                            <w:lang w:val="en-US" w:eastAsia="zh-CN"/>
                          </w:rPr>
                        </w:pPr>
                        <w:r>
                          <w:rPr>
                            <w:rFonts w:hint="eastAsia" w:ascii="宋体" w:hAnsi="宋体" w:eastAsia="宋体" w:cs="宋体"/>
                            <w:szCs w:val="24"/>
                            <w:lang w:val="en-US" w:eastAsia="zh-CN"/>
                          </w:rPr>
                          <w:t>灌装半加塞</w:t>
                        </w:r>
                      </w:p>
                      <w:p>
                        <w:pPr>
                          <w:rPr>
                            <w:rFonts w:hint="default" w:ascii="Times New Roman" w:hAnsi="Times New Roman" w:eastAsia="宋体" w:cs="Times New Roman"/>
                            <w:szCs w:val="24"/>
                            <w:lang w:val="en-US"/>
                          </w:rPr>
                        </w:pPr>
                      </w:p>
                    </w:txbxContent>
                  </v:textbox>
                </v:shape>
                <v:line id="_x0000_s1026" o:spid="_x0000_s1026" o:spt="20" style="position:absolute;left:6888;top:967015;flip:x y;height:26;width:1311;" filled="f" stroked="t" coordsize="21600,21600" o:gfxdata="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4PbwV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6029;top:967231;height:419;width:14;" filled="f" stroked="t" coordsize="21600,21600" o:gfxdata="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hwiij&#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_x0000_s1026" o:spid="_x0000_s1026" o:spt="1" style="position:absolute;left:3024;top:966763;height:470;width:1625;" fillcolor="#FFFFFF" filled="t" stroked="t" coordsize="21600,21600" o:gfxdata="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hE6eLsAAADc&#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氮气保护</w:t>
                        </w:r>
                      </w:p>
                      <w:p>
                        <w:pPr>
                          <w:rPr>
                            <w:rFonts w:hint="default" w:ascii="Times New Roman" w:hAnsi="Times New Roman" w:eastAsia="宋体" w:cs="Times New Roman"/>
                            <w:szCs w:val="24"/>
                            <w:lang w:val="en-US" w:eastAsia="zh-CN"/>
                          </w:rPr>
                        </w:pPr>
                      </w:p>
                    </w:txbxContent>
                  </v:textbox>
                </v:rect>
                <v:line id="_x0000_s1026" o:spid="_x0000_s1026" o:spt="20" style="position:absolute;left:4670;top:967026;height:11;width:586;" filled="f" stroked="t" coordsize="21600,21600" o:gfxdata="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ERlK&#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_x0000_s1026" o:spid="_x0000_s1026" o:spt="202" type="#_x0000_t202" style="position:absolute;left:5375;top:967649;height:438;width:1487;" fillcolor="#FFFFFF" filled="t" stroked="t" coordsize="21600,21600" o:gfxdata="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l0v3e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灭菌</w:t>
                        </w:r>
                      </w:p>
                    </w:txbxContent>
                  </v:textbox>
                </v:shape>
                <v:line id="_x0000_s1026" o:spid="_x0000_s1026" o:spt="20" style="position:absolute;left:6070;top:968066;height:415;width:1;" filled="f" stroked="t" coordsize="21600,21600" o:gfxdata="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8L3/G/&#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9429;top:965174;height:410;width:1132;" filled="f" stroked="f" coordsize="21600,21600" o:gfxdata="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Nqp12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N、W2-1</w:t>
                        </w:r>
                      </w:p>
                    </w:txbxContent>
                  </v:textbox>
                </v:shape>
                <v:shape id="_x0000_s1026" o:spid="_x0000_s1026" o:spt="202" type="#_x0000_t202" style="position:absolute;left:8064;top:969338;height:956;width:2558;" fillcolor="#FFFFFF" filled="t" stroked="t" coordsize="21600,21600" o:gfxdata="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aYhA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rPr>
                            <w:rFonts w:hint="eastAsia" w:ascii="Times New Roman" w:hAnsi="Times New Roman" w:eastAsia="宋体" w:cs="Times New Roman"/>
                            <w:szCs w:val="24"/>
                            <w:lang w:val="en-US" w:eastAsia="zh-CN"/>
                          </w:rPr>
                        </w:pPr>
                        <w:r>
                          <w:rPr>
                            <w:rFonts w:hint="default" w:ascii="Times New Roman" w:hAnsi="Times New Roman" w:eastAsia="宋体" w:cs="Times New Roman"/>
                            <w:color w:val="auto"/>
                            <w:sz w:val="21"/>
                            <w:szCs w:val="21"/>
                          </w:rPr>
                          <w:t>注射用冷冻干燥无菌粉末用卤化丁基橡胶塞（氯化）</w:t>
                        </w:r>
                      </w:p>
                    </w:txbxContent>
                  </v:textbox>
                </v:shape>
                <v:line id="_x0000_s1026" o:spid="_x0000_s1026" o:spt="20" style="position:absolute;left:8950;top:968887;flip:y;height:450;width:1;" filled="f" stroked="t" coordsize="21600,21600" o:gfxdata="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bCcNm/&#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8547;top:968465;height:440;width:1401;" fillcolor="#FFFFFF" filled="t" stroked="t" coordsize="21600,21600" o:gfxdata="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QMc7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i w:val="0"/>
                            <w:color w:val="000000"/>
                            <w:kern w:val="0"/>
                            <w:sz w:val="21"/>
                            <w:szCs w:val="21"/>
                            <w:u w:val="none"/>
                            <w:lang w:val="en-US" w:eastAsia="zh-CN" w:bidi="ar"/>
                          </w:rPr>
                          <w:t>清洗</w:t>
                        </w:r>
                      </w:p>
                    </w:txbxContent>
                  </v:textbox>
                </v:shape>
                <v:line id="_x0000_s1026" o:spid="_x0000_s1026" o:spt="20" style="position:absolute;left:9478;top:968179;flip:y;height:300;width:438;" filled="f" stroked="t" coordsize="21600,21600" o:gfxdata="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gIPce/&#10;AAAA3AAAAA8AAAAAAAAAAQAgAAAAIgAAAGRycy9kb3ducmV2LnhtbFBLAQIUABQAAAAIAIdO4kAz&#10;LwWeOwAAADkAAAAQAAAAAAAAAAEAIAAAAA4BAABkcnMvc2hhcGV4bWwueG1sUEsFBgAAAAAGAAYA&#10;WwEAALgDAAAAAA==&#10;">
                  <v:fill on="f" focussize="0,0"/>
                  <v:stroke color="#000000" joinstyle="round" dashstyle="dashDot" endarrow="open"/>
                  <v:imagedata o:title=""/>
                  <o:lock v:ext="edit" aspectratio="f"/>
                </v:line>
                <v:shape id="_x0000_s1026" o:spid="_x0000_s1026" o:spt="202" type="#_x0000_t202" style="position:absolute;left:9756;top:967764;height:410;width:1132;" filled="f" stroked="f" coordsize="21600,21600" o:gfxdata="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MdBMW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N、W2-2</w:t>
                        </w:r>
                      </w:p>
                    </w:txbxContent>
                  </v:textbox>
                </v:shape>
                <v:line id="_x0000_s1026" o:spid="_x0000_s1026" o:spt="20" style="position:absolute;left:8920;top:967912;flip:x y;height:555;width:15;" filled="f" stroked="t" coordsize="21600,21600" o:gfxdata="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IJHQb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shape id="_x0000_s1026" o:spid="_x0000_s1026" o:spt="202" type="#_x0000_t202" style="position:absolute;left:8439;top:967482;height:440;width:1401;" fillcolor="#FFFFFF" filled="t" stroked="t" coordsize="21600,21600" o:gfxdata="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hOFuq/&#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灭菌</w:t>
                        </w:r>
                      </w:p>
                    </w:txbxContent>
                  </v:textbox>
                </v:shape>
                <v:line id="_x0000_s1026" o:spid="_x0000_s1026" o:spt="20" style="position:absolute;left:6910;top:967162;flip:x y;height:495;width:1515;" filled="f" stroked="t" coordsize="21600,21600" o:gfxdata="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y3dmr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rect id="_x0000_s1026" o:spid="_x0000_s1026" o:spt="1" style="position:absolute;left:3276;top:967519;height:470;width:1625;" fillcolor="#FFFFFF" filled="t" stroked="t" coordsize="21600,21600" o:gfxdata="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J7Ph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default" w:ascii="Times New Roman" w:hAnsi="Times New Roman" w:eastAsia="宋体" w:cs="Times New Roman"/>
                            <w:szCs w:val="24"/>
                            <w:lang w:val="en-US" w:eastAsia="zh-CN"/>
                          </w:rPr>
                        </w:pPr>
                        <w:r>
                          <w:rPr>
                            <w:rFonts w:hint="eastAsia" w:ascii="宋体" w:hAnsi="宋体" w:eastAsia="宋体" w:cs="宋体"/>
                            <w:szCs w:val="24"/>
                            <w:lang w:val="en-US" w:eastAsia="zh-CN"/>
                          </w:rPr>
                          <w:t>装量检查</w:t>
                        </w:r>
                      </w:p>
                    </w:txbxContent>
                  </v:textbox>
                </v:rect>
                <v:line id="_x0000_s1026" o:spid="_x0000_s1026" o:spt="20" style="position:absolute;left:4907;top:967421;flip:y;height:288;width:1125;" filled="f" stroked="t" coordsize="21600,21600" o:gfxdata="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Dvtvr&#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_x0000_s1026" o:spid="_x0000_s1026" o:spt="202" type="#_x0000_t202" style="position:absolute;left:3680;top:969782;height:465;width:1140;" fillcolor="#FFFFFF" filled="t" stroked="t" coordsize="21600,21600" o:gfxdata="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odovQAA&#10;ANwAAAAPAAAAAAAAAAEAIAAAACIAAABkcnMvZG93bnJldi54bWxQSwECFAAUAAAACACHTuJAMy8F&#10;njsAAAA5AAAAEAAAAAAAAAABACAAAAAMAQAAZHJzL3NoYXBleG1sLnhtbFBLBQYAAAAABgAGAFsB&#10;AAC2AwAAAAA=&#10;">
                  <v:fill on="t" focussize="0,0"/>
                  <v:stroke color="#FFFFFF" joinstyle="miter"/>
                  <v:imagedata o:title=""/>
                  <o:lock v:ext="edit" aspectratio="f"/>
                  <v:textbox>
                    <w:txbxContent>
                      <w:p>
                        <w:pPr>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N、S2-2</w:t>
                        </w:r>
                      </w:p>
                    </w:txbxContent>
                  </v:textbox>
                </v:shape>
                <v:line id="_x0000_s1026" o:spid="_x0000_s1026" o:spt="20" style="position:absolute;left:4850;top:970112;flip:x y;height:360;width:645;" filled="f" stroked="t" coordsize="21600,21600" o:gfxdata="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B2taL4A&#10;AADcAAAADwAAAAAAAAABACAAAAAiAAAAZHJzL2Rvd25yZXYueG1sUEsBAhQAFAAAAAgAh07iQDMv&#10;BZ47AAAAOQAAABAAAAAAAAAAAQAgAAAADQEAAGRycy9zaGFwZXhtbC54bWxQSwUGAAAAAAYABgBb&#10;AQAAtwMAAAAA&#10;">
                  <v:fill on="f" focussize="0,0"/>
                  <v:stroke color="#000000" joinstyle="round" dashstyle="dashDot" endarrow="open"/>
                  <v:imagedata o:title=""/>
                  <o:lock v:ext="edit" aspectratio="f"/>
                </v:line>
                <v:shape id="_x0000_s1026" o:spid="_x0000_s1026" o:spt="202" type="#_x0000_t202" style="position:absolute;left:5412;top:970272;height:444;width:1495;" fillcolor="#FFFFFF" filled="t" stroked="t" coordsize="21600,21600" o:gfxdata="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zaijK/&#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eastAsia" w:ascii="黑体" w:hAnsi="Times New Roman" w:eastAsia="黑体" w:cs="Times New Roman"/>
                            <w:szCs w:val="24"/>
                          </w:rPr>
                        </w:pPr>
                        <w:r>
                          <w:rPr>
                            <w:rFonts w:hint="eastAsia" w:ascii="宋体" w:hAnsi="宋体" w:eastAsia="宋体" w:cs="宋体"/>
                            <w:szCs w:val="24"/>
                            <w:lang w:val="en-US" w:eastAsia="zh-CN"/>
                          </w:rPr>
                          <w:t>检查</w:t>
                        </w:r>
                      </w:p>
                    </w:txbxContent>
                  </v:textbox>
                </v:shape>
                <v:line id="_x0000_s1026" o:spid="_x0000_s1026" o:spt="20" style="position:absolute;left:6139;top:970738;height:355;width:1;" filled="f" stroked="t" coordsize="21600,21600" o:gfxdata="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U70Vi/&#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5404;top:971102;height:385;width:1495;" fillcolor="#FFFFFF" filled="t" stroked="t" coordsize="21600,21600" o:gfxdata="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0Sx3r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包装入库</w:t>
                        </w:r>
                      </w:p>
                    </w:txbxContent>
                  </v:textbox>
                </v:shape>
                <v:shape id="_x0000_s1026" o:spid="_x0000_s1026" o:spt="202" type="#_x0000_t202" style="position:absolute;left:5446;top:968442;height:417;width:1381;" fillcolor="#FFFFFF" filled="t" stroked="t" coordsize="21600,21600" o:gfxdata="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2yWs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default" w:ascii="宋体" w:hAnsi="宋体" w:eastAsia="宋体" w:cs="宋体"/>
                            <w:szCs w:val="24"/>
                            <w:lang w:val="en-US" w:eastAsia="zh-CN"/>
                          </w:rPr>
                        </w:pPr>
                        <w:r>
                          <w:rPr>
                            <w:rFonts w:hint="eastAsia" w:ascii="宋体" w:hAnsi="宋体" w:eastAsia="宋体" w:cs="宋体"/>
                            <w:szCs w:val="24"/>
                            <w:lang w:val="en-US" w:eastAsia="zh-CN"/>
                          </w:rPr>
                          <w:t>冷冻干燥</w:t>
                        </w:r>
                      </w:p>
                    </w:txbxContent>
                  </v:textbox>
                </v:shape>
                <v:line id="_x0000_s1026" o:spid="_x0000_s1026" o:spt="20" style="position:absolute;left:6101;top:968859;height:435;width:15;" filled="f" stroked="t" coordsize="21600,21600" o:gfxdata="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0pEUq&#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_x0000_s1026" o:spid="_x0000_s1026" o:spt="1" style="position:absolute;left:5403;top:969299;height:470;width:1460;" fillcolor="#FFFFFF" filled="t" stroked="t" coordsize="21600,21600" o:gfxdata="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YHGjm5AAAA3AAA&#10;AA8AAAAAAAAAAQAgAAAAIgAAAGRycy9kb3ducmV2LnhtbFBLAQIUABQAAAAIAIdO4kAzLwWeOwAA&#10;ADkAAAAQAAAAAAAAAAEAIAAAAAgBAABkcnMvc2hhcGV4bWwueG1sUEsFBgAAAAAGAAYAWwEAALID&#10;AAAAAA==&#10;">
                  <v:fill on="t" focussize="0,0"/>
                  <v:stroke color="#000000" joinstyle="miter"/>
                  <v:imagedata o:title=""/>
                  <o:lock v:ext="edit" aspectratio="f"/>
                  <v:textbox>
                    <w:txbxContent>
                      <w:p>
                        <w:pPr>
                          <w:jc w:val="center"/>
                          <w:rPr>
                            <w:rFonts w:hint="eastAsia" w:ascii="宋体" w:hAnsi="宋体" w:eastAsia="宋体" w:cs="宋体"/>
                            <w:szCs w:val="24"/>
                            <w:lang w:val="en-US" w:eastAsia="zh-CN"/>
                          </w:rPr>
                        </w:pPr>
                        <w:r>
                          <w:rPr>
                            <w:rFonts w:hint="eastAsia" w:ascii="宋体" w:hAnsi="宋体" w:eastAsia="宋体" w:cs="宋体"/>
                            <w:szCs w:val="24"/>
                            <w:lang w:val="en-US" w:eastAsia="zh-CN"/>
                          </w:rPr>
                          <w:t>轧盖</w:t>
                        </w:r>
                      </w:p>
                      <w:p>
                        <w:pPr>
                          <w:rPr>
                            <w:rFonts w:hint="default" w:ascii="Times New Roman" w:hAnsi="Times New Roman" w:eastAsia="宋体" w:cs="Times New Roman"/>
                            <w:szCs w:val="24"/>
                            <w:lang w:val="en-US" w:eastAsia="zh-CN"/>
                          </w:rPr>
                        </w:pPr>
                      </w:p>
                    </w:txbxContent>
                  </v:textbox>
                </v:rect>
                <v:shape id="_x0000_s1026" o:spid="_x0000_s1026" o:spt="202" type="#_x0000_t202" style="position:absolute;left:2229;top:968243;height:432;width:1675;" fillcolor="#FFFFFF" filled="t" stroked="t" coordsize="21600,21600" o:gfxdata="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Y0/Ba/&#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rPr>
                            <w:rFonts w:hint="eastAsia" w:ascii="Times New Roman" w:hAnsi="Times New Roman" w:eastAsia="宋体" w:cs="Times New Roman"/>
                            <w:szCs w:val="24"/>
                            <w:lang w:val="en-US" w:eastAsia="zh-CN"/>
                          </w:rPr>
                        </w:pPr>
                        <w:r>
                          <w:rPr>
                            <w:rFonts w:hint="eastAsia" w:ascii="宋体" w:hAnsi="宋体" w:eastAsia="宋体" w:cs="宋体"/>
                            <w:szCs w:val="24"/>
                            <w:lang w:val="en-US" w:eastAsia="zh-CN"/>
                          </w:rPr>
                          <w:t>西林瓶用铝</w:t>
                        </w:r>
                        <w:r>
                          <w:rPr>
                            <w:rFonts w:hint="eastAsia" w:ascii="黑体" w:hAnsi="Times New Roman" w:eastAsia="黑体" w:cs="Times New Roman"/>
                            <w:szCs w:val="24"/>
                            <w:lang w:val="en-US" w:eastAsia="zh-CN"/>
                          </w:rPr>
                          <w:t>盖</w:t>
                        </w:r>
                      </w:p>
                    </w:txbxContent>
                  </v:textbox>
                </v:shape>
                <v:shape id="_x0000_s1026" o:spid="_x0000_s1026" o:spt="202" type="#_x0000_t202" style="position:absolute;left:2230;top:969282;height:434;width:1125;" fillcolor="#FFFFFF" filled="t" stroked="t" coordsize="21600,21600" o:gfxdata="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bmYmG/&#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清洗</w:t>
                        </w:r>
                      </w:p>
                    </w:txbxContent>
                  </v:textbox>
                </v:shape>
                <v:shape id="_x0000_s1026" o:spid="_x0000_s1026" o:spt="202" type="#_x0000_t202" style="position:absolute;left:3820;top:969282;height:434;width:1155;" fillcolor="#FFFFFF" filled="t" stroked="t" coordsize="21600,21600" o:gfxdata="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mqx/q/&#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pPr>
                          <w:jc w:val="center"/>
                          <w:rPr>
                            <w:rFonts w:hint="eastAsia"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灭菌</w:t>
                        </w:r>
                      </w:p>
                    </w:txbxContent>
                  </v:textbox>
                </v:shape>
                <v:line id="_x0000_s1026" o:spid="_x0000_s1026" o:spt="20" style="position:absolute;left:2733;top:968718;flip:x;height:534;width:13;" filled="f" stroked="t" coordsize="21600,21600" o:gfxdata="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bOliO/&#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2965;top:968997;flip:y;height:300;width:645;" filled="f" stroked="t" coordsize="21600,21600" o:gfxdata="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jWRUq/&#10;AAAA3AAAAA8AAAAAAAAAAQAgAAAAIgAAAGRycy9kb3ducmV2LnhtbFBLAQIUABQAAAAIAIdO4kAz&#10;LwWeOwAAADkAAAAQAAAAAAAAAAEAIAAAAA4BAABkcnMvc2hhcGV4bWwueG1sUEsFBgAAAAAGAAYA&#10;WwEAALgDAAAAAA==&#10;">
                  <v:fill on="f" focussize="0,0"/>
                  <v:stroke color="#000000" joinstyle="round" dashstyle="dashDot" endarrow="open"/>
                  <v:imagedata o:title=""/>
                  <o:lock v:ext="edit" aspectratio="f"/>
                </v:line>
                <v:shape id="_x0000_s1026" o:spid="_x0000_s1026" o:spt="202" type="#_x0000_t202" style="position:absolute;left:3520;top:968713;height:434;width:1095;" filled="f" stroked="f" coordsize="21600,21600" o:gfxdata="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F1Hp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N、W2-3</w:t>
                        </w:r>
                      </w:p>
                    </w:txbxContent>
                  </v:textbox>
                </v:shape>
                <v:line id="_x0000_s1026" o:spid="_x0000_s1026" o:spt="20" style="position:absolute;left:6145;top:969743;flip:x;height:495;width:15;" filled="f" stroked="t" coordsize="21600,21600" o:gfxdata="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HAhU&#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_x0000_s1026" o:spid="_x0000_s1026" o:spt="20" style="position:absolute;left:3400;top:969458;flip:y;height:15;width:360;" filled="f" stroked="t" coordsize="21600,21600" o:gfxdata="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eDnCa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_x0000_s1026" o:spid="_x0000_s1026" o:spt="20" style="position:absolute;left:5005;top:969503;flip:y;height:15;width:435;" filled="f" stroked="t" coordsize="21600,21600" o:gfxdata="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POb2/&#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group>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color w:val="000000"/>
          <w:szCs w:val="21"/>
        </w:rPr>
      </w:pPr>
    </w:p>
    <w:p>
      <w:pPr>
        <w:keepNext w:val="0"/>
        <w:keepLines w:val="0"/>
        <w:pageBreakBefore w:val="0"/>
        <w:widowControl w:val="0"/>
        <w:numPr>
          <w:ilvl w:val="0"/>
          <w:numId w:val="0"/>
        </w:numPr>
        <w:tabs>
          <w:tab w:val="left" w:pos="2520"/>
        </w:tabs>
        <w:kinsoku/>
        <w:wordWrap/>
        <w:overflowPunct/>
        <w:topLinePunct w:val="0"/>
        <w:autoSpaceDE/>
        <w:autoSpaceDN/>
        <w:bidi w:val="0"/>
        <w:adjustRightInd/>
        <w:snapToGrid/>
        <w:spacing w:line="360" w:lineRule="auto"/>
        <w:ind w:firstLine="0" w:firstLineChars="0"/>
        <w:jc w:val="center"/>
        <w:textAlignment w:val="auto"/>
        <w:rPr>
          <w:rFonts w:hint="eastAsia" w:ascii="宋体" w:hAnsi="宋体" w:eastAsia="宋体" w:cs="宋体"/>
          <w:sz w:val="24"/>
          <w:szCs w:val="24"/>
          <w:lang w:val="en-US" w:eastAsia="zh-CN"/>
        </w:rPr>
      </w:pPr>
      <w:r>
        <w:rPr>
          <w:rFonts w:hint="default" w:ascii="Times New Roman" w:hAnsi="Times New Roman" w:eastAsia="宋体" w:cs="Times New Roman"/>
          <w:b/>
          <w:color w:val="000000"/>
          <w:szCs w:val="21"/>
        </w:rPr>
        <w:t>图</w:t>
      </w:r>
      <w:r>
        <w:rPr>
          <w:rFonts w:hint="eastAsia" w:ascii="Times New Roman" w:hAnsi="Times New Roman" w:eastAsia="宋体" w:cs="Times New Roman"/>
          <w:b/>
          <w:color w:val="000000"/>
          <w:szCs w:val="21"/>
          <w:lang w:val="en-US" w:eastAsia="zh-CN"/>
        </w:rPr>
        <w:t>3-7</w:t>
      </w:r>
      <w:r>
        <w:rPr>
          <w:rFonts w:hint="default" w:ascii="Times New Roman" w:hAnsi="Times New Roman" w:eastAsia="宋体" w:cs="Times New Roman"/>
          <w:b/>
          <w:color w:val="000000"/>
          <w:szCs w:val="21"/>
        </w:rPr>
        <w:t xml:space="preserve">  </w:t>
      </w:r>
      <w:r>
        <w:rPr>
          <w:rFonts w:ascii="Times New Roman" w:hAnsi="Times New Roman" w:eastAsia="宋体" w:cs="Times New Roman"/>
          <w:b/>
          <w:color w:val="000000"/>
          <w:szCs w:val="21"/>
        </w:rPr>
        <w:t>项目</w:t>
      </w:r>
      <w:r>
        <w:rPr>
          <w:rFonts w:hint="default" w:ascii="Times New Roman" w:hAnsi="Times New Roman" w:eastAsia="宋体" w:cs="Times New Roman"/>
          <w:b/>
          <w:color w:val="000000"/>
          <w:szCs w:val="21"/>
          <w:lang w:val="en-US" w:eastAsia="zh-CN"/>
        </w:rPr>
        <w:t>小容量（西林瓶）冻干注射剂产品</w:t>
      </w:r>
      <w:r>
        <w:rPr>
          <w:rFonts w:ascii="Times New Roman" w:hAnsi="Times New Roman" w:eastAsia="宋体" w:cs="Times New Roman"/>
          <w:b/>
          <w:color w:val="000000"/>
          <w:szCs w:val="21"/>
        </w:rPr>
        <w:t>生产工艺流程及产污环节图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原辅料：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按</w:t>
      </w:r>
      <w:r>
        <w:rPr>
          <w:rFonts w:hint="default" w:ascii="Times New Roman" w:hAnsi="Times New Roman" w:eastAsia="宋体" w:cs="Times New Roman"/>
          <w:sz w:val="24"/>
          <w:szCs w:val="24"/>
          <w:lang w:val="en-US" w:eastAsia="zh-CN"/>
        </w:rPr>
        <w:t>小容量（安瓿瓶）注射剂产品</w:t>
      </w:r>
      <w:r>
        <w:rPr>
          <w:rFonts w:hint="eastAsia" w:ascii="Times New Roman" w:hAnsi="Times New Roman" w:eastAsia="宋体" w:cs="Times New Roman"/>
          <w:sz w:val="24"/>
          <w:szCs w:val="24"/>
          <w:lang w:val="en-US" w:eastAsia="zh-CN"/>
        </w:rPr>
        <w:t>说明进行领料数量的统计，经确认后把领料数量进行输入。在物料交接室对仓库送来的物料进行检查，检查物料的外包装是否整洁、完好，如有异常应立即报告上级并接受指示。确认物料外包装标签上物料名称、物料代码、接收批号及数量，检查外包装上是否贴有质量管理部发放的绿色合格证，合格证上的有效期是否有效。其检验编号是否与领料单上的检验编号一致。核对无误后，则可把各种物料有序的装载于物流台车上，载有各种物料的物流台车则运送到指定位置上整齐停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核对所需物料名称、物料代码及接收批号，然后将经确认无误的物料运送至原料处理室/准备室，在原料袋上注明物料名称、物料代码、接收批号，经货淋室/缓冲室净化后进入洁净室。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称重：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w:t>
      </w:r>
      <w:r>
        <w:rPr>
          <w:rFonts w:hint="default" w:ascii="Times New Roman" w:hAnsi="Times New Roman" w:eastAsia="宋体" w:cs="Times New Roman"/>
          <w:sz w:val="24"/>
          <w:szCs w:val="24"/>
          <w:lang w:val="en-US" w:eastAsia="zh-CN"/>
        </w:rPr>
        <w:t>处方量</w:t>
      </w:r>
      <w:r>
        <w:rPr>
          <w:rFonts w:hint="eastAsia" w:ascii="Times New Roman" w:hAnsi="Times New Roman" w:eastAsia="宋体" w:cs="Times New Roman"/>
          <w:sz w:val="24"/>
          <w:szCs w:val="24"/>
          <w:lang w:val="en-US" w:eastAsia="zh-CN"/>
        </w:rPr>
        <w:t>按《生产线物料称量操作程序》进行称重。称量过程中要避免粉尘的产生防止原料的重量出现偏差，称量前后操作都要进行清场，防止物料混淆以及交叉污染。称量由两个或两个以上的操作人员进行，并对所称量物料名称、接收批号及数量进行复核并及时记录，做好相应标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搅拌溶解、药液配制：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根据产品工艺规程规定开启搅拌，加入规定量的注射用水，并依次投入原辅料，并按照工艺时间进行搅拌回流溶解，达到规定工艺时间后进行中间体取样检测，检测合格后，经药液泵终端过滤输送至灌装工序，本项目产品仅为常温常压下物理混合搅拌，不涉及化学反应。在药液配制工序中会产生</w:t>
      </w:r>
      <w:r>
        <w:rPr>
          <w:rFonts w:hint="eastAsia" w:ascii="Times New Roman" w:hAnsi="Times New Roman" w:eastAsia="宋体" w:cs="Times New Roman"/>
          <w:kern w:val="2"/>
          <w:sz w:val="24"/>
          <w:szCs w:val="24"/>
          <w:lang w:val="en-US" w:eastAsia="zh-CN"/>
        </w:rPr>
        <w:t>少量异味气体（G2-1）、生产设备噪声（N）。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终端过滤：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配液岗位操作人员检测pH值、性状及渗透压摩尔浓度合格后，打开药液输送阀门，使药液依次经一级滤芯、二级滤芯、三级滤芯过滤，药液过滤压力保持在0.18Mpa～0.25 Mpa范围内。配液前及当批生产结束后确认滤芯经过完整性检测合格，并已安装好。在终端过滤工序中会产生</w:t>
      </w:r>
      <w:r>
        <w:rPr>
          <w:rFonts w:hint="eastAsia" w:ascii="Times New Roman" w:hAnsi="Times New Roman" w:eastAsia="宋体" w:cs="Times New Roman"/>
          <w:kern w:val="2"/>
          <w:sz w:val="24"/>
          <w:szCs w:val="24"/>
          <w:lang w:val="en-US" w:eastAsia="zh-CN"/>
        </w:rPr>
        <w:t>废活性炭滤芯（S2-1）、生产设备噪声（N）。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清洗：</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对西林瓶、</w:t>
      </w:r>
      <w:r>
        <w:rPr>
          <w:rFonts w:hint="default" w:ascii="Times New Roman" w:hAnsi="Times New Roman" w:eastAsia="宋体" w:cs="Times New Roman"/>
          <w:sz w:val="24"/>
          <w:szCs w:val="24"/>
          <w:lang w:val="en-US" w:eastAsia="zh-CN"/>
        </w:rPr>
        <w:t>注射用冷冻干燥无菌粉末用卤化丁基橡胶塞（氯化）</w:t>
      </w:r>
      <w:r>
        <w:rPr>
          <w:rFonts w:hint="eastAsia" w:ascii="Times New Roman" w:hAnsi="Times New Roman" w:eastAsia="宋体" w:cs="Times New Roman"/>
          <w:sz w:val="24"/>
          <w:szCs w:val="24"/>
          <w:lang w:val="en-US" w:eastAsia="zh-CN"/>
        </w:rPr>
        <w:t>、西林瓶用铝盖进行清洗，a外洗机、粗洗机及精洗机的操作按《洗瓶机组操作、维护和保养规程》进行。b最终精洗机的操作按《最终精洗机操作、维护和保养规程》进行。c超声波粗洗机的操作按《超声波粗洗机操作、维护和保养规程》进行。d立式精洗机的操作按《立式精洗机操作、维护和保养规程》进行。e输液瓶的清洗按《西林瓶的清洗操作程序》进行。j洗胶塞机的操作按《洗胶塞机的操作、维护和保养规程》进行。h胶塞的清洗操作按《胶塞的清洗操作程序》进行。在清洗工序中会产生包装容器清洗废水（W2-1、W2-2、W2-3）、生产设备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灭菌：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灭菌工序具体操作程序按《西林瓶、</w:t>
      </w:r>
      <w:r>
        <w:rPr>
          <w:rFonts w:hint="default" w:ascii="Times New Roman" w:hAnsi="Times New Roman" w:eastAsia="宋体" w:cs="Times New Roman"/>
          <w:sz w:val="24"/>
          <w:szCs w:val="24"/>
          <w:lang w:val="en-US" w:eastAsia="zh-CN"/>
        </w:rPr>
        <w:t>注射用冷冻干燥无菌粉末用卤化丁基橡胶塞（氯化）</w:t>
      </w:r>
      <w:r>
        <w:rPr>
          <w:rFonts w:hint="eastAsia" w:ascii="Times New Roman" w:hAnsi="Times New Roman" w:eastAsia="宋体" w:cs="Times New Roman"/>
          <w:sz w:val="24"/>
          <w:szCs w:val="24"/>
          <w:lang w:val="en-US" w:eastAsia="zh-CN"/>
        </w:rPr>
        <w:t>、西林瓶用铝盖的灭菌工序操作规程》进行。清洗后的辅料通过输送带输送至灭菌岗位。将产品按照要求整齐、均匀地摆放到灭菌托盘内。进行灭菌。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灌装半加塞：</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西林瓶进入进瓶轨道后，受输送带的作用到达灌装定位盘，在氮气的保护下，先在灌装部位完成灌装动作。完成灌装的瓶子受输送带作用走出定位盘，来到等分盘。然后瓶子随等分盘作间歇运动，到达戴胶塞工位上完成上胶塞过程；再到达瓶盖部位戴上瓶盖；走出等分盘，进入出瓶轨道并送出机器，该工序操作按《</w:t>
      </w:r>
      <w:r>
        <w:rPr>
          <w:rFonts w:hint="eastAsia" w:ascii="宋体" w:hAnsi="宋体" w:eastAsia="宋体" w:cs="宋体"/>
          <w:sz w:val="24"/>
          <w:szCs w:val="24"/>
          <w:lang w:val="en-US" w:eastAsia="zh-CN"/>
        </w:rPr>
        <w:t>西林瓶灌装半加塞工序操作规程》执行。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冷冻干燥：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放进冻干机设备进行低温冻结成固态冰晶，在结晶温度-50℃以下或者-45℃以下冻结3~8小时左右，然后升温到安全的升华温度下进行低温升华干燥，一般温度控制0℃以下，时间根据装液高度和容器类型及冻干机的监控的温度和真空指标进行综合判断升华干燥终点，升华干燥结束后转入二次干燥。二次干燥根据中药的特点一般0~40摄氏度，时间通常3个小时以上，一般3~10个小时。在整个真空冷冻干燥过程都是在低温和真空环境下，都在安全的可以监控的温度范围，能有效保证物料不氧化，不降解，不发生化学反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轧盖：</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经冷冻干燥后，进入轧盖工序，轧盖的相关操作按《轧盖工序操作规程》进行。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检查：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自动灯检：(a)开启全自动灯检机总电源开关，打开压缩空气手动球阀，确认压缩空气压力在0.60MPa以上。(b)按《全自动灯检机操作、维护和保养规程》对全自动灯检机进行点检，点检完毕后将设备的运行状态由“完好待用”转为“使用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人工灯检：用照度计对每个灯检位置的光照度进行测定，当确认每个灯检位的光照度为1000-1500lx后才可以开始灯检操作。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对待检查产品进行全数灯检。在检查工序中会产生报废药品（S</w:t>
      </w:r>
      <w:r>
        <w:rPr>
          <w:rFonts w:hint="eastAsia" w:ascii="Times New Roman" w:hAnsi="Times New Roman" w:eastAsia="宋体" w:cs="Times New Roman"/>
          <w:sz w:val="24"/>
          <w:szCs w:val="24"/>
          <w:lang w:val="en-US" w:eastAsia="zh-CN"/>
        </w:rPr>
        <w:t>2-</w:t>
      </w:r>
      <w:r>
        <w:rPr>
          <w:rFonts w:hint="default" w:ascii="Times New Roman" w:hAnsi="Times New Roman" w:eastAsia="宋体" w:cs="Times New Roman"/>
          <w:sz w:val="24"/>
          <w:szCs w:val="24"/>
          <w:lang w:val="en-US" w:eastAsia="zh-CN"/>
        </w:rPr>
        <w:t>2）、生产设备噪声（N）。</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包装入库：</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灯检合格产品通过输送系统输送至外袋包装工序进行包装入库。</w:t>
      </w:r>
    </w:p>
    <w:p>
      <w:pPr>
        <w:keepNext w:val="0"/>
        <w:keepLines w:val="0"/>
        <w:pageBreakBefore w:val="0"/>
        <w:kinsoku/>
        <w:wordWrap/>
        <w:topLinePunct w:val="0"/>
        <w:autoSpaceDE/>
        <w:autoSpaceDN/>
        <w:bidi w:val="0"/>
        <w:spacing w:line="360" w:lineRule="auto"/>
        <w:ind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本项目运营期污染主要来自以下几方面：</w:t>
      </w:r>
    </w:p>
    <w:p>
      <w:pPr>
        <w:keepNext w:val="0"/>
        <w:keepLines w:val="0"/>
        <w:pageBreakBefore w:val="0"/>
        <w:kinsoku/>
        <w:wordWrap/>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①</w:t>
      </w:r>
      <w:r>
        <w:rPr>
          <w:rFonts w:hint="default" w:ascii="Times New Roman" w:hAnsi="Times New Roman" w:eastAsia="宋体" w:cs="Times New Roman"/>
          <w:color w:val="auto"/>
          <w:sz w:val="24"/>
          <w:szCs w:val="24"/>
        </w:rPr>
        <w:t>运营期废气主要为</w:t>
      </w:r>
      <w:r>
        <w:rPr>
          <w:rFonts w:hint="eastAsia" w:ascii="Times New Roman" w:hAnsi="Times New Roman" w:eastAsia="宋体" w:cs="Times New Roman"/>
          <w:color w:val="auto"/>
          <w:sz w:val="24"/>
          <w:szCs w:val="24"/>
          <w:lang w:val="en-US" w:eastAsia="zh-CN"/>
        </w:rPr>
        <w:t>药液配制</w:t>
      </w:r>
      <w:r>
        <w:rPr>
          <w:rFonts w:hint="default" w:ascii="Times New Roman" w:hAnsi="Times New Roman" w:eastAsia="宋体" w:cs="Times New Roman"/>
          <w:color w:val="auto"/>
          <w:sz w:val="24"/>
          <w:szCs w:val="24"/>
          <w:lang w:val="en-US" w:eastAsia="zh-CN"/>
        </w:rPr>
        <w:t>工序产生的</w:t>
      </w:r>
      <w:r>
        <w:rPr>
          <w:rFonts w:hint="eastAsia" w:ascii="Times New Roman" w:hAnsi="Times New Roman" w:eastAsia="宋体" w:cs="Times New Roman"/>
          <w:color w:val="auto"/>
          <w:sz w:val="24"/>
          <w:szCs w:val="24"/>
          <w:lang w:val="en-US" w:eastAsia="zh-CN"/>
        </w:rPr>
        <w:t>的少量异味气体（G1-1、G2-1）废水处理工序产生的污水处理站恶臭气体，化验中心产生的少量异味气体</w:t>
      </w:r>
      <w:r>
        <w:rPr>
          <w:rFonts w:hint="default" w:ascii="Times New Roman" w:hAnsi="Times New Roman" w:eastAsia="宋体" w:cs="Times New Roman"/>
          <w:color w:val="auto"/>
          <w:sz w:val="24"/>
          <w:szCs w:val="24"/>
          <w:lang w:val="en-US" w:eastAsia="zh-CN"/>
        </w:rPr>
        <w:t>。</w:t>
      </w:r>
    </w:p>
    <w:p>
      <w:pPr>
        <w:keepNext w:val="0"/>
        <w:keepLines w:val="0"/>
        <w:pageBreakBefore w:val="0"/>
        <w:kinsoku/>
        <w:wordWrap/>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w:t>
      </w:r>
      <w:r>
        <w:rPr>
          <w:rFonts w:hint="default" w:ascii="Times New Roman" w:hAnsi="Times New Roman" w:eastAsia="宋体" w:cs="Times New Roman"/>
          <w:color w:val="auto"/>
          <w:sz w:val="24"/>
          <w:szCs w:val="24"/>
          <w:lang w:val="en-US" w:eastAsia="zh-CN"/>
        </w:rPr>
        <w:t>运营期废水主要为</w:t>
      </w:r>
      <w:r>
        <w:rPr>
          <w:rFonts w:hint="eastAsia" w:ascii="Times New Roman" w:hAnsi="Times New Roman" w:eastAsia="宋体" w:cs="Times New Roman"/>
          <w:color w:val="auto"/>
          <w:sz w:val="24"/>
          <w:szCs w:val="24"/>
          <w:lang w:val="en-US" w:eastAsia="zh-CN"/>
        </w:rPr>
        <w:t>包装容器清洗</w:t>
      </w:r>
      <w:r>
        <w:rPr>
          <w:rFonts w:hint="default" w:ascii="Times New Roman" w:hAnsi="Times New Roman" w:eastAsia="宋体" w:cs="Times New Roman"/>
          <w:color w:val="auto"/>
          <w:sz w:val="24"/>
          <w:szCs w:val="24"/>
          <w:lang w:val="en-US" w:eastAsia="zh-CN"/>
        </w:rPr>
        <w:t>废水（W</w:t>
      </w:r>
      <w:r>
        <w:rPr>
          <w:rFonts w:hint="eastAsia"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W</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W</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W</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），生活污水</w:t>
      </w:r>
      <w:r>
        <w:rPr>
          <w:rFonts w:hint="eastAsia" w:ascii="Times New Roman" w:hAnsi="Times New Roman" w:eastAsia="宋体" w:cs="Times New Roman"/>
          <w:color w:val="auto"/>
          <w:sz w:val="24"/>
          <w:szCs w:val="24"/>
          <w:lang w:val="en-US" w:eastAsia="zh-CN"/>
        </w:rPr>
        <w:t>、擦拭、冲洗</w:t>
      </w:r>
      <w:r>
        <w:rPr>
          <w:rFonts w:hint="default" w:ascii="Times New Roman" w:hAnsi="Times New Roman" w:eastAsia="宋体" w:cs="Times New Roman"/>
          <w:color w:val="auto"/>
          <w:sz w:val="24"/>
          <w:szCs w:val="24"/>
          <w:lang w:val="en-US" w:eastAsia="zh-CN"/>
        </w:rPr>
        <w:t>废水、</w:t>
      </w:r>
      <w:r>
        <w:rPr>
          <w:rFonts w:hint="eastAsia" w:ascii="Times New Roman" w:hAnsi="Times New Roman" w:eastAsia="宋体" w:cs="Times New Roman"/>
          <w:color w:val="auto"/>
          <w:sz w:val="24"/>
          <w:szCs w:val="24"/>
          <w:lang w:val="en-US" w:eastAsia="zh-CN"/>
        </w:rPr>
        <w:t>纯化水制备浓水、注射水制备浓水、循环</w:t>
      </w:r>
      <w:r>
        <w:rPr>
          <w:rFonts w:hint="default" w:ascii="Times New Roman" w:hAnsi="Times New Roman" w:eastAsia="宋体" w:cs="Times New Roman"/>
          <w:color w:val="auto"/>
          <w:sz w:val="24"/>
          <w:szCs w:val="24"/>
          <w:lang w:val="en-US" w:eastAsia="zh-CN"/>
        </w:rPr>
        <w:t>冷却</w:t>
      </w:r>
      <w:r>
        <w:rPr>
          <w:rFonts w:hint="eastAsia" w:ascii="Times New Roman" w:hAnsi="Times New Roman" w:eastAsia="宋体" w:cs="Times New Roman"/>
          <w:color w:val="auto"/>
          <w:sz w:val="24"/>
          <w:szCs w:val="24"/>
          <w:lang w:val="en-US" w:eastAsia="zh-CN"/>
        </w:rPr>
        <w:t>废</w:t>
      </w:r>
      <w:r>
        <w:rPr>
          <w:rFonts w:hint="default" w:ascii="Times New Roman" w:hAnsi="Times New Roman" w:eastAsia="宋体" w:cs="Times New Roman"/>
          <w:color w:val="auto"/>
          <w:sz w:val="24"/>
          <w:szCs w:val="24"/>
          <w:lang w:val="en-US" w:eastAsia="zh-CN"/>
        </w:rPr>
        <w:t>水</w:t>
      </w:r>
      <w:r>
        <w:rPr>
          <w:rFonts w:hint="eastAsia" w:ascii="Times New Roman" w:hAnsi="Times New Roman" w:eastAsia="宋体" w:cs="Times New Roman"/>
          <w:color w:val="auto"/>
          <w:sz w:val="24"/>
          <w:szCs w:val="24"/>
          <w:lang w:val="en-US" w:eastAsia="zh-CN"/>
        </w:rPr>
        <w:t>、化验中心废水、水浴灭菌箱废水</w:t>
      </w:r>
      <w:r>
        <w:rPr>
          <w:rFonts w:hint="default" w:ascii="Times New Roman" w:hAnsi="Times New Roman" w:eastAsia="宋体" w:cs="Times New Roman"/>
          <w:color w:val="auto"/>
          <w:sz w:val="24"/>
          <w:szCs w:val="24"/>
          <w:lang w:val="en-US" w:eastAsia="zh-CN"/>
        </w:rPr>
        <w:t>。</w:t>
      </w:r>
    </w:p>
    <w:p>
      <w:pPr>
        <w:keepNext w:val="0"/>
        <w:keepLines w:val="0"/>
        <w:pageBreakBefore w:val="0"/>
        <w:kinsoku/>
        <w:wordWrap/>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w:t>
      </w:r>
      <w:r>
        <w:rPr>
          <w:rFonts w:hint="default" w:ascii="Times New Roman" w:hAnsi="Times New Roman" w:eastAsia="宋体" w:cs="Times New Roman"/>
          <w:color w:val="auto"/>
          <w:sz w:val="24"/>
          <w:szCs w:val="24"/>
          <w:lang w:val="en-US" w:eastAsia="zh-CN"/>
        </w:rPr>
        <w:t>运营期噪声主要为</w:t>
      </w:r>
      <w:r>
        <w:rPr>
          <w:rFonts w:hint="eastAsia" w:ascii="Times New Roman" w:hAnsi="Times New Roman" w:eastAsia="宋体" w:cs="Times New Roman"/>
          <w:color w:val="auto"/>
          <w:sz w:val="24"/>
          <w:szCs w:val="24"/>
          <w:lang w:val="en-US" w:eastAsia="zh-CN"/>
        </w:rPr>
        <w:t>生产过程中生产</w:t>
      </w:r>
      <w:r>
        <w:rPr>
          <w:rFonts w:hint="default" w:ascii="Times New Roman" w:hAnsi="Times New Roman" w:eastAsia="宋体" w:cs="Times New Roman"/>
          <w:color w:val="auto"/>
          <w:sz w:val="24"/>
          <w:szCs w:val="24"/>
          <w:lang w:val="en-US" w:eastAsia="zh-CN"/>
        </w:rPr>
        <w:t>设备产生的噪声。</w:t>
      </w:r>
    </w:p>
    <w:p>
      <w:pPr>
        <w:keepNext w:val="0"/>
        <w:keepLines w:val="0"/>
        <w:pageBreakBefore w:val="0"/>
        <w:kinsoku/>
        <w:wordWrap/>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④</w:t>
      </w:r>
      <w:r>
        <w:rPr>
          <w:rFonts w:hint="default" w:ascii="Times New Roman" w:hAnsi="Times New Roman" w:eastAsia="宋体" w:cs="Times New Roman"/>
          <w:color w:val="auto"/>
          <w:sz w:val="24"/>
          <w:szCs w:val="24"/>
          <w:lang w:val="en-US" w:eastAsia="zh-CN"/>
        </w:rPr>
        <w:t>运营期固废主要为</w:t>
      </w:r>
      <w:r>
        <w:rPr>
          <w:rFonts w:hint="eastAsia" w:ascii="Times New Roman" w:hAnsi="Times New Roman" w:eastAsia="宋体" w:cs="Times New Roman"/>
          <w:color w:val="auto"/>
          <w:sz w:val="24"/>
          <w:szCs w:val="24"/>
          <w:lang w:val="en-US" w:eastAsia="zh-CN"/>
        </w:rPr>
        <w:t>废活性炭滤芯</w:t>
      </w:r>
      <w:r>
        <w:rPr>
          <w:rFonts w:hint="default" w:ascii="Times New Roman" w:hAnsi="Times New Roman" w:eastAsia="宋体" w:cs="Times New Roman"/>
          <w:color w:val="auto"/>
          <w:sz w:val="24"/>
          <w:szCs w:val="24"/>
          <w:lang w:val="en-US" w:eastAsia="zh-CN"/>
        </w:rPr>
        <w:t>（S1-1</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S</w:t>
      </w:r>
      <w:r>
        <w:rPr>
          <w:rFonts w:hint="eastAsia" w:ascii="Times New Roman" w:hAnsi="Times New Roman" w:eastAsia="宋体"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-1）</w:t>
      </w:r>
      <w:r>
        <w:rPr>
          <w:rFonts w:hint="eastAsia" w:ascii="Times New Roman" w:hAnsi="Times New Roman" w:eastAsia="宋体" w:cs="Times New Roman"/>
          <w:color w:val="auto"/>
          <w:sz w:val="24"/>
          <w:szCs w:val="24"/>
          <w:lang w:val="en-US" w:eastAsia="zh-CN"/>
        </w:rPr>
        <w:t>，报废药品（S1-2、S2-2），废外包材料、生活垃圾、废活性炭、危化品包装材料、化验中心危废、污水处理站污泥</w:t>
      </w:r>
      <w:r>
        <w:rPr>
          <w:rFonts w:hint="default" w:ascii="Times New Roman" w:hAnsi="Times New Roman" w:eastAsia="宋体" w:cs="Times New Roman"/>
          <w:color w:val="auto"/>
          <w:sz w:val="24"/>
          <w:szCs w:val="24"/>
          <w:lang w:val="en-US" w:eastAsia="zh-CN"/>
        </w:rPr>
        <w:t>等。</w:t>
      </w:r>
    </w:p>
    <w:p>
      <w:pPr>
        <w:keepNext w:val="0"/>
        <w:keepLines w:val="0"/>
        <w:pageBreakBefore w:val="0"/>
        <w:kinsoku/>
        <w:wordWrap/>
        <w:topLinePunct w:val="0"/>
        <w:autoSpaceDE/>
        <w:autoSpaceDN/>
        <w:bidi w:val="0"/>
        <w:spacing w:line="360" w:lineRule="auto"/>
        <w:ind w:firstLine="482" w:firstLineChars="200"/>
        <w:jc w:val="both"/>
        <w:textAlignment w:val="auto"/>
        <w:rPr>
          <w:rFonts w:hint="default" w:ascii="Times New Roman" w:hAnsi="Times New Roman" w:eastAsia="宋体" w:cs="Times New Roman"/>
          <w:b/>
          <w:bCs/>
          <w:color w:val="auto"/>
          <w:sz w:val="24"/>
          <w:szCs w:val="24"/>
        </w:rPr>
      </w:pPr>
      <w:r>
        <w:rPr>
          <w:rFonts w:hint="eastAsia"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主要污染物产生环节汇总</w:t>
      </w:r>
    </w:p>
    <w:p>
      <w:pPr>
        <w:pStyle w:val="71"/>
        <w:keepNext w:val="0"/>
        <w:keepLines w:val="0"/>
        <w:pageBreakBefore w:val="0"/>
        <w:kinsoku/>
        <w:wordWrap/>
        <w:overflowPunct/>
        <w:topLinePunct w:val="0"/>
        <w:autoSpaceDE/>
        <w:autoSpaceDN/>
        <w:bidi w:val="0"/>
        <w:ind w:firstLine="480" w:firstLineChars="200"/>
        <w:textAlignment w:val="auto"/>
        <w:rPr>
          <w:rFonts w:hint="default" w:eastAsia="宋体"/>
        </w:rPr>
      </w:pPr>
      <w:r>
        <w:rPr>
          <w:rFonts w:hint="default" w:eastAsia="宋体"/>
        </w:rPr>
        <w:t>项目运营中生产工艺中主要污染物产生环节汇总见表</w:t>
      </w:r>
      <w:r>
        <w:rPr>
          <w:rFonts w:hint="eastAsia"/>
          <w:lang w:val="en-US" w:eastAsia="zh-CN"/>
        </w:rPr>
        <w:t>3-5</w:t>
      </w:r>
      <w:r>
        <w:rPr>
          <w:rFonts w:hint="default" w:eastAsia="宋体"/>
        </w:rPr>
        <w:t>。</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szCs w:val="24"/>
          <w:lang w:val="en-US" w:eastAsia="zh-CN"/>
        </w:rPr>
      </w:pPr>
      <w:r>
        <w:rPr>
          <w:rFonts w:hint="default" w:ascii="Times New Roman" w:hAnsi="Times New Roman" w:eastAsia="宋体" w:cs="Times New Roman"/>
          <w:b/>
          <w:bCs/>
          <w:szCs w:val="24"/>
          <w:lang w:val="en-US" w:eastAsia="zh-CN"/>
        </w:rPr>
        <w:t>表</w:t>
      </w:r>
      <w:r>
        <w:rPr>
          <w:rFonts w:hint="eastAsia" w:ascii="Times New Roman" w:hAnsi="Times New Roman" w:eastAsia="宋体" w:cs="Times New Roman"/>
          <w:b/>
          <w:bCs/>
          <w:szCs w:val="24"/>
          <w:lang w:val="en-US" w:eastAsia="zh-CN"/>
        </w:rPr>
        <w:t>3-5</w:t>
      </w:r>
      <w:r>
        <w:rPr>
          <w:rFonts w:hint="default" w:ascii="Times New Roman" w:hAnsi="Times New Roman" w:eastAsia="宋体" w:cs="Times New Roman"/>
          <w:b/>
          <w:bCs/>
          <w:szCs w:val="24"/>
          <w:lang w:val="en-US" w:eastAsia="zh-CN"/>
        </w:rPr>
        <w:t xml:space="preserve">  污染物产生环节汇总表</w:t>
      </w:r>
    </w:p>
    <w:tbl>
      <w:tblPr>
        <w:tblStyle w:val="26"/>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57" w:type="dxa"/>
          <w:bottom w:w="0" w:type="dxa"/>
          <w:right w:w="57" w:type="dxa"/>
        </w:tblCellMar>
      </w:tblPr>
      <w:tblGrid>
        <w:gridCol w:w="508"/>
        <w:gridCol w:w="1239"/>
        <w:gridCol w:w="1597"/>
        <w:gridCol w:w="1883"/>
        <w:gridCol w:w="319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类别</w:t>
            </w:r>
          </w:p>
        </w:tc>
        <w:tc>
          <w:tcPr>
            <w:tcW w:w="7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代码</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产生工序/设备</w:t>
            </w:r>
          </w:p>
        </w:tc>
        <w:tc>
          <w:tcPr>
            <w:tcW w:w="111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主要污染物</w:t>
            </w:r>
          </w:p>
        </w:tc>
        <w:tc>
          <w:tcPr>
            <w:tcW w:w="189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bCs/>
                <w:kern w:val="0"/>
                <w:sz w:val="21"/>
                <w:szCs w:val="21"/>
                <w:lang w:val="en-US" w:eastAsia="zh-CN" w:bidi="ar-SA"/>
              </w:rPr>
            </w:pPr>
            <w:r>
              <w:rPr>
                <w:rFonts w:hint="default" w:ascii="Times New Roman" w:hAnsi="Times New Roman" w:eastAsia="宋体" w:cs="Times New Roman"/>
                <w:b/>
                <w:bCs/>
                <w:kern w:val="0"/>
                <w:sz w:val="21"/>
                <w:szCs w:val="21"/>
                <w:lang w:val="en-US" w:eastAsia="zh-CN" w:bidi="ar-SA"/>
              </w:rPr>
              <w:t>排放情况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废气</w:t>
            </w:r>
          </w:p>
        </w:tc>
        <w:tc>
          <w:tcPr>
            <w:tcW w:w="7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2"/>
                <w:sz w:val="21"/>
                <w:szCs w:val="21"/>
                <w:lang w:val="en-US" w:eastAsia="zh-CN" w:bidi="ar-SA"/>
              </w:rPr>
              <w:t>G1-1、G2-1、</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药液配制</w:t>
            </w:r>
          </w:p>
        </w:tc>
        <w:tc>
          <w:tcPr>
            <w:tcW w:w="111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少量异味气体，主要成分为臭气、VOCs气体</w:t>
            </w:r>
          </w:p>
        </w:tc>
        <w:tc>
          <w:tcPr>
            <w:tcW w:w="189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通过车</w:t>
            </w:r>
            <w:r>
              <w:rPr>
                <w:rFonts w:hint="eastAsia" w:ascii="Times New Roman" w:hAnsi="Times New Roman" w:eastAsia="宋体" w:cs="Times New Roman"/>
                <w:b w:val="0"/>
                <w:bCs w:val="0"/>
                <w:color w:val="000000"/>
                <w:spacing w:val="0"/>
                <w:w w:val="100"/>
                <w:kern w:val="0"/>
                <w:position w:val="0"/>
                <w:sz w:val="21"/>
                <w:szCs w:val="21"/>
                <w:lang w:val="en-US" w:eastAsia="zh-CN" w:bidi="ar-SA"/>
              </w:rPr>
              <w:t>间内微负压收集，由中央空气净化系统处理后，经出风口排放。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污水处理站</w:t>
            </w:r>
          </w:p>
        </w:tc>
        <w:tc>
          <w:tcPr>
            <w:tcW w:w="111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b w:val="0"/>
                <w:color w:val="000000"/>
                <w:kern w:val="0"/>
                <w:sz w:val="21"/>
                <w:szCs w:val="21"/>
                <w:lang w:val="en-US" w:eastAsia="zh-CN" w:bidi="ar-SA"/>
              </w:rPr>
              <w:t>NH</w:t>
            </w:r>
            <w:r>
              <w:rPr>
                <w:rFonts w:hint="default" w:ascii="Times New Roman" w:hAnsi="Times New Roman" w:eastAsia="宋体" w:cs="Times New Roman"/>
                <w:b w:val="0"/>
                <w:color w:val="000000"/>
                <w:kern w:val="0"/>
                <w:sz w:val="21"/>
                <w:szCs w:val="21"/>
                <w:vertAlign w:val="subscript"/>
                <w:lang w:val="en-US" w:eastAsia="zh-CN" w:bidi="ar-SA"/>
              </w:rPr>
              <w:t>3</w:t>
            </w:r>
            <w:r>
              <w:rPr>
                <w:rFonts w:hint="default" w:ascii="Times New Roman" w:hAnsi="Times New Roman" w:eastAsia="宋体" w:cs="Times New Roman"/>
                <w:b w:val="0"/>
                <w:color w:val="000000"/>
                <w:kern w:val="0"/>
                <w:sz w:val="21"/>
                <w:szCs w:val="21"/>
                <w:lang w:val="en-US" w:eastAsia="zh-CN" w:bidi="ar-SA"/>
              </w:rPr>
              <w:t>、H</w:t>
            </w:r>
            <w:r>
              <w:rPr>
                <w:rFonts w:hint="default" w:ascii="Times New Roman" w:hAnsi="Times New Roman" w:eastAsia="宋体" w:cs="Times New Roman"/>
                <w:b w:val="0"/>
                <w:color w:val="000000"/>
                <w:kern w:val="0"/>
                <w:sz w:val="21"/>
                <w:szCs w:val="21"/>
                <w:vertAlign w:val="subscript"/>
                <w:lang w:val="en-US" w:eastAsia="zh-CN" w:bidi="ar-SA"/>
              </w:rPr>
              <w:t>2</w:t>
            </w:r>
            <w:r>
              <w:rPr>
                <w:rFonts w:hint="default" w:ascii="Times New Roman" w:hAnsi="Times New Roman" w:eastAsia="宋体" w:cs="Times New Roman"/>
                <w:b w:val="0"/>
                <w:color w:val="000000"/>
                <w:kern w:val="0"/>
                <w:sz w:val="21"/>
                <w:szCs w:val="21"/>
                <w:lang w:val="en-US" w:eastAsia="zh-CN" w:bidi="ar-SA"/>
              </w:rPr>
              <w:t>S、臭气</w:t>
            </w:r>
          </w:p>
        </w:tc>
        <w:tc>
          <w:tcPr>
            <w:tcW w:w="189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b w:val="0"/>
                <w:bCs w:val="0"/>
                <w:color w:val="000000"/>
                <w:spacing w:val="0"/>
                <w:w w:val="100"/>
                <w:kern w:val="0"/>
                <w:position w:val="0"/>
                <w:sz w:val="21"/>
                <w:szCs w:val="21"/>
                <w:lang w:val="en-US" w:eastAsia="zh-CN" w:bidi="ar-SA"/>
              </w:rPr>
              <w:t>经“碱液喷淋塔+二级活性炭吸附装置”处理后，</w:t>
            </w:r>
            <w:r>
              <w:rPr>
                <w:rFonts w:hint="default" w:ascii="Times New Roman" w:hAnsi="Times New Roman" w:eastAsia="宋体" w:cs="Times New Roman"/>
                <w:kern w:val="2"/>
                <w:sz w:val="21"/>
                <w:szCs w:val="21"/>
                <w:lang w:val="en-US" w:eastAsia="zh-CN" w:bidi="ar-SA"/>
              </w:rPr>
              <w:t>最终通过1根</w:t>
            </w:r>
            <w:r>
              <w:rPr>
                <w:rFonts w:hint="eastAsia" w:ascii="Times New Roman" w:hAnsi="Times New Roman" w:eastAsia="宋体" w:cs="Times New Roman"/>
                <w:kern w:val="2"/>
                <w:sz w:val="21"/>
                <w:szCs w:val="21"/>
                <w:lang w:val="en-US" w:eastAsia="zh-CN" w:bidi="ar-SA"/>
              </w:rPr>
              <w:t>15</w:t>
            </w:r>
            <w:r>
              <w:rPr>
                <w:rFonts w:hint="default" w:ascii="Times New Roman" w:hAnsi="Times New Roman" w:eastAsia="宋体" w:cs="Times New Roman"/>
                <w:kern w:val="2"/>
                <w:sz w:val="21"/>
                <w:szCs w:val="21"/>
                <w:lang w:val="en-US" w:eastAsia="zh-CN" w:bidi="ar-SA"/>
              </w:rPr>
              <w:t>米高的排气筒（DA001）排放</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化验中心</w:t>
            </w:r>
          </w:p>
        </w:tc>
        <w:tc>
          <w:tcPr>
            <w:tcW w:w="111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少量异味气体，主要成分为臭气、VOCs气体</w:t>
            </w:r>
          </w:p>
        </w:tc>
        <w:tc>
          <w:tcPr>
            <w:tcW w:w="189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both"/>
              <w:textAlignment w:val="auto"/>
              <w:rPr>
                <w:rFonts w:hint="eastAsia" w:ascii="Times New Roman" w:hAnsi="Times New Roman" w:eastAsia="宋体" w:cs="Times New Roman"/>
                <w:kern w:val="0"/>
                <w:sz w:val="21"/>
                <w:szCs w:val="21"/>
                <w:lang w:val="en-US" w:eastAsia="zh-CN" w:bidi="ar-SA"/>
              </w:rPr>
            </w:pPr>
            <w:r>
              <w:rPr>
                <w:rFonts w:hint="eastAsia" w:ascii="Times New Roman" w:hAnsi="Times New Roman" w:eastAsia="宋体" w:cs="Times New Roman"/>
                <w:b w:val="0"/>
                <w:bCs w:val="0"/>
                <w:color w:val="000000"/>
                <w:spacing w:val="0"/>
                <w:w w:val="100"/>
                <w:kern w:val="0"/>
                <w:position w:val="0"/>
                <w:sz w:val="21"/>
                <w:szCs w:val="21"/>
                <w:lang w:val="en-US" w:eastAsia="zh-CN" w:bidi="ar-SA"/>
              </w:rPr>
              <w:t>经通风柜收集经“碱液喷淋塔+二级活性炭吸附装置”处理后，</w:t>
            </w:r>
            <w:r>
              <w:rPr>
                <w:rFonts w:hint="default" w:ascii="Times New Roman" w:hAnsi="Times New Roman" w:eastAsia="宋体" w:cs="Times New Roman"/>
                <w:b w:val="0"/>
                <w:bCs w:val="0"/>
                <w:color w:val="000000"/>
                <w:spacing w:val="0"/>
                <w:w w:val="100"/>
                <w:kern w:val="0"/>
                <w:position w:val="0"/>
                <w:sz w:val="21"/>
                <w:szCs w:val="21"/>
                <w:lang w:val="en-US" w:eastAsia="zh-CN" w:bidi="ar-SA"/>
              </w:rPr>
              <w:t>最终通过1根</w:t>
            </w:r>
            <w:r>
              <w:rPr>
                <w:rFonts w:hint="eastAsia" w:ascii="Times New Roman" w:hAnsi="Times New Roman" w:eastAsia="宋体" w:cs="Times New Roman"/>
                <w:b w:val="0"/>
                <w:bCs w:val="0"/>
                <w:color w:val="000000"/>
                <w:spacing w:val="0"/>
                <w:w w:val="100"/>
                <w:kern w:val="0"/>
                <w:position w:val="0"/>
                <w:sz w:val="21"/>
                <w:szCs w:val="21"/>
                <w:lang w:val="en-US" w:eastAsia="zh-CN" w:bidi="ar-SA"/>
              </w:rPr>
              <w:t>20</w:t>
            </w:r>
            <w:r>
              <w:rPr>
                <w:rFonts w:hint="default" w:ascii="Times New Roman" w:hAnsi="Times New Roman" w:eastAsia="宋体" w:cs="Times New Roman"/>
                <w:b w:val="0"/>
                <w:bCs w:val="0"/>
                <w:color w:val="000000"/>
                <w:spacing w:val="0"/>
                <w:w w:val="100"/>
                <w:kern w:val="0"/>
                <w:position w:val="0"/>
                <w:sz w:val="21"/>
                <w:szCs w:val="21"/>
                <w:lang w:val="en-US" w:eastAsia="zh-CN" w:bidi="ar-SA"/>
              </w:rPr>
              <w:t>米高的排气筒（DA00</w:t>
            </w:r>
            <w:r>
              <w:rPr>
                <w:rFonts w:hint="eastAsia" w:ascii="Times New Roman" w:hAnsi="Times New Roman" w:eastAsia="宋体" w:cs="Times New Roman"/>
                <w:b w:val="0"/>
                <w:bCs w:val="0"/>
                <w:color w:val="000000"/>
                <w:spacing w:val="0"/>
                <w:w w:val="100"/>
                <w:kern w:val="0"/>
                <w:position w:val="0"/>
                <w:sz w:val="21"/>
                <w:szCs w:val="21"/>
                <w:lang w:val="en-US" w:eastAsia="zh-CN" w:bidi="ar-SA"/>
              </w:rPr>
              <w:t>2</w:t>
            </w:r>
            <w:r>
              <w:rPr>
                <w:rFonts w:hint="default" w:ascii="Times New Roman" w:hAnsi="Times New Roman" w:eastAsia="宋体" w:cs="Times New Roman"/>
                <w:b w:val="0"/>
                <w:bCs w:val="0"/>
                <w:color w:val="000000"/>
                <w:spacing w:val="0"/>
                <w:w w:val="100"/>
                <w:kern w:val="0"/>
                <w:position w:val="0"/>
                <w:sz w:val="21"/>
                <w:szCs w:val="21"/>
                <w:lang w:val="en-US" w:eastAsia="zh-CN" w:bidi="ar-SA"/>
              </w:rPr>
              <w:t>）排放（排气筒出口距离地面高度</w:t>
            </w:r>
            <w:r>
              <w:rPr>
                <w:rFonts w:hint="eastAsia" w:ascii="Times New Roman" w:hAnsi="Times New Roman" w:eastAsia="宋体" w:cs="Times New Roman"/>
                <w:b w:val="0"/>
                <w:bCs w:val="0"/>
                <w:color w:val="000000"/>
                <w:spacing w:val="0"/>
                <w:w w:val="100"/>
                <w:kern w:val="0"/>
                <w:position w:val="0"/>
                <w:sz w:val="21"/>
                <w:szCs w:val="21"/>
                <w:lang w:val="en-US" w:eastAsia="zh-CN" w:bidi="ar-SA"/>
              </w:rPr>
              <w:t>20</w:t>
            </w:r>
            <w:r>
              <w:rPr>
                <w:rFonts w:hint="default" w:ascii="Times New Roman" w:hAnsi="Times New Roman" w:eastAsia="宋体" w:cs="Times New Roman"/>
                <w:b w:val="0"/>
                <w:bCs w:val="0"/>
                <w:color w:val="000000"/>
                <w:spacing w:val="0"/>
                <w:w w:val="100"/>
                <w:kern w:val="0"/>
                <w:position w:val="0"/>
                <w:sz w:val="21"/>
                <w:szCs w:val="21"/>
                <w:lang w:val="en-US" w:eastAsia="zh-CN" w:bidi="ar-SA"/>
              </w:rPr>
              <w:t>m</w:t>
            </w:r>
            <w:r>
              <w:rPr>
                <w:rFonts w:hint="eastAsia" w:ascii="Times New Roman" w:hAnsi="Times New Roman" w:eastAsia="宋体" w:cs="Times New Roman"/>
                <w:b w:val="0"/>
                <w:bCs w:val="0"/>
                <w:color w:val="000000"/>
                <w:spacing w:val="0"/>
                <w:w w:val="100"/>
                <w:kern w:val="0"/>
                <w:position w:val="0"/>
                <w:sz w:val="21"/>
                <w:szCs w:val="21"/>
                <w:lang w:val="en-US" w:eastAsia="zh-CN" w:bidi="ar-SA"/>
              </w:rPr>
              <w:t>，排气筒高于楼层5米</w:t>
            </w:r>
            <w:r>
              <w:rPr>
                <w:rFonts w:hint="default" w:ascii="Times New Roman" w:hAnsi="Times New Roman" w:eastAsia="宋体" w:cs="Times New Roman"/>
                <w:b w:val="0"/>
                <w:bCs w:val="0"/>
                <w:color w:val="000000"/>
                <w:spacing w:val="0"/>
                <w:w w:val="100"/>
                <w:kern w:val="0"/>
                <w:position w:val="0"/>
                <w:sz w:val="21"/>
                <w:szCs w:val="21"/>
                <w:lang w:val="en-US" w:eastAsia="zh-CN" w:bidi="ar-SA"/>
              </w:rPr>
              <w:t>)</w:t>
            </w:r>
            <w:r>
              <w:rPr>
                <w:rFonts w:hint="eastAsia" w:ascii="Times New Roman" w:hAnsi="Times New Roman" w:eastAsia="宋体" w:cs="Times New Roman"/>
                <w:b w:val="0"/>
                <w:bCs w:val="0"/>
                <w:color w:val="000000"/>
                <w:spacing w:val="0"/>
                <w:w w:val="100"/>
                <w:kern w:val="0"/>
                <w:position w:val="0"/>
                <w:sz w:val="21"/>
                <w:szCs w:val="21"/>
                <w:lang w:val="en-US" w:eastAsia="zh-CN" w:bidi="ar-SA"/>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废水</w:t>
            </w:r>
          </w:p>
        </w:tc>
        <w:tc>
          <w:tcPr>
            <w:tcW w:w="7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W</w:t>
            </w:r>
            <w:r>
              <w:rPr>
                <w:rFonts w:hint="eastAsia" w:ascii="Times New Roman" w:hAnsi="Times New Roman" w:eastAsia="宋体" w:cs="Times New Roman"/>
                <w:color w:val="auto"/>
                <w:kern w:val="0"/>
                <w:sz w:val="21"/>
                <w:szCs w:val="21"/>
                <w:lang w:val="en-US" w:eastAsia="zh-CN" w:bidi="ar-SA"/>
              </w:rPr>
              <w:t>1</w:t>
            </w:r>
            <w:r>
              <w:rPr>
                <w:rFonts w:hint="default" w:ascii="Times New Roman" w:hAnsi="Times New Roman" w:eastAsia="宋体" w:cs="Times New Roman"/>
                <w:color w:val="auto"/>
                <w:kern w:val="0"/>
                <w:sz w:val="21"/>
                <w:szCs w:val="21"/>
                <w:lang w:val="en-US" w:eastAsia="zh-CN" w:bidi="ar-SA"/>
              </w:rPr>
              <w:t>-1</w:t>
            </w:r>
            <w:r>
              <w:rPr>
                <w:rFonts w:hint="eastAsia" w:ascii="Times New Roman" w:hAnsi="Times New Roman" w:eastAsia="宋体" w:cs="Times New Roman"/>
                <w:color w:val="auto"/>
                <w:kern w:val="0"/>
                <w:sz w:val="21"/>
                <w:szCs w:val="21"/>
                <w:lang w:val="en-US" w:eastAsia="zh-CN" w:bidi="ar-SA"/>
              </w:rPr>
              <w:t>、</w:t>
            </w:r>
            <w:r>
              <w:rPr>
                <w:rFonts w:hint="default" w:ascii="Times New Roman" w:hAnsi="Times New Roman" w:eastAsia="宋体" w:cs="Times New Roman"/>
                <w:color w:val="auto"/>
                <w:kern w:val="0"/>
                <w:sz w:val="21"/>
                <w:szCs w:val="21"/>
                <w:lang w:val="en-US" w:eastAsia="zh-CN" w:bidi="ar-SA"/>
              </w:rPr>
              <w:t>W</w:t>
            </w:r>
            <w:r>
              <w:rPr>
                <w:rFonts w:hint="eastAsia" w:ascii="Times New Roman" w:hAnsi="Times New Roman" w:eastAsia="宋体" w:cs="Times New Roman"/>
                <w:color w:val="auto"/>
                <w:kern w:val="0"/>
                <w:sz w:val="21"/>
                <w:szCs w:val="21"/>
                <w:lang w:val="en-US" w:eastAsia="zh-CN" w:bidi="ar-SA"/>
              </w:rPr>
              <w:t>2</w:t>
            </w:r>
            <w:r>
              <w:rPr>
                <w:rFonts w:hint="default" w:ascii="Times New Roman" w:hAnsi="Times New Roman" w:eastAsia="宋体" w:cs="Times New Roman"/>
                <w:color w:val="auto"/>
                <w:kern w:val="0"/>
                <w:sz w:val="21"/>
                <w:szCs w:val="21"/>
                <w:lang w:val="en-US" w:eastAsia="zh-CN" w:bidi="ar-SA"/>
              </w:rPr>
              <w:t>-1</w:t>
            </w:r>
            <w:r>
              <w:rPr>
                <w:rFonts w:hint="eastAsia" w:ascii="Times New Roman" w:hAnsi="Times New Roman" w:eastAsia="宋体" w:cs="Times New Roman"/>
                <w:color w:val="auto"/>
                <w:kern w:val="0"/>
                <w:sz w:val="21"/>
                <w:szCs w:val="21"/>
                <w:lang w:val="en-US" w:eastAsia="zh-CN" w:bidi="ar-SA"/>
              </w:rPr>
              <w:t>、</w:t>
            </w:r>
            <w:r>
              <w:rPr>
                <w:rFonts w:hint="default" w:ascii="Times New Roman" w:hAnsi="Times New Roman" w:eastAsia="宋体" w:cs="Times New Roman"/>
                <w:color w:val="auto"/>
                <w:kern w:val="0"/>
                <w:sz w:val="21"/>
                <w:szCs w:val="21"/>
                <w:lang w:val="en-US" w:eastAsia="zh-CN" w:bidi="ar-SA"/>
              </w:rPr>
              <w:t>W</w:t>
            </w:r>
            <w:r>
              <w:rPr>
                <w:rFonts w:hint="eastAsia" w:ascii="Times New Roman" w:hAnsi="Times New Roman" w:eastAsia="宋体" w:cs="Times New Roman"/>
                <w:color w:val="auto"/>
                <w:kern w:val="0"/>
                <w:sz w:val="21"/>
                <w:szCs w:val="21"/>
                <w:lang w:val="en-US" w:eastAsia="zh-CN" w:bidi="ar-SA"/>
              </w:rPr>
              <w:t>2</w:t>
            </w:r>
            <w:r>
              <w:rPr>
                <w:rFonts w:hint="default" w:ascii="Times New Roman" w:hAnsi="Times New Roman" w:eastAsia="宋体" w:cs="Times New Roman"/>
                <w:color w:val="auto"/>
                <w:kern w:val="0"/>
                <w:sz w:val="21"/>
                <w:szCs w:val="21"/>
                <w:lang w:val="en-US" w:eastAsia="zh-CN" w:bidi="ar-SA"/>
              </w:rPr>
              <w:t>-</w:t>
            </w:r>
            <w:r>
              <w:rPr>
                <w:rFonts w:hint="eastAsia" w:ascii="Times New Roman" w:hAnsi="Times New Roman" w:eastAsia="宋体" w:cs="Times New Roman"/>
                <w:color w:val="auto"/>
                <w:kern w:val="0"/>
                <w:sz w:val="21"/>
                <w:szCs w:val="21"/>
                <w:lang w:val="en-US" w:eastAsia="zh-CN" w:bidi="ar-SA"/>
              </w:rPr>
              <w:t>2、</w:t>
            </w:r>
            <w:r>
              <w:rPr>
                <w:rFonts w:hint="default" w:ascii="Times New Roman" w:hAnsi="Times New Roman" w:eastAsia="宋体" w:cs="Times New Roman"/>
                <w:color w:val="auto"/>
                <w:kern w:val="0"/>
                <w:sz w:val="21"/>
                <w:szCs w:val="21"/>
                <w:lang w:val="en-US" w:eastAsia="zh-CN" w:bidi="ar-SA"/>
              </w:rPr>
              <w:t>W</w:t>
            </w:r>
            <w:r>
              <w:rPr>
                <w:rFonts w:hint="eastAsia" w:ascii="Times New Roman" w:hAnsi="Times New Roman" w:eastAsia="宋体" w:cs="Times New Roman"/>
                <w:color w:val="auto"/>
                <w:kern w:val="0"/>
                <w:sz w:val="21"/>
                <w:szCs w:val="21"/>
                <w:lang w:val="en-US" w:eastAsia="zh-CN" w:bidi="ar-SA"/>
              </w:rPr>
              <w:t>2</w:t>
            </w:r>
            <w:r>
              <w:rPr>
                <w:rFonts w:hint="default" w:ascii="Times New Roman" w:hAnsi="Times New Roman" w:eastAsia="宋体" w:cs="Times New Roman"/>
                <w:color w:val="auto"/>
                <w:kern w:val="0"/>
                <w:sz w:val="21"/>
                <w:szCs w:val="21"/>
                <w:lang w:val="en-US" w:eastAsia="zh-CN" w:bidi="ar-SA"/>
              </w:rPr>
              <w:t>-</w:t>
            </w:r>
            <w:r>
              <w:rPr>
                <w:rFonts w:hint="eastAsia" w:ascii="Times New Roman" w:hAnsi="Times New Roman" w:eastAsia="宋体" w:cs="Times New Roman"/>
                <w:color w:val="auto"/>
                <w:kern w:val="0"/>
                <w:sz w:val="21"/>
                <w:szCs w:val="21"/>
                <w:lang w:val="en-US" w:eastAsia="zh-CN" w:bidi="ar-SA"/>
              </w:rPr>
              <w:t>3</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包装容器清洗</w:t>
            </w:r>
            <w:r>
              <w:rPr>
                <w:rFonts w:hint="default" w:ascii="Times New Roman" w:hAnsi="Times New Roman" w:eastAsia="宋体" w:cs="Times New Roman"/>
                <w:color w:val="auto"/>
                <w:kern w:val="0"/>
                <w:sz w:val="21"/>
                <w:szCs w:val="21"/>
                <w:lang w:val="en-US" w:eastAsia="zh-CN" w:bidi="ar-SA"/>
              </w:rPr>
              <w:t>废水</w:t>
            </w:r>
          </w:p>
        </w:tc>
        <w:tc>
          <w:tcPr>
            <w:tcW w:w="111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COD、BOD</w:t>
            </w:r>
            <w:r>
              <w:rPr>
                <w:rFonts w:hint="eastAsia" w:ascii="Times New Roman" w:hAnsi="Times New Roman" w:eastAsia="宋体" w:cs="Times New Roman"/>
                <w:color w:val="000000"/>
                <w:kern w:val="0"/>
                <w:sz w:val="21"/>
                <w:szCs w:val="21"/>
                <w:vertAlign w:val="subscript"/>
                <w:lang w:val="en-US" w:eastAsia="zh-CN" w:bidi="ar-SA"/>
              </w:rPr>
              <w:t>5</w:t>
            </w:r>
            <w:r>
              <w:rPr>
                <w:rFonts w:hint="eastAsia" w:ascii="Times New Roman" w:hAnsi="Times New Roman" w:eastAsia="宋体" w:cs="Times New Roman"/>
                <w:color w:val="000000"/>
                <w:kern w:val="0"/>
                <w:sz w:val="21"/>
                <w:szCs w:val="21"/>
                <w:lang w:val="en-US" w:eastAsia="zh-CN" w:bidi="ar-SA"/>
              </w:rPr>
              <w:t>、SS、氨氮</w:t>
            </w:r>
          </w:p>
        </w:tc>
        <w:tc>
          <w:tcPr>
            <w:tcW w:w="1894"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进入厂区污水处理站</w:t>
            </w:r>
            <w:r>
              <w:rPr>
                <w:rFonts w:hint="eastAsia" w:ascii="Times New Roman" w:hAnsi="Times New Roman" w:eastAsia="宋体" w:cs="Times New Roman"/>
                <w:kern w:val="0"/>
                <w:sz w:val="21"/>
                <w:szCs w:val="21"/>
                <w:lang w:val="en-US" w:eastAsia="zh-CN" w:bidi="ar-SA"/>
              </w:rPr>
              <w:t>处理达标后，</w:t>
            </w:r>
            <w:r>
              <w:rPr>
                <w:rFonts w:hint="default" w:ascii="Times New Roman" w:hAnsi="Times New Roman" w:eastAsia="宋体" w:cs="Times New Roman"/>
                <w:kern w:val="0"/>
                <w:sz w:val="21"/>
                <w:szCs w:val="21"/>
                <w:lang w:val="en-US" w:eastAsia="zh-CN" w:bidi="ar-SA"/>
              </w:rPr>
              <w:t>通过市政污水管网排入</w:t>
            </w:r>
            <w:r>
              <w:rPr>
                <w:rFonts w:hint="eastAsia" w:ascii="Times New Roman" w:hAnsi="Times New Roman" w:eastAsia="宋体" w:cs="Times New Roman"/>
                <w:kern w:val="0"/>
                <w:sz w:val="21"/>
                <w:szCs w:val="21"/>
                <w:lang w:val="en-US" w:eastAsia="zh-CN" w:bidi="ar-SA"/>
              </w:rPr>
              <w:t>菏泽众兴牡丹水环境有限公司污水处理厂</w:t>
            </w:r>
            <w:r>
              <w:rPr>
                <w:rFonts w:hint="default" w:ascii="Times New Roman" w:hAnsi="Times New Roman" w:eastAsia="宋体" w:cs="Times New Roman"/>
                <w:kern w:val="0"/>
                <w:sz w:val="21"/>
                <w:szCs w:val="21"/>
                <w:lang w:val="en-US" w:eastAsia="zh-CN" w:bidi="ar-SA"/>
              </w:rPr>
              <w:t>进行深度处理</w:t>
            </w:r>
            <w:r>
              <w:rPr>
                <w:rFonts w:hint="eastAsia" w:ascii="Times New Roman" w:hAnsi="Times New Roman" w:eastAsia="宋体" w:cs="Times New Roman"/>
                <w:kern w:val="0"/>
                <w:sz w:val="21"/>
                <w:szCs w:val="21"/>
                <w:lang w:val="en-US" w:eastAsia="zh-CN" w:bidi="ar-SA"/>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before="0" w:after="0" w:line="240" w:lineRule="auto"/>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擦拭、冲洗</w:t>
            </w:r>
            <w:r>
              <w:rPr>
                <w:rFonts w:hint="default" w:ascii="Times New Roman" w:hAnsi="Times New Roman" w:eastAsia="宋体" w:cs="Times New Roman"/>
                <w:color w:val="auto"/>
                <w:kern w:val="0"/>
                <w:sz w:val="21"/>
                <w:szCs w:val="21"/>
                <w:lang w:val="en-US" w:eastAsia="zh-CN" w:bidi="ar-SA"/>
              </w:rPr>
              <w:t>废水</w:t>
            </w:r>
          </w:p>
        </w:tc>
        <w:tc>
          <w:tcPr>
            <w:tcW w:w="1118"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after="0" w:line="240" w:lineRule="auto"/>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sz w:val="21"/>
                <w:szCs w:val="21"/>
              </w:rPr>
              <w:t>COD、BOD</w:t>
            </w:r>
            <w:r>
              <w:rPr>
                <w:rFonts w:hint="eastAsia" w:ascii="Times New Roman" w:hAnsi="Times New Roman" w:eastAsia="宋体" w:cs="Times New Roman"/>
                <w:color w:val="000000"/>
                <w:sz w:val="21"/>
                <w:szCs w:val="21"/>
                <w:vertAlign w:val="subscript"/>
              </w:rPr>
              <w:t>5</w:t>
            </w:r>
            <w:r>
              <w:rPr>
                <w:rFonts w:hint="eastAsia" w:ascii="Times New Roman" w:hAnsi="Times New Roman" w:eastAsia="宋体" w:cs="Times New Roman"/>
                <w:color w:val="000000"/>
                <w:sz w:val="21"/>
                <w:szCs w:val="21"/>
              </w:rPr>
              <w:t>、SS</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lang w:val="en-US" w:eastAsia="zh-CN"/>
              </w:rPr>
              <w:t>氨氮、全盐量</w:t>
            </w:r>
          </w:p>
        </w:tc>
        <w:tc>
          <w:tcPr>
            <w:tcW w:w="189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before="0" w:after="0" w:line="240" w:lineRule="auto"/>
              <w:ind w:right="0"/>
              <w:jc w:val="center"/>
              <w:textAlignment w:val="auto"/>
              <w:rPr>
                <w:rFonts w:hint="default" w:ascii="Times New Roman" w:hAnsi="Times New Roman" w:eastAsia="宋体" w:cs="Times New Roman"/>
                <w:sz w:val="21"/>
                <w:szCs w:val="21"/>
                <w:lang w:val="en-US"/>
              </w:rPr>
            </w:pPr>
            <w:r>
              <w:rPr>
                <w:rFonts w:hint="eastAsia" w:ascii="Times New Roman" w:hAnsi="Times New Roman" w:eastAsia="宋体" w:cs="Times New Roman"/>
                <w:sz w:val="21"/>
                <w:szCs w:val="21"/>
                <w:lang w:val="en-US" w:eastAsia="zh-CN"/>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
              </w:rPr>
              <w:t>纯化水制备浓水</w:t>
            </w:r>
          </w:p>
        </w:tc>
        <w:tc>
          <w:tcPr>
            <w:tcW w:w="1118"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after="0" w:line="240" w:lineRule="auto"/>
              <w:ind w:right="0"/>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color w:val="000000"/>
                <w:sz w:val="21"/>
                <w:szCs w:val="21"/>
              </w:rPr>
              <w:t>COD、</w:t>
            </w:r>
            <w:r>
              <w:rPr>
                <w:rFonts w:hint="eastAsia" w:ascii="Times New Roman" w:hAnsi="Times New Roman" w:eastAsia="宋体" w:cs="Times New Roman"/>
                <w:color w:val="000000"/>
                <w:sz w:val="21"/>
                <w:szCs w:val="21"/>
                <w:lang w:val="en-US" w:eastAsia="zh-CN"/>
              </w:rPr>
              <w:t>全盐量</w:t>
            </w:r>
          </w:p>
        </w:tc>
        <w:tc>
          <w:tcPr>
            <w:tcW w:w="189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before="0" w:after="0" w:line="240" w:lineRule="auto"/>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color w:val="auto"/>
                <w:kern w:val="0"/>
                <w:sz w:val="21"/>
                <w:szCs w:val="21"/>
                <w:highlight w:val="none"/>
                <w:lang w:val="en-US" w:eastAsia="zh-CN" w:bidi="ar"/>
              </w:rPr>
              <w:t>注射水制备浓水</w:t>
            </w:r>
          </w:p>
        </w:tc>
        <w:tc>
          <w:tcPr>
            <w:tcW w:w="1118"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after="0" w:line="240" w:lineRule="auto"/>
              <w:ind w:right="0"/>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color w:val="000000"/>
                <w:sz w:val="21"/>
                <w:szCs w:val="21"/>
              </w:rPr>
              <w:t>COD、</w:t>
            </w:r>
            <w:r>
              <w:rPr>
                <w:rFonts w:hint="eastAsia" w:ascii="Times New Roman" w:hAnsi="Times New Roman" w:eastAsia="宋体" w:cs="Times New Roman"/>
                <w:color w:val="000000"/>
                <w:sz w:val="21"/>
                <w:szCs w:val="21"/>
                <w:lang w:val="en-US" w:eastAsia="zh-CN"/>
              </w:rPr>
              <w:t>全盐量</w:t>
            </w:r>
          </w:p>
        </w:tc>
        <w:tc>
          <w:tcPr>
            <w:tcW w:w="189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before="0" w:after="0" w:line="240" w:lineRule="auto"/>
              <w:ind w:right="0"/>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000000"/>
                <w:kern w:val="0"/>
                <w:sz w:val="21"/>
                <w:szCs w:val="21"/>
                <w:lang w:val="en-US" w:eastAsia="zh-CN" w:bidi="ar-SA"/>
              </w:rPr>
              <w:t>循环</w:t>
            </w:r>
            <w:r>
              <w:rPr>
                <w:rFonts w:ascii="Times New Roman" w:hAnsi="Times New Roman" w:eastAsia="宋体" w:cs="Times New Roman"/>
                <w:color w:val="000000"/>
                <w:kern w:val="0"/>
                <w:sz w:val="21"/>
                <w:szCs w:val="21"/>
                <w:lang w:val="en-US" w:eastAsia="zh-CN" w:bidi="ar-SA"/>
              </w:rPr>
              <w:t>冷却</w:t>
            </w:r>
            <w:r>
              <w:rPr>
                <w:rFonts w:hint="eastAsia" w:ascii="Times New Roman" w:hAnsi="Times New Roman" w:eastAsia="宋体" w:cs="Times New Roman"/>
                <w:color w:val="000000"/>
                <w:kern w:val="0"/>
                <w:sz w:val="21"/>
                <w:szCs w:val="21"/>
                <w:lang w:val="en-US" w:eastAsia="zh-CN" w:bidi="ar-SA"/>
              </w:rPr>
              <w:t>废</w:t>
            </w:r>
            <w:r>
              <w:rPr>
                <w:rFonts w:ascii="Times New Roman" w:hAnsi="Times New Roman" w:eastAsia="宋体" w:cs="Times New Roman"/>
                <w:color w:val="000000"/>
                <w:kern w:val="0"/>
                <w:sz w:val="21"/>
                <w:szCs w:val="21"/>
                <w:lang w:val="en-US" w:eastAsia="zh-CN" w:bidi="ar-SA"/>
              </w:rPr>
              <w:t>水</w:t>
            </w:r>
          </w:p>
        </w:tc>
        <w:tc>
          <w:tcPr>
            <w:tcW w:w="1118"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after="0" w:line="240" w:lineRule="auto"/>
              <w:ind w:right="0"/>
              <w:jc w:val="center"/>
              <w:textAlignment w:val="auto"/>
              <w:rPr>
                <w:rFonts w:hint="eastAsia"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COD、BOD</w:t>
            </w:r>
            <w:r>
              <w:rPr>
                <w:rFonts w:hint="eastAsia" w:ascii="Times New Roman" w:hAnsi="Times New Roman" w:eastAsia="宋体" w:cs="Times New Roman"/>
                <w:color w:val="000000"/>
                <w:sz w:val="21"/>
                <w:szCs w:val="21"/>
                <w:vertAlign w:val="subscript"/>
              </w:rPr>
              <w:t>5</w:t>
            </w:r>
            <w:r>
              <w:rPr>
                <w:rFonts w:hint="eastAsia" w:ascii="Times New Roman" w:hAnsi="Times New Roman" w:eastAsia="宋体" w:cs="Times New Roman"/>
                <w:color w:val="000000"/>
                <w:sz w:val="21"/>
                <w:szCs w:val="21"/>
              </w:rPr>
              <w:t>、SS</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lang w:val="en-US" w:eastAsia="zh-CN"/>
              </w:rPr>
              <w:t>氨氮、全盐量</w:t>
            </w:r>
          </w:p>
        </w:tc>
        <w:tc>
          <w:tcPr>
            <w:tcW w:w="189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before="0" w:after="0" w:line="240" w:lineRule="auto"/>
              <w:ind w:right="0"/>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水浴灭菌箱废水</w:t>
            </w:r>
          </w:p>
        </w:tc>
        <w:tc>
          <w:tcPr>
            <w:tcW w:w="1118"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after="0" w:line="240" w:lineRule="auto"/>
              <w:ind w:right="0"/>
              <w:jc w:val="center"/>
              <w:textAlignment w:val="auto"/>
              <w:rPr>
                <w:rFonts w:hint="eastAsia"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COD、BOD</w:t>
            </w:r>
            <w:r>
              <w:rPr>
                <w:rFonts w:hint="eastAsia" w:ascii="Times New Roman" w:hAnsi="Times New Roman" w:eastAsia="宋体" w:cs="Times New Roman"/>
                <w:color w:val="000000"/>
                <w:sz w:val="21"/>
                <w:szCs w:val="21"/>
                <w:vertAlign w:val="subscript"/>
              </w:rPr>
              <w:t>5</w:t>
            </w:r>
            <w:r>
              <w:rPr>
                <w:rFonts w:hint="eastAsia" w:ascii="Times New Roman" w:hAnsi="Times New Roman" w:eastAsia="宋体" w:cs="Times New Roman"/>
                <w:color w:val="000000"/>
                <w:sz w:val="21"/>
                <w:szCs w:val="21"/>
              </w:rPr>
              <w:t>、SS</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lang w:val="en-US" w:eastAsia="zh-CN"/>
              </w:rPr>
              <w:t>氨氮、全盐量</w:t>
            </w:r>
          </w:p>
        </w:tc>
        <w:tc>
          <w:tcPr>
            <w:tcW w:w="189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before="0" w:after="0" w:line="240" w:lineRule="auto"/>
              <w:ind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000000"/>
                <w:kern w:val="0"/>
                <w:sz w:val="21"/>
                <w:szCs w:val="21"/>
                <w:lang w:val="en-US" w:eastAsia="zh-CN" w:bidi="ar-SA"/>
              </w:rPr>
              <w:t>化验中心废水</w:t>
            </w:r>
          </w:p>
        </w:tc>
        <w:tc>
          <w:tcPr>
            <w:tcW w:w="1118"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after="0" w:line="240" w:lineRule="auto"/>
              <w:ind w:right="0" w:rightChars="0"/>
              <w:jc w:val="center"/>
              <w:textAlignment w:val="auto"/>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COD、BOD</w:t>
            </w:r>
            <w:r>
              <w:rPr>
                <w:rFonts w:hint="eastAsia" w:ascii="Times New Roman" w:hAnsi="Times New Roman" w:eastAsia="宋体" w:cs="Times New Roman"/>
                <w:color w:val="000000"/>
                <w:sz w:val="21"/>
                <w:szCs w:val="21"/>
                <w:vertAlign w:val="subscript"/>
              </w:rPr>
              <w:t>5</w:t>
            </w:r>
            <w:r>
              <w:rPr>
                <w:rFonts w:hint="eastAsia" w:ascii="Times New Roman" w:hAnsi="Times New Roman" w:eastAsia="宋体" w:cs="Times New Roman"/>
                <w:color w:val="000000"/>
                <w:sz w:val="21"/>
                <w:szCs w:val="21"/>
              </w:rPr>
              <w:t>、SS</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lang w:val="en-US" w:eastAsia="zh-CN"/>
              </w:rPr>
              <w:t>氨氮、全盐量</w:t>
            </w:r>
          </w:p>
        </w:tc>
        <w:tc>
          <w:tcPr>
            <w:tcW w:w="1894"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before="0" w:after="0" w:line="240" w:lineRule="auto"/>
              <w:ind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000000"/>
                <w:kern w:val="0"/>
                <w:sz w:val="21"/>
                <w:szCs w:val="21"/>
                <w:lang w:val="en-US" w:eastAsia="zh-CN" w:bidi="ar-SA"/>
              </w:rPr>
            </w:pPr>
            <w:r>
              <w:rPr>
                <w:rFonts w:hint="eastAsia" w:ascii="Times New Roman" w:hAnsi="Times New Roman" w:eastAsia="宋体" w:cs="Times New Roman"/>
                <w:kern w:val="0"/>
                <w:sz w:val="24"/>
                <w:szCs w:val="24"/>
                <w:lang w:val="en-US" w:eastAsia="zh-CN" w:bidi="ar-SA"/>
              </w:rPr>
              <w:t>化验中心第一次清洗废水</w:t>
            </w:r>
          </w:p>
        </w:tc>
        <w:tc>
          <w:tcPr>
            <w:tcW w:w="1118"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after="0" w:line="240" w:lineRule="auto"/>
              <w:ind w:right="0"/>
              <w:jc w:val="center"/>
              <w:textAlignment w:val="auto"/>
              <w:rPr>
                <w:rFonts w:hint="eastAsia"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COD、BOD</w:t>
            </w:r>
            <w:r>
              <w:rPr>
                <w:rFonts w:hint="eastAsia" w:ascii="Times New Roman" w:hAnsi="Times New Roman" w:eastAsia="宋体" w:cs="Times New Roman"/>
                <w:color w:val="000000"/>
                <w:sz w:val="21"/>
                <w:szCs w:val="21"/>
                <w:vertAlign w:val="subscript"/>
              </w:rPr>
              <w:t>5</w:t>
            </w:r>
            <w:r>
              <w:rPr>
                <w:rFonts w:hint="eastAsia" w:ascii="Times New Roman" w:hAnsi="Times New Roman" w:eastAsia="宋体" w:cs="Times New Roman"/>
                <w:color w:val="000000"/>
                <w:sz w:val="21"/>
                <w:szCs w:val="21"/>
              </w:rPr>
              <w:t>、SS</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lang w:val="en-US" w:eastAsia="zh-CN"/>
              </w:rPr>
              <w:t>氨氮、全盐量</w:t>
            </w:r>
          </w:p>
        </w:tc>
        <w:tc>
          <w:tcPr>
            <w:tcW w:w="189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化验中心第一次清洗废水作为危废，委托有资质单位进行处置。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before="0" w:after="0" w:line="240" w:lineRule="auto"/>
              <w:ind w:right="0" w:right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生活污水</w:t>
            </w:r>
          </w:p>
        </w:tc>
        <w:tc>
          <w:tcPr>
            <w:tcW w:w="1118"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after="0" w:line="240" w:lineRule="auto"/>
              <w:ind w:right="0" w:right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color w:val="000000"/>
                <w:sz w:val="21"/>
                <w:szCs w:val="21"/>
              </w:rPr>
              <w:t>COD、BOD</w:t>
            </w:r>
            <w:r>
              <w:rPr>
                <w:rFonts w:hint="eastAsia" w:ascii="Times New Roman" w:hAnsi="Times New Roman" w:eastAsia="宋体" w:cs="Times New Roman"/>
                <w:color w:val="000000"/>
                <w:sz w:val="21"/>
                <w:szCs w:val="21"/>
                <w:vertAlign w:val="subscript"/>
              </w:rPr>
              <w:t>5</w:t>
            </w:r>
            <w:r>
              <w:rPr>
                <w:rFonts w:hint="eastAsia" w:ascii="Times New Roman" w:hAnsi="Times New Roman" w:eastAsia="宋体" w:cs="Times New Roman"/>
                <w:color w:val="000000"/>
                <w:sz w:val="21"/>
                <w:szCs w:val="21"/>
              </w:rPr>
              <w:t>、SS</w:t>
            </w:r>
            <w:r>
              <w:rPr>
                <w:rFonts w:hint="eastAsia" w:ascii="Times New Roman" w:hAnsi="Times New Roman" w:eastAsia="宋体" w:cs="Times New Roman"/>
                <w:color w:val="000000"/>
                <w:sz w:val="21"/>
                <w:szCs w:val="21"/>
                <w:lang w:eastAsia="zh-CN"/>
              </w:rPr>
              <w:t>、</w:t>
            </w:r>
            <w:r>
              <w:rPr>
                <w:rFonts w:hint="eastAsia" w:ascii="Times New Roman" w:hAnsi="Times New Roman" w:eastAsia="宋体" w:cs="Times New Roman"/>
                <w:color w:val="000000"/>
                <w:sz w:val="21"/>
                <w:szCs w:val="21"/>
                <w:lang w:val="en-US" w:eastAsia="zh-CN"/>
              </w:rPr>
              <w:t>氨氮、全盐量</w:t>
            </w:r>
          </w:p>
        </w:tc>
        <w:tc>
          <w:tcPr>
            <w:tcW w:w="189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生活污水经化粪池预处理后，定期掏运用作农肥，不外排。</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固废</w:t>
            </w:r>
          </w:p>
        </w:tc>
        <w:tc>
          <w:tcPr>
            <w:tcW w:w="7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S</w:t>
            </w:r>
            <w:r>
              <w:rPr>
                <w:rFonts w:hint="eastAsia" w:ascii="Times New Roman" w:hAnsi="Times New Roman" w:eastAsia="宋体" w:cs="Times New Roman"/>
                <w:color w:val="auto"/>
                <w:kern w:val="0"/>
                <w:sz w:val="21"/>
                <w:szCs w:val="21"/>
                <w:lang w:val="en-US" w:eastAsia="zh-CN" w:bidi="ar-SA"/>
              </w:rPr>
              <w:t>1</w:t>
            </w:r>
            <w:r>
              <w:rPr>
                <w:rFonts w:hint="default" w:ascii="Times New Roman" w:hAnsi="Times New Roman" w:eastAsia="宋体" w:cs="Times New Roman"/>
                <w:color w:val="auto"/>
                <w:kern w:val="0"/>
                <w:sz w:val="21"/>
                <w:szCs w:val="21"/>
                <w:lang w:val="en-US" w:eastAsia="zh-CN" w:bidi="ar-SA"/>
              </w:rPr>
              <w:t>-1</w:t>
            </w:r>
            <w:r>
              <w:rPr>
                <w:rFonts w:hint="eastAsia" w:ascii="Times New Roman" w:hAnsi="Times New Roman" w:eastAsia="宋体" w:cs="Times New Roman"/>
                <w:color w:val="auto"/>
                <w:kern w:val="0"/>
                <w:sz w:val="21"/>
                <w:szCs w:val="21"/>
                <w:lang w:val="en-US" w:eastAsia="zh-CN" w:bidi="ar-SA"/>
              </w:rPr>
              <w:t>、</w:t>
            </w:r>
            <w:r>
              <w:rPr>
                <w:rFonts w:hint="default" w:ascii="Times New Roman" w:hAnsi="Times New Roman" w:eastAsia="宋体" w:cs="Times New Roman"/>
                <w:color w:val="auto"/>
                <w:kern w:val="0"/>
                <w:sz w:val="21"/>
                <w:szCs w:val="21"/>
                <w:lang w:val="en-US" w:eastAsia="zh-CN" w:bidi="ar-SA"/>
              </w:rPr>
              <w:t>S</w:t>
            </w:r>
            <w:r>
              <w:rPr>
                <w:rFonts w:hint="eastAsia" w:ascii="Times New Roman" w:hAnsi="Times New Roman" w:eastAsia="宋体" w:cs="Times New Roman"/>
                <w:color w:val="auto"/>
                <w:kern w:val="0"/>
                <w:sz w:val="21"/>
                <w:szCs w:val="21"/>
                <w:lang w:val="en-US" w:eastAsia="zh-CN" w:bidi="ar-SA"/>
              </w:rPr>
              <w:t>2</w:t>
            </w:r>
            <w:r>
              <w:rPr>
                <w:rFonts w:hint="default" w:ascii="Times New Roman" w:hAnsi="Times New Roman" w:eastAsia="宋体" w:cs="Times New Roman"/>
                <w:color w:val="auto"/>
                <w:kern w:val="0"/>
                <w:sz w:val="21"/>
                <w:szCs w:val="21"/>
                <w:lang w:val="en-US" w:eastAsia="zh-CN" w:bidi="ar-SA"/>
              </w:rPr>
              <w:t>-1</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终端过滤</w:t>
            </w:r>
          </w:p>
        </w:tc>
        <w:tc>
          <w:tcPr>
            <w:tcW w:w="111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废活性炭滤芯</w:t>
            </w:r>
          </w:p>
        </w:tc>
        <w:tc>
          <w:tcPr>
            <w:tcW w:w="189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集中收集后，</w:t>
            </w:r>
            <w:r>
              <w:rPr>
                <w:rFonts w:hint="eastAsia" w:ascii="Times New Roman" w:hAnsi="Times New Roman" w:eastAsia="宋体" w:cs="Times New Roman"/>
                <w:kern w:val="0"/>
                <w:sz w:val="21"/>
                <w:szCs w:val="21"/>
                <w:lang w:val="en-US" w:eastAsia="zh-CN" w:bidi="ar-SA"/>
              </w:rPr>
              <w:t>暂存于危废暂存间内，</w:t>
            </w:r>
            <w:r>
              <w:rPr>
                <w:rFonts w:hint="default" w:ascii="Times New Roman" w:hAnsi="Times New Roman" w:eastAsia="宋体" w:cs="Times New Roman"/>
                <w:kern w:val="0"/>
                <w:sz w:val="21"/>
                <w:szCs w:val="21"/>
                <w:lang w:val="en-US" w:eastAsia="zh-CN" w:bidi="ar-SA"/>
              </w:rPr>
              <w:t>定期委托有资质单位处置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S2-2、S3-2</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检查</w:t>
            </w:r>
          </w:p>
        </w:tc>
        <w:tc>
          <w:tcPr>
            <w:tcW w:w="111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报废药品</w:t>
            </w:r>
          </w:p>
        </w:tc>
        <w:tc>
          <w:tcPr>
            <w:tcW w:w="189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both"/>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集中收集后，</w:t>
            </w:r>
            <w:r>
              <w:rPr>
                <w:rFonts w:hint="eastAsia" w:ascii="Times New Roman" w:hAnsi="Times New Roman" w:eastAsia="宋体" w:cs="Times New Roman"/>
                <w:kern w:val="0"/>
                <w:sz w:val="21"/>
                <w:szCs w:val="21"/>
                <w:lang w:val="en-US" w:eastAsia="zh-CN" w:bidi="ar-SA"/>
              </w:rPr>
              <w:t>暂存于危废暂存间内，</w:t>
            </w:r>
            <w:r>
              <w:rPr>
                <w:rFonts w:hint="default" w:ascii="Times New Roman" w:hAnsi="Times New Roman" w:eastAsia="宋体" w:cs="Times New Roman"/>
                <w:kern w:val="0"/>
                <w:sz w:val="21"/>
                <w:szCs w:val="21"/>
                <w:lang w:val="en-US" w:eastAsia="zh-CN" w:bidi="ar-SA"/>
              </w:rPr>
              <w:t>定期委托有资质单位处置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90"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原料包装</w:t>
            </w:r>
          </w:p>
        </w:tc>
        <w:tc>
          <w:tcPr>
            <w:tcW w:w="111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废外包材料</w:t>
            </w:r>
          </w:p>
        </w:tc>
        <w:tc>
          <w:tcPr>
            <w:tcW w:w="189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集中收集后，</w:t>
            </w:r>
            <w:r>
              <w:rPr>
                <w:rFonts w:hint="eastAsia" w:ascii="Times New Roman" w:hAnsi="Times New Roman" w:eastAsia="宋体" w:cs="Times New Roman"/>
                <w:kern w:val="0"/>
                <w:sz w:val="21"/>
                <w:szCs w:val="21"/>
                <w:lang w:val="en-US" w:eastAsia="zh-CN" w:bidi="ar-SA"/>
              </w:rPr>
              <w:t>外售废品回收站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before="0" w:after="0" w:line="240" w:lineRule="auto"/>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废气处理</w:t>
            </w:r>
          </w:p>
        </w:tc>
        <w:tc>
          <w:tcPr>
            <w:tcW w:w="111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废活性炭</w:t>
            </w:r>
          </w:p>
        </w:tc>
        <w:tc>
          <w:tcPr>
            <w:tcW w:w="189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集中收集后，</w:t>
            </w:r>
            <w:r>
              <w:rPr>
                <w:rFonts w:hint="eastAsia" w:ascii="Times New Roman" w:hAnsi="Times New Roman" w:eastAsia="宋体" w:cs="Times New Roman"/>
                <w:kern w:val="0"/>
                <w:sz w:val="21"/>
                <w:szCs w:val="21"/>
                <w:lang w:val="en-US" w:eastAsia="zh-CN" w:bidi="ar-SA"/>
              </w:rPr>
              <w:t>暂存于危废暂存间内，</w:t>
            </w:r>
            <w:r>
              <w:rPr>
                <w:rFonts w:hint="default" w:ascii="Times New Roman" w:hAnsi="Times New Roman" w:eastAsia="宋体" w:cs="Times New Roman"/>
                <w:kern w:val="0"/>
                <w:sz w:val="21"/>
                <w:szCs w:val="21"/>
                <w:lang w:val="en-US" w:eastAsia="zh-CN" w:bidi="ar-SA"/>
              </w:rPr>
              <w:t>定期委托有资质单位处置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before="0" w:after="0" w:line="240" w:lineRule="auto"/>
              <w:ind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废气处理</w:t>
            </w:r>
          </w:p>
        </w:tc>
        <w:tc>
          <w:tcPr>
            <w:tcW w:w="111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废空气滤芯</w:t>
            </w:r>
          </w:p>
        </w:tc>
        <w:tc>
          <w:tcPr>
            <w:tcW w:w="189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集中收集后，</w:t>
            </w:r>
            <w:r>
              <w:rPr>
                <w:rFonts w:hint="eastAsia" w:ascii="Times New Roman" w:hAnsi="Times New Roman" w:eastAsia="宋体" w:cs="Times New Roman"/>
                <w:kern w:val="0"/>
                <w:sz w:val="21"/>
                <w:szCs w:val="21"/>
                <w:lang w:val="en-US" w:eastAsia="zh-CN" w:bidi="ar-SA"/>
              </w:rPr>
              <w:t>暂存于危废暂存间内，</w:t>
            </w:r>
            <w:r>
              <w:rPr>
                <w:rFonts w:hint="default" w:ascii="Times New Roman" w:hAnsi="Times New Roman" w:eastAsia="宋体" w:cs="Times New Roman"/>
                <w:kern w:val="0"/>
                <w:sz w:val="21"/>
                <w:szCs w:val="21"/>
                <w:lang w:val="en-US" w:eastAsia="zh-CN" w:bidi="ar-SA"/>
              </w:rPr>
              <w:t>定期委托有资质单位处置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before="0" w:after="0" w:line="240" w:lineRule="auto"/>
              <w:ind w:right="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原料包装</w:t>
            </w:r>
          </w:p>
        </w:tc>
        <w:tc>
          <w:tcPr>
            <w:tcW w:w="111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危化品包装材料</w:t>
            </w:r>
          </w:p>
        </w:tc>
        <w:tc>
          <w:tcPr>
            <w:tcW w:w="189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集中收集后，</w:t>
            </w:r>
            <w:r>
              <w:rPr>
                <w:rFonts w:hint="eastAsia" w:ascii="Times New Roman" w:hAnsi="Times New Roman" w:eastAsia="宋体" w:cs="Times New Roman"/>
                <w:kern w:val="0"/>
                <w:sz w:val="21"/>
                <w:szCs w:val="21"/>
                <w:lang w:val="en-US" w:eastAsia="zh-CN" w:bidi="ar-SA"/>
              </w:rPr>
              <w:t>暂存于危废暂存间内，</w:t>
            </w:r>
            <w:r>
              <w:rPr>
                <w:rFonts w:hint="default" w:ascii="Times New Roman" w:hAnsi="Times New Roman" w:eastAsia="宋体" w:cs="Times New Roman"/>
                <w:kern w:val="0"/>
                <w:sz w:val="21"/>
                <w:szCs w:val="21"/>
                <w:lang w:val="en-US" w:eastAsia="zh-CN" w:bidi="ar-SA"/>
              </w:rPr>
              <w:t>定期委托有资质单位处置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before="0" w:after="0" w:line="240" w:lineRule="auto"/>
              <w:ind w:right="0"/>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化验过程</w:t>
            </w:r>
          </w:p>
        </w:tc>
        <w:tc>
          <w:tcPr>
            <w:tcW w:w="111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化验中心危废</w:t>
            </w:r>
          </w:p>
        </w:tc>
        <w:tc>
          <w:tcPr>
            <w:tcW w:w="189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集中收集后，</w:t>
            </w:r>
            <w:r>
              <w:rPr>
                <w:rFonts w:hint="eastAsia" w:ascii="Times New Roman" w:hAnsi="Times New Roman" w:eastAsia="宋体" w:cs="Times New Roman"/>
                <w:kern w:val="0"/>
                <w:sz w:val="21"/>
                <w:szCs w:val="21"/>
                <w:lang w:val="en-US" w:eastAsia="zh-CN" w:bidi="ar-SA"/>
              </w:rPr>
              <w:t>暂存于危废暂存间内，</w:t>
            </w:r>
            <w:r>
              <w:rPr>
                <w:rFonts w:hint="default" w:ascii="Times New Roman" w:hAnsi="Times New Roman" w:eastAsia="宋体" w:cs="Times New Roman"/>
                <w:kern w:val="0"/>
                <w:sz w:val="21"/>
                <w:szCs w:val="21"/>
                <w:lang w:val="en-US" w:eastAsia="zh-CN" w:bidi="ar-SA"/>
              </w:rPr>
              <w:t>定期委托有资质单位处置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before="0" w:after="0" w:line="240" w:lineRule="auto"/>
              <w:ind w:right="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纯水、注射水制备</w:t>
            </w:r>
          </w:p>
        </w:tc>
        <w:tc>
          <w:tcPr>
            <w:tcW w:w="111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废石英砂、废活性炭、废反渗透膜</w:t>
            </w:r>
          </w:p>
        </w:tc>
        <w:tc>
          <w:tcPr>
            <w:tcW w:w="189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rightChars="0"/>
              <w:jc w:val="center"/>
              <w:textAlignment w:val="auto"/>
              <w:rPr>
                <w:rFonts w:hint="eastAsia" w:ascii="Times New Roman" w:hAnsi="Times New Roman" w:eastAsia="宋体" w:cs="Times New Roman"/>
                <w:kern w:val="0"/>
                <w:sz w:val="21"/>
                <w:szCs w:val="21"/>
                <w:lang w:val="en-US" w:eastAsia="zh-CN" w:bidi="ar-SA"/>
              </w:rPr>
            </w:pPr>
            <w:r>
              <w:rPr>
                <w:rFonts w:hint="default" w:ascii="Times New Roman" w:hAnsi="Times New Roman" w:eastAsia="宋体" w:cs="Times New Roman"/>
                <w:bCs/>
                <w:snapToGrid w:val="0"/>
                <w:color w:val="auto"/>
                <w:kern w:val="0"/>
                <w:sz w:val="21"/>
                <w:szCs w:val="21"/>
                <w:lang w:val="en-US" w:eastAsia="zh-CN" w:bidi="ar-SA"/>
              </w:rPr>
              <w:t>由厂家负责更换并回收，不在</w:t>
            </w:r>
            <w:r>
              <w:rPr>
                <w:rFonts w:hint="eastAsia" w:ascii="Times New Roman" w:hAnsi="Times New Roman" w:eastAsia="宋体" w:cs="Times New Roman"/>
                <w:bCs/>
                <w:snapToGrid w:val="0"/>
                <w:color w:val="auto"/>
                <w:kern w:val="0"/>
                <w:sz w:val="21"/>
                <w:szCs w:val="21"/>
                <w:lang w:val="en-US" w:eastAsia="zh-CN" w:bidi="ar-SA"/>
              </w:rPr>
              <w:t>厂</w:t>
            </w:r>
            <w:r>
              <w:rPr>
                <w:rFonts w:hint="default" w:ascii="Times New Roman" w:hAnsi="Times New Roman" w:eastAsia="宋体" w:cs="Times New Roman"/>
                <w:bCs/>
                <w:snapToGrid w:val="0"/>
                <w:color w:val="auto"/>
                <w:kern w:val="0"/>
                <w:sz w:val="21"/>
                <w:szCs w:val="21"/>
                <w:lang w:val="en-US" w:eastAsia="zh-CN" w:bidi="ar-SA"/>
              </w:rPr>
              <w:t>内暂存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90"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before="0" w:after="0" w:line="240" w:lineRule="auto"/>
              <w:ind w:right="0"/>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废水处理</w:t>
            </w:r>
          </w:p>
        </w:tc>
        <w:tc>
          <w:tcPr>
            <w:tcW w:w="111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污水处理站污泥</w:t>
            </w:r>
          </w:p>
        </w:tc>
        <w:tc>
          <w:tcPr>
            <w:tcW w:w="189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集中收集后，</w:t>
            </w:r>
            <w:r>
              <w:rPr>
                <w:rFonts w:hint="eastAsia" w:ascii="Times New Roman" w:hAnsi="Times New Roman" w:eastAsia="宋体" w:cs="Times New Roman"/>
                <w:kern w:val="0"/>
                <w:sz w:val="21"/>
                <w:szCs w:val="21"/>
                <w:lang w:val="en-US" w:eastAsia="zh-CN" w:bidi="ar-SA"/>
              </w:rPr>
              <w:t>暂存于危废暂存间内，</w:t>
            </w:r>
            <w:r>
              <w:rPr>
                <w:rFonts w:hint="default" w:ascii="Times New Roman" w:hAnsi="Times New Roman" w:eastAsia="宋体" w:cs="Times New Roman"/>
                <w:kern w:val="0"/>
                <w:sz w:val="21"/>
                <w:szCs w:val="21"/>
                <w:lang w:val="en-US" w:eastAsia="zh-CN" w:bidi="ar-SA"/>
              </w:rPr>
              <w:t>定期委托有资质单位处置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301"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p>
        </w:tc>
        <w:tc>
          <w:tcPr>
            <w:tcW w:w="735" w:type="pct"/>
            <w:tcBorders>
              <w:tl2br w:val="nil"/>
              <w:tr2bl w:val="nil"/>
            </w:tcBorders>
            <w:noWrap w:val="0"/>
            <w:vAlign w:val="center"/>
          </w:tcPr>
          <w:p>
            <w:pPr>
              <w:keepNext w:val="0"/>
              <w:keepLines w:val="0"/>
              <w:pageBreakBefore w:val="0"/>
              <w:kinsoku/>
              <w:wordWrap/>
              <w:overflowPunct/>
              <w:topLinePunct w:val="0"/>
              <w:autoSpaceDE/>
              <w:autoSpaceDN/>
              <w:bidi w:val="0"/>
              <w:adjustRightInd/>
              <w:spacing w:before="0" w:after="0" w:line="240" w:lineRule="auto"/>
              <w:ind w:right="0"/>
              <w:jc w:val="center"/>
              <w:textAlignment w:val="auto"/>
              <w:rPr>
                <w:rFonts w:hint="default"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w:t>
            </w:r>
          </w:p>
        </w:tc>
        <w:tc>
          <w:tcPr>
            <w:tcW w:w="94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员工工作生活</w:t>
            </w:r>
          </w:p>
        </w:tc>
        <w:tc>
          <w:tcPr>
            <w:tcW w:w="1118"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生活垃圾</w:t>
            </w:r>
          </w:p>
        </w:tc>
        <w:tc>
          <w:tcPr>
            <w:tcW w:w="1894"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color w:val="000000"/>
                <w:kern w:val="0"/>
                <w:sz w:val="21"/>
                <w:szCs w:val="21"/>
                <w:lang w:val="en-US" w:eastAsia="zh-CN" w:bidi="ar-SA"/>
              </w:rPr>
              <w:t>由环卫部门统一清运处理</w:t>
            </w:r>
          </w:p>
        </w:tc>
      </w:tr>
    </w:tbl>
    <w:p>
      <w:pPr>
        <w:pStyle w:val="38"/>
        <w:spacing w:line="360" w:lineRule="auto"/>
        <w:ind w:firstLine="0" w:firstLineChars="0"/>
        <w:jc w:val="left"/>
        <w:outlineLvl w:val="1"/>
        <w:rPr>
          <w:rFonts w:hint="default" w:ascii="Times New Roman" w:hAnsi="Times New Roman" w:eastAsia="宋体" w:cs="Times New Roman"/>
          <w:b/>
          <w:color w:val="000000" w:themeColor="text1"/>
          <w:sz w:val="28"/>
          <w:szCs w:val="32"/>
          <w14:textFill>
            <w14:solidFill>
              <w14:schemeClr w14:val="tx1"/>
            </w14:solidFill>
          </w14:textFill>
        </w:rPr>
      </w:pPr>
      <w:bookmarkStart w:id="30" w:name="_Toc20866"/>
      <w:r>
        <w:rPr>
          <w:rFonts w:hint="default" w:ascii="Times New Roman" w:hAnsi="Times New Roman" w:eastAsia="宋体" w:cs="Times New Roman"/>
          <w:b/>
          <w:color w:val="000000" w:themeColor="text1"/>
          <w:sz w:val="28"/>
          <w:szCs w:val="32"/>
          <w14:textFill>
            <w14:solidFill>
              <w14:schemeClr w14:val="tx1"/>
            </w14:solidFill>
          </w14:textFill>
        </w:rPr>
        <w:t>3.</w:t>
      </w:r>
      <w:r>
        <w:rPr>
          <w:rFonts w:hint="eastAsia" w:ascii="Times New Roman" w:hAnsi="Times New Roman" w:eastAsia="宋体" w:cs="Times New Roman"/>
          <w:b/>
          <w:color w:val="000000" w:themeColor="text1"/>
          <w:sz w:val="28"/>
          <w:szCs w:val="32"/>
          <w:lang w:val="en-US" w:eastAsia="zh-CN"/>
          <w14:textFill>
            <w14:solidFill>
              <w14:schemeClr w14:val="tx1"/>
            </w14:solidFill>
          </w14:textFill>
        </w:rPr>
        <w:t>7</w:t>
      </w:r>
      <w:r>
        <w:rPr>
          <w:rFonts w:hint="default" w:ascii="Times New Roman" w:hAnsi="Times New Roman" w:eastAsia="宋体" w:cs="Times New Roman"/>
          <w:b/>
          <w:color w:val="000000" w:themeColor="text1"/>
          <w:sz w:val="28"/>
          <w:szCs w:val="32"/>
          <w14:textFill>
            <w14:solidFill>
              <w14:schemeClr w14:val="tx1"/>
            </w14:solidFill>
          </w14:textFill>
        </w:rPr>
        <w:t>项目变动情况</w:t>
      </w:r>
      <w:bookmarkEnd w:id="30"/>
    </w:p>
    <w:bookmarkEnd w:id="29"/>
    <w:p>
      <w:pPr>
        <w:keepNext w:val="0"/>
        <w:keepLines w:val="0"/>
        <w:pageBreakBefore w:val="0"/>
        <w:widowControl/>
        <w:kinsoku/>
        <w:wordWrap/>
        <w:overflowPunct/>
        <w:topLinePunct w:val="0"/>
        <w:autoSpaceDE/>
        <w:autoSpaceDN/>
        <w:bidi w:val="0"/>
        <w:adjustRightInd w:val="0"/>
        <w:snapToGrid w:val="0"/>
        <w:spacing w:line="360" w:lineRule="auto"/>
        <w:ind w:firstLine="0" w:firstLineChars="0"/>
        <w:jc w:val="both"/>
        <w:textAlignment w:val="auto"/>
        <w:rPr>
          <w:rFonts w:hint="default" w:ascii="Times New Roman" w:hAnsi="Times New Roman" w:eastAsia="宋体" w:cs="Times New Roman"/>
          <w:b/>
          <w:kern w:val="2"/>
          <w:sz w:val="24"/>
          <w:szCs w:val="32"/>
          <w:lang w:val="en-US" w:eastAsia="zh-CN" w:bidi="ar-SA"/>
        </w:rPr>
      </w:pPr>
      <w:r>
        <w:rPr>
          <w:rFonts w:hint="default" w:ascii="Times New Roman" w:hAnsi="Times New Roman" w:eastAsia="宋体" w:cs="Times New Roman"/>
          <w:b/>
          <w:kern w:val="2"/>
          <w:sz w:val="24"/>
          <w:szCs w:val="32"/>
          <w:lang w:val="en-US" w:eastAsia="zh-CN" w:bidi="ar-SA"/>
        </w:rPr>
        <w:t>3.</w:t>
      </w:r>
      <w:r>
        <w:rPr>
          <w:rFonts w:hint="eastAsia" w:ascii="Times New Roman" w:hAnsi="Times New Roman" w:eastAsia="宋体" w:cs="Times New Roman"/>
          <w:b/>
          <w:kern w:val="2"/>
          <w:sz w:val="24"/>
          <w:szCs w:val="32"/>
          <w:lang w:val="en-US" w:eastAsia="zh-CN" w:bidi="ar-SA"/>
        </w:rPr>
        <w:t>7</w:t>
      </w:r>
      <w:r>
        <w:rPr>
          <w:rFonts w:hint="default" w:ascii="Times New Roman" w:hAnsi="Times New Roman" w:eastAsia="宋体" w:cs="Times New Roman"/>
          <w:b/>
          <w:kern w:val="2"/>
          <w:sz w:val="24"/>
          <w:szCs w:val="32"/>
          <w:lang w:val="en-US" w:eastAsia="zh-CN" w:bidi="ar-SA"/>
        </w:rPr>
        <w:t>.1变更情况说明</w:t>
      </w:r>
    </w:p>
    <w:p>
      <w:pPr>
        <w:spacing w:line="360" w:lineRule="auto"/>
        <w:ind w:firstLine="480" w:firstLineChars="200"/>
        <w:rPr>
          <w:rFonts w:hint="eastAsia" w:ascii="Times New Roman" w:hAnsi="Times New Roman" w:eastAsia="宋体" w:cs="Times New Roman"/>
          <w:sz w:val="24"/>
          <w:szCs w:val="28"/>
          <w:lang w:val="en-US" w:eastAsia="zh-CN"/>
        </w:rPr>
      </w:pPr>
      <w:r>
        <w:rPr>
          <w:rFonts w:hint="eastAsia" w:ascii="Times New Roman" w:hAnsi="Times New Roman" w:eastAsia="宋体" w:cs="Times New Roman"/>
          <w:sz w:val="24"/>
          <w:szCs w:val="28"/>
          <w:lang w:val="en-US" w:eastAsia="zh-CN"/>
        </w:rPr>
        <w:t>本次验收范围为</w:t>
      </w:r>
      <w:r>
        <w:rPr>
          <w:rFonts w:hint="default" w:ascii="Times New Roman" w:hAnsi="Times New Roman" w:eastAsia="宋体" w:cs="Times New Roman"/>
          <w:color w:val="000000"/>
          <w:sz w:val="24"/>
          <w:szCs w:val="28"/>
        </w:rPr>
        <w:t>本次验收范围为《</w:t>
      </w:r>
      <w:r>
        <w:rPr>
          <w:rFonts w:hint="eastAsia" w:ascii="Times New Roman" w:hAnsi="Times New Roman" w:eastAsia="宋体" w:cs="Times New Roman"/>
          <w:color w:val="000000"/>
          <w:sz w:val="24"/>
          <w:szCs w:val="28"/>
          <w:lang w:val="en-US" w:eastAsia="zh-CN"/>
        </w:rPr>
        <w:t>山东豪瑞恩全球高端制剂项目（一期）</w:t>
      </w:r>
      <w:r>
        <w:rPr>
          <w:rFonts w:hint="default" w:ascii="Times New Roman" w:hAnsi="Times New Roman" w:eastAsia="宋体" w:cs="Times New Roman"/>
          <w:color w:val="000000"/>
          <w:sz w:val="24"/>
          <w:szCs w:val="28"/>
        </w:rPr>
        <w:t>》建设内容及配套的环保设施，主要包括</w:t>
      </w:r>
      <w:r>
        <w:rPr>
          <w:rFonts w:hint="eastAsia" w:ascii="Times New Roman" w:hAnsi="Times New Roman" w:eastAsia="宋体" w:cs="Times New Roman"/>
          <w:color w:val="000000"/>
          <w:sz w:val="24"/>
          <w:szCs w:val="28"/>
          <w:lang w:val="en-US" w:eastAsia="zh-CN"/>
        </w:rPr>
        <w:t>年产小容量（</w:t>
      </w:r>
      <w:r>
        <w:rPr>
          <w:rFonts w:hint="default" w:ascii="Times New Roman" w:hAnsi="Times New Roman" w:eastAsia="宋体" w:cs="Times New Roman"/>
          <w:color w:val="000000"/>
          <w:sz w:val="24"/>
          <w:szCs w:val="28"/>
          <w:lang w:val="en-US" w:eastAsia="zh-CN"/>
        </w:rPr>
        <w:t>安瓿瓶</w:t>
      </w:r>
      <w:r>
        <w:rPr>
          <w:rFonts w:hint="eastAsia" w:ascii="Times New Roman" w:hAnsi="Times New Roman" w:eastAsia="宋体" w:cs="Times New Roman"/>
          <w:color w:val="000000"/>
          <w:sz w:val="24"/>
          <w:szCs w:val="28"/>
          <w:lang w:val="en-US" w:eastAsia="zh-CN"/>
        </w:rPr>
        <w:t>）注射剂产品：维生素B6注射液500万支、钠钾镁钙注射用浓溶液800万支，共计1300万支；小容量（西林瓶）冻干注射剂产品：注射用盐酸罗沙替丁醋酸酯80万支、注射用地尔硫卓80万支，共计160万支；</w:t>
      </w:r>
      <w:r>
        <w:rPr>
          <w:rFonts w:hint="default" w:ascii="Times New Roman" w:hAnsi="Times New Roman" w:eastAsia="宋体" w:cs="Times New Roman"/>
          <w:color w:val="000000"/>
          <w:sz w:val="24"/>
          <w:szCs w:val="28"/>
          <w:lang w:val="en-US" w:eastAsia="zh-CN"/>
        </w:rPr>
        <w:t>以及配套的环保设备</w:t>
      </w:r>
      <w:r>
        <w:rPr>
          <w:rFonts w:hint="default" w:ascii="Times New Roman" w:hAnsi="Times New Roman" w:eastAsia="宋体" w:cs="Times New Roman"/>
          <w:color w:val="000000"/>
          <w:sz w:val="24"/>
          <w:szCs w:val="28"/>
        </w:rPr>
        <w:t>等</w:t>
      </w:r>
      <w:r>
        <w:rPr>
          <w:rFonts w:hint="eastAsia" w:ascii="Times New Roman" w:hAnsi="Times New Roman" w:eastAsia="宋体" w:cs="Times New Roman"/>
          <w:sz w:val="24"/>
          <w:szCs w:val="28"/>
          <w:lang w:val="en-US" w:eastAsia="zh-CN"/>
        </w:rPr>
        <w:t>。项目生产车间、原料、成品仓库、办公室、危废暂存间及生产车间内已按照环评安装生产设备与《污染影响类建设项目重大变动清单（试行）》对比见下表：</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表</w:t>
      </w:r>
      <w:r>
        <w:rPr>
          <w:rFonts w:hint="default" w:ascii="Times New Roman" w:hAnsi="Times New Roman" w:eastAsia="宋体" w:cs="Times New Roman"/>
          <w:b/>
          <w:sz w:val="21"/>
          <w:szCs w:val="21"/>
          <w:lang w:val="en-US" w:eastAsia="zh-CN"/>
        </w:rPr>
        <w:t>3</w:t>
      </w:r>
      <w:r>
        <w:rPr>
          <w:rFonts w:hint="default" w:ascii="Times New Roman" w:hAnsi="Times New Roman" w:eastAsia="宋体" w:cs="Times New Roman"/>
          <w:b/>
          <w:sz w:val="21"/>
          <w:szCs w:val="21"/>
        </w:rPr>
        <w:t>-</w:t>
      </w:r>
      <w:r>
        <w:rPr>
          <w:rFonts w:hint="eastAsia" w:cs="Times New Roman"/>
          <w:b/>
          <w:sz w:val="21"/>
          <w:szCs w:val="21"/>
          <w:lang w:val="en-US" w:eastAsia="zh-CN"/>
        </w:rPr>
        <w:t>6</w:t>
      </w:r>
      <w:r>
        <w:rPr>
          <w:rFonts w:hint="default" w:ascii="Times New Roman" w:hAnsi="Times New Roman" w:eastAsia="宋体" w:cs="Times New Roman"/>
          <w:b/>
          <w:sz w:val="21"/>
          <w:szCs w:val="21"/>
        </w:rPr>
        <w:t xml:space="preserve">  与《污染影响类建设项目重大变动清单》（试行）对比一览表</w:t>
      </w:r>
    </w:p>
    <w:tbl>
      <w:tblPr>
        <w:tblStyle w:val="25"/>
        <w:tblW w:w="867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529"/>
        <w:gridCol w:w="4319"/>
        <w:gridCol w:w="382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序号</w:t>
            </w:r>
          </w:p>
        </w:tc>
        <w:tc>
          <w:tcPr>
            <w:tcW w:w="43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重大变动清单内容</w:t>
            </w:r>
          </w:p>
        </w:tc>
        <w:tc>
          <w:tcPr>
            <w:tcW w:w="38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落实情况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43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建设项目开发、使用功能发生变化的</w:t>
            </w:r>
          </w:p>
        </w:tc>
        <w:tc>
          <w:tcPr>
            <w:tcW w:w="38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43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生产、处置或储存能力增大30%及以上的</w:t>
            </w:r>
          </w:p>
        </w:tc>
        <w:tc>
          <w:tcPr>
            <w:tcW w:w="38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本项目</w:t>
            </w:r>
            <w:r>
              <w:rPr>
                <w:rFonts w:hint="default" w:ascii="Times New Roman" w:hAnsi="Times New Roman" w:eastAsia="宋体" w:cs="Times New Roman"/>
                <w:sz w:val="21"/>
                <w:szCs w:val="21"/>
              </w:rPr>
              <w:t>生产、处置或储存能力</w:t>
            </w:r>
            <w:r>
              <w:rPr>
                <w:rFonts w:hint="eastAsia" w:ascii="Times New Roman" w:hAnsi="Times New Roman" w:eastAsia="宋体" w:cs="Times New Roman"/>
                <w:sz w:val="21"/>
                <w:szCs w:val="21"/>
                <w:lang w:val="en-US" w:eastAsia="zh-CN"/>
              </w:rPr>
              <w:t>减少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43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生产、处置或储存能力增大，导致废水第一类污染物排放量增加的</w:t>
            </w:r>
          </w:p>
        </w:tc>
        <w:tc>
          <w:tcPr>
            <w:tcW w:w="38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生产、处置或储存能力</w:t>
            </w:r>
            <w:r>
              <w:rPr>
                <w:rFonts w:hint="eastAsia" w:ascii="Times New Roman" w:hAnsi="Times New Roman" w:eastAsia="宋体" w:cs="Times New Roman"/>
                <w:sz w:val="21"/>
                <w:szCs w:val="21"/>
                <w:lang w:val="en-US" w:eastAsia="zh-CN"/>
              </w:rPr>
              <w:t>未增大</w:t>
            </w:r>
            <w:r>
              <w:rPr>
                <w:rFonts w:hint="default" w:ascii="Times New Roman" w:hAnsi="Times New Roman" w:eastAsia="宋体" w:cs="Times New Roman"/>
                <w:sz w:val="21"/>
                <w:szCs w:val="21"/>
                <w:lang w:val="en-US" w:eastAsia="zh-CN"/>
              </w:rPr>
              <w:t>，</w:t>
            </w:r>
            <w:r>
              <w:rPr>
                <w:rFonts w:hint="eastAsia" w:ascii="Times New Roman" w:hAnsi="Times New Roman" w:eastAsia="宋体" w:cs="Times New Roman"/>
                <w:sz w:val="21"/>
                <w:szCs w:val="21"/>
                <w:lang w:val="en-US" w:eastAsia="zh-CN"/>
              </w:rPr>
              <w:t>生产废水减少，且</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项目不涉及废水第一类污染物排放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43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38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项目环评设计年产大容量（软袋）注射剂产品：左氧氟沙星氯化钠注射液3250万袋、氟康</w:t>
            </w:r>
            <w:r>
              <w:rPr>
                <w:rFonts w:hint="default" w:ascii="Times New Roman" w:hAnsi="Times New Roman" w:eastAsia="宋体" w:cs="Times New Roman"/>
                <w:sz w:val="21"/>
                <w:szCs w:val="21"/>
                <w:lang w:val="en-US" w:eastAsia="zh-CN"/>
              </w:rPr>
              <w:t>唑</w:t>
            </w:r>
            <w:r>
              <w:rPr>
                <w:rFonts w:hint="eastAsia" w:ascii="Times New Roman" w:hAnsi="Times New Roman" w:eastAsia="宋体" w:cs="Times New Roman"/>
                <w:sz w:val="21"/>
                <w:szCs w:val="21"/>
                <w:lang w:val="en-US" w:eastAsia="zh-CN"/>
              </w:rPr>
              <w:t>氯化钠注射液64万袋、米力农葡萄糖注射液200万袋、复方氨基酸注射液（18AA-SF））800万袋，共计4314万袋；大容量（玻璃瓶）注射剂产品：</w:t>
            </w:r>
            <w:r>
              <w:rPr>
                <w:rFonts w:hint="default" w:ascii="Times New Roman" w:hAnsi="Times New Roman" w:eastAsia="宋体" w:cs="Times New Roman"/>
                <w:sz w:val="21"/>
                <w:szCs w:val="21"/>
                <w:lang w:val="en-US" w:eastAsia="zh-CN"/>
              </w:rPr>
              <w:t>丙氨酰谷氨酰胺注射液</w:t>
            </w:r>
            <w:r>
              <w:rPr>
                <w:rFonts w:hint="eastAsia" w:ascii="Times New Roman" w:hAnsi="Times New Roman" w:eastAsia="宋体" w:cs="Times New Roman"/>
                <w:sz w:val="21"/>
                <w:szCs w:val="21"/>
                <w:lang w:val="en-US" w:eastAsia="zh-CN"/>
              </w:rPr>
              <w:t>200万瓶、复方氨基酸注射液（18AA）150万瓶、复方氨基酸注射液（18AA--VII）850万瓶、复方氨基酸注射液（14AA）500万瓶、复方氨基酸注射液（14AA-SF））800万瓶，共计2500万瓶；小容量（安瓿瓶）注射剂产品：氨甲环酸注射液1000万支、胞磷胆碱钠注射液10000万支、维生素C注射液10000万支、维生素B6注射液500万支、钠钾镁钙注射用浓溶液500万支，共计2.23亿支；小容量（西林瓶）冻干注射剂产品：</w:t>
            </w:r>
            <w:r>
              <w:rPr>
                <w:rFonts w:hint="default" w:ascii="Times New Roman" w:hAnsi="Times New Roman" w:eastAsia="宋体" w:cs="Times New Roman"/>
                <w:sz w:val="21"/>
                <w:szCs w:val="21"/>
                <w:lang w:val="en-US" w:eastAsia="zh-CN"/>
              </w:rPr>
              <w:t>注射用奥美拉唑钠</w:t>
            </w:r>
            <w:r>
              <w:rPr>
                <w:rFonts w:hint="eastAsia" w:ascii="Times New Roman" w:hAnsi="Times New Roman" w:eastAsia="宋体" w:cs="Times New Roman"/>
                <w:sz w:val="21"/>
                <w:szCs w:val="21"/>
                <w:lang w:val="en-US" w:eastAsia="zh-CN"/>
              </w:rPr>
              <w:t>1000万支、注射用盐酸罗沙替丁醋酸酯300万支、注射用地尔硫卓300万支，共计1600万支。项目分期验收，本次验收范围为年产小容量（安瓿瓶）注射剂产品：维生素B6注射液500万支、钠钾镁钙注射用浓溶液800万支，共计1300万支；小容量（西林瓶）冻干注射剂产品：注射用盐酸罗沙替丁醋酸酯80万支、注射用地尔硫卓80万支，共计160万支；其余产品的生产尚未建设与剩余机加工生产设备，作为二期建设内容</w:t>
            </w:r>
            <w:r>
              <w:rPr>
                <w:rFonts w:hint="default" w:ascii="Times New Roman" w:hAnsi="Times New Roman" w:eastAsia="宋体" w:cs="Times New Roman"/>
                <w:sz w:val="21"/>
                <w:szCs w:val="21"/>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b/>
                <w:bCs/>
                <w:sz w:val="21"/>
                <w:szCs w:val="21"/>
                <w:lang w:val="en-US" w:eastAsia="zh-CN"/>
              </w:rPr>
              <w:t>项目</w:t>
            </w:r>
            <w:r>
              <w:rPr>
                <w:rFonts w:hint="default" w:ascii="Times New Roman" w:hAnsi="Times New Roman" w:eastAsia="宋体" w:cs="Times New Roman"/>
                <w:b/>
                <w:bCs/>
                <w:sz w:val="21"/>
                <w:szCs w:val="21"/>
              </w:rPr>
              <w:t>生产、处置或储存能力</w:t>
            </w:r>
            <w:r>
              <w:rPr>
                <w:rFonts w:hint="eastAsia" w:ascii="Times New Roman" w:hAnsi="Times New Roman" w:eastAsia="宋体" w:cs="Times New Roman"/>
                <w:b/>
                <w:bCs/>
                <w:sz w:val="21"/>
                <w:szCs w:val="21"/>
                <w:lang w:val="en-US" w:eastAsia="zh-CN"/>
              </w:rPr>
              <w:t>减少，经检测，</w:t>
            </w:r>
            <w:r>
              <w:rPr>
                <w:rFonts w:hint="default" w:ascii="Times New Roman" w:hAnsi="Times New Roman" w:eastAsia="宋体" w:cs="Times New Roman"/>
                <w:b/>
                <w:bCs/>
                <w:sz w:val="21"/>
                <w:szCs w:val="21"/>
              </w:rPr>
              <w:t>相应污染物排放量</w:t>
            </w:r>
            <w:r>
              <w:rPr>
                <w:rFonts w:hint="eastAsia" w:ascii="Times New Roman" w:hAnsi="Times New Roman" w:eastAsia="宋体" w:cs="Times New Roman"/>
                <w:b/>
                <w:bCs/>
                <w:sz w:val="21"/>
                <w:szCs w:val="21"/>
                <w:lang w:val="en-US" w:eastAsia="zh-CN"/>
              </w:rPr>
              <w:t>未</w:t>
            </w:r>
            <w:r>
              <w:rPr>
                <w:rFonts w:hint="default" w:ascii="Times New Roman" w:hAnsi="Times New Roman" w:eastAsia="宋体" w:cs="Times New Roman"/>
                <w:b/>
                <w:bCs/>
                <w:sz w:val="21"/>
                <w:szCs w:val="21"/>
              </w:rPr>
              <w:t>增加</w:t>
            </w:r>
            <w:r>
              <w:rPr>
                <w:rFonts w:hint="eastAsia" w:ascii="Times New Roman" w:hAnsi="Times New Roman" w:eastAsia="宋体" w:cs="Times New Roman"/>
                <w:b/>
                <w:bCs/>
                <w:sz w:val="21"/>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43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重新选址；在原厂址附近调整（包括总平面布置变化）导致环境防护距离范围变化且新增敏感点的。</w:t>
            </w:r>
          </w:p>
        </w:tc>
        <w:tc>
          <w:tcPr>
            <w:tcW w:w="3828" w:type="dxa"/>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项目选址未发生变动，未新增敏感点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43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新增产品品种或生产工艺（含主要生产装置、设备及配套设施）、主要原辅材料、燃料变化，导致以下情形之一：</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（1）新增排放污染物种类的（毒性、挥发性降低的除外）；</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（2）位于环境质量不达标区的建设项目相应污染物排放量增加的；</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（3）废水第一类污染物排放量增加的；</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（4）其他污染物排放量增加10%及以上的。</w:t>
            </w:r>
          </w:p>
        </w:tc>
        <w:tc>
          <w:tcPr>
            <w:tcW w:w="3828" w:type="dxa"/>
            <w:vAlign w:val="center"/>
          </w:tcPr>
          <w:p>
            <w:pPr>
              <w:keepNext w:val="0"/>
              <w:keepLines w:val="0"/>
              <w:widowControl/>
              <w:suppressLineNumbers w:val="0"/>
              <w:jc w:val="both"/>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未新增产品品种，生产工艺（含主要生产装置、设备及配套设施）、主要原辅材料、未增加，未导致以下情形之一：</w:t>
            </w:r>
          </w:p>
          <w:p>
            <w:pPr>
              <w:keepNext w:val="0"/>
              <w:keepLines w:val="0"/>
              <w:widowControl/>
              <w:suppressLineNumbers w:val="0"/>
              <w:jc w:val="both"/>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（1）新增排放污染物种类的（毒性、挥发性降低的除外）；</w:t>
            </w:r>
          </w:p>
          <w:p>
            <w:pPr>
              <w:keepNext w:val="0"/>
              <w:keepLines w:val="0"/>
              <w:widowControl/>
              <w:suppressLineNumbers w:val="0"/>
              <w:jc w:val="both"/>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（2）位于环境质量不达标区的建设项目相应污染物排放量增加的；</w:t>
            </w:r>
          </w:p>
          <w:p>
            <w:pPr>
              <w:keepNext w:val="0"/>
              <w:keepLines w:val="0"/>
              <w:widowControl/>
              <w:suppressLineNumbers w:val="0"/>
              <w:jc w:val="both"/>
              <w:textAlignment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（3）废水第一类污染物排放量增加的；</w:t>
            </w:r>
          </w:p>
          <w:p>
            <w:pPr>
              <w:keepNext w:val="0"/>
              <w:keepLines w:val="0"/>
              <w:widowControl/>
              <w:suppressLineNumbers w:val="0"/>
              <w:jc w:val="both"/>
              <w:textAlignment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（4）其他污染物排放量增加10%及以上的。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43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物料运输、装卸、贮存方式变化，导致大气污染物无组织排放量增加10%及以上的。</w:t>
            </w:r>
          </w:p>
        </w:tc>
        <w:tc>
          <w:tcPr>
            <w:tcW w:w="38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43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废气、废水污染防治措施变化，导致第6条中所列情形之一（废气无组织排放改为有组织排放、污染防治措施强化或改进的除外）或大气污染物无组织排放量增加10%及以上的。</w:t>
            </w:r>
          </w:p>
        </w:tc>
        <w:tc>
          <w:tcPr>
            <w:tcW w:w="38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val="0"/>
                <w:color w:val="000000"/>
                <w:spacing w:val="0"/>
                <w:w w:val="100"/>
                <w:kern w:val="0"/>
                <w:position w:val="0"/>
                <w:sz w:val="21"/>
                <w:szCs w:val="21"/>
                <w:lang w:val="en-US" w:eastAsia="zh-CN"/>
              </w:rPr>
              <w:t>污水处理站恶臭气体经</w:t>
            </w:r>
            <w:r>
              <w:rPr>
                <w:rFonts w:hint="eastAsia" w:ascii="Times New Roman" w:hAnsi="Times New Roman" w:eastAsia="宋体" w:cs="Times New Roman"/>
                <w:b w:val="0"/>
                <w:bCs w:val="0"/>
                <w:color w:val="000000"/>
                <w:spacing w:val="0"/>
                <w:w w:val="100"/>
                <w:kern w:val="0"/>
                <w:position w:val="0"/>
                <w:sz w:val="21"/>
                <w:szCs w:val="21"/>
                <w:lang w:val="en-US" w:eastAsia="zh-CN"/>
              </w:rPr>
              <w:t>由</w:t>
            </w:r>
            <w:r>
              <w:rPr>
                <w:rFonts w:hint="default" w:ascii="Times New Roman" w:hAnsi="Times New Roman" w:eastAsia="宋体" w:cs="Times New Roman"/>
                <w:b w:val="0"/>
                <w:bCs w:val="0"/>
                <w:color w:val="000000"/>
                <w:spacing w:val="0"/>
                <w:w w:val="100"/>
                <w:kern w:val="0"/>
                <w:position w:val="0"/>
                <w:sz w:val="21"/>
                <w:szCs w:val="21"/>
                <w:lang w:val="en-US" w:eastAsia="zh-CN"/>
              </w:rPr>
              <w:t>二级活性炭吸附装置</w:t>
            </w:r>
            <w:r>
              <w:rPr>
                <w:rFonts w:hint="eastAsia" w:ascii="Times New Roman" w:hAnsi="Times New Roman" w:eastAsia="宋体" w:cs="Times New Roman"/>
                <w:b w:val="0"/>
                <w:bCs w:val="0"/>
                <w:color w:val="000000"/>
                <w:spacing w:val="0"/>
                <w:w w:val="100"/>
                <w:kern w:val="0"/>
                <w:position w:val="0"/>
                <w:sz w:val="21"/>
                <w:szCs w:val="21"/>
                <w:lang w:val="en-US" w:eastAsia="zh-CN"/>
              </w:rPr>
              <w:t>为</w:t>
            </w:r>
            <w:r>
              <w:rPr>
                <w:rFonts w:hint="eastAsia" w:ascii="宋体" w:hAnsi="宋体" w:eastAsia="宋体" w:cs="宋体"/>
                <w:b w:val="0"/>
                <w:bCs w:val="0"/>
                <w:color w:val="000000"/>
                <w:spacing w:val="0"/>
                <w:w w:val="100"/>
                <w:kern w:val="0"/>
                <w:position w:val="0"/>
                <w:sz w:val="21"/>
                <w:szCs w:val="21"/>
                <w:lang w:val="en-US" w:eastAsia="zh-CN"/>
              </w:rPr>
              <w:t>“碱液喷淋塔+二级活性炭吸附装置”；</w:t>
            </w:r>
            <w:r>
              <w:rPr>
                <w:rFonts w:hint="default" w:ascii="Times New Roman" w:hAnsi="Times New Roman" w:eastAsia="宋体" w:cs="Times New Roman"/>
                <w:color w:val="auto"/>
                <w:sz w:val="21"/>
                <w:szCs w:val="21"/>
                <w:lang w:val="en-US" w:eastAsia="zh-CN"/>
              </w:rPr>
              <w:t>化验</w:t>
            </w:r>
            <w:r>
              <w:rPr>
                <w:rFonts w:hint="default" w:ascii="Times New Roman" w:hAnsi="Times New Roman" w:eastAsia="宋体" w:cs="Times New Roman"/>
                <w:b w:val="0"/>
                <w:bCs w:val="0"/>
                <w:color w:val="000000"/>
                <w:spacing w:val="0"/>
                <w:w w:val="100"/>
                <w:kern w:val="0"/>
                <w:position w:val="0"/>
                <w:sz w:val="21"/>
                <w:szCs w:val="21"/>
                <w:lang w:val="en-US" w:eastAsia="zh-CN"/>
              </w:rPr>
              <w:t>中心产生的有机废气</w:t>
            </w:r>
            <w:r>
              <w:rPr>
                <w:rFonts w:hint="eastAsia" w:ascii="Times New Roman" w:hAnsi="Times New Roman" w:eastAsia="宋体" w:cs="Times New Roman"/>
                <w:b w:val="0"/>
                <w:bCs w:val="0"/>
                <w:color w:val="000000"/>
                <w:spacing w:val="0"/>
                <w:w w:val="100"/>
                <w:kern w:val="0"/>
                <w:position w:val="0"/>
                <w:sz w:val="21"/>
                <w:szCs w:val="21"/>
                <w:lang w:val="en-US" w:eastAsia="zh-CN"/>
              </w:rPr>
              <w:t>排气筒由19m</w:t>
            </w:r>
            <w:bookmarkStart w:id="105" w:name="_GoBack"/>
            <w:bookmarkEnd w:id="105"/>
            <w:r>
              <w:rPr>
                <w:rFonts w:hint="eastAsia" w:ascii="Times New Roman" w:hAnsi="Times New Roman" w:eastAsia="宋体" w:cs="Times New Roman"/>
                <w:b w:val="0"/>
                <w:bCs w:val="0"/>
                <w:color w:val="000000"/>
                <w:spacing w:val="0"/>
                <w:w w:val="100"/>
                <w:kern w:val="0"/>
                <w:position w:val="0"/>
                <w:sz w:val="21"/>
                <w:szCs w:val="21"/>
                <w:lang w:val="en-US" w:eastAsia="zh-CN"/>
              </w:rPr>
              <w:t>变更为20m，属于废气治理措施增强，其他废气、废水处理装置未发生变化。不属于</w:t>
            </w:r>
            <w:r>
              <w:rPr>
                <w:rFonts w:hint="default" w:ascii="Times New Roman" w:hAnsi="Times New Roman" w:eastAsia="宋体" w:cs="Times New Roman"/>
                <w:sz w:val="21"/>
                <w:szCs w:val="21"/>
              </w:rPr>
              <w:t>导致第6条中所列情形之一（废气无组织排放改为有组织排放、污染防治措施强化或改进的除外）或大气污染物无组织排放量增加10%及以上的。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43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新增废水直接排放口；废水由间接排放改为直接排放；废水直接排放口位置变化，导致不利环境影响加重的。</w:t>
            </w:r>
          </w:p>
        </w:tc>
        <w:tc>
          <w:tcPr>
            <w:tcW w:w="38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43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新增废气主要排放口（废气无组织排放改为有组织排放的除外）；主要排放口排气筒高度降低10%及以上的。</w:t>
            </w:r>
          </w:p>
        </w:tc>
        <w:tc>
          <w:tcPr>
            <w:tcW w:w="38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w:t>
            </w:r>
          </w:p>
        </w:tc>
        <w:tc>
          <w:tcPr>
            <w:tcW w:w="43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噪声、土壤或地下水污染防治措施变化，导致不利环境影响加重的。</w:t>
            </w:r>
          </w:p>
        </w:tc>
        <w:tc>
          <w:tcPr>
            <w:tcW w:w="38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w:t>
            </w:r>
          </w:p>
        </w:tc>
        <w:tc>
          <w:tcPr>
            <w:tcW w:w="43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固体废物利用处置方式由委托外单位利用处置改为自行利用处置的（自行利用处置设施单独开展环境影响评价的除外）；固体废物自行处置方式变化，导致不利环境影响加重的。</w:t>
            </w:r>
          </w:p>
        </w:tc>
        <w:tc>
          <w:tcPr>
            <w:tcW w:w="38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2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w:t>
            </w:r>
          </w:p>
        </w:tc>
        <w:tc>
          <w:tcPr>
            <w:tcW w:w="4319"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事故废水暂存能力或拦截设施变化，导致环境风险防范能力弱化或降低的。</w:t>
            </w:r>
          </w:p>
        </w:tc>
        <w:tc>
          <w:tcPr>
            <w:tcW w:w="3828"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未发生变动</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由上表可知，对照《污染影响类建设项目重大变动清单（试行）》分析，本项目不涉及重大变动，符合要求。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p>
    <w:p>
      <w:pPr>
        <w:spacing w:line="360" w:lineRule="auto"/>
        <w:ind w:firstLine="562" w:firstLineChars="200"/>
        <w:rPr>
          <w:rFonts w:hint="default" w:ascii="Times New Roman" w:hAnsi="Times New Roman" w:eastAsia="宋体" w:cs="Times New Roman"/>
          <w:b/>
          <w:sz w:val="28"/>
          <w:szCs w:val="28"/>
        </w:rPr>
      </w:pPr>
      <w:r>
        <w:rPr>
          <w:rFonts w:hint="default" w:ascii="Times New Roman" w:hAnsi="Times New Roman" w:eastAsia="宋体" w:cs="Times New Roman"/>
          <w:b/>
          <w:sz w:val="28"/>
          <w:szCs w:val="28"/>
        </w:rPr>
        <w:br w:type="page"/>
      </w:r>
    </w:p>
    <w:p>
      <w:pPr>
        <w:pStyle w:val="38"/>
        <w:spacing w:line="360" w:lineRule="auto"/>
        <w:ind w:left="-210" w:leftChars="-100" w:firstLine="0" w:firstLineChars="0"/>
        <w:jc w:val="center"/>
        <w:outlineLvl w:val="0"/>
        <w:rPr>
          <w:rFonts w:hint="default" w:ascii="Times New Roman" w:hAnsi="Times New Roman" w:eastAsia="宋体" w:cs="Times New Roman"/>
          <w:b/>
          <w:sz w:val="32"/>
          <w:szCs w:val="32"/>
        </w:rPr>
      </w:pPr>
      <w:bookmarkStart w:id="31" w:name="_Toc2068"/>
      <w:r>
        <w:rPr>
          <w:rFonts w:hint="default" w:ascii="Times New Roman" w:hAnsi="Times New Roman" w:eastAsia="宋体" w:cs="Times New Roman"/>
          <w:b/>
          <w:sz w:val="32"/>
          <w:szCs w:val="32"/>
        </w:rPr>
        <w:t>4、环境保护设施</w:t>
      </w:r>
      <w:bookmarkEnd w:id="31"/>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32" w:name="_Toc1427"/>
      <w:r>
        <w:rPr>
          <w:rFonts w:hint="default" w:ascii="Times New Roman" w:hAnsi="Times New Roman" w:eastAsia="宋体" w:cs="Times New Roman"/>
          <w:b/>
          <w:sz w:val="28"/>
          <w:szCs w:val="32"/>
        </w:rPr>
        <w:t>4.1污染物治理/处置设施</w:t>
      </w:r>
      <w:bookmarkEnd w:id="32"/>
    </w:p>
    <w:p>
      <w:pPr>
        <w:pStyle w:val="38"/>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4.1.1废水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0"/>
        </w:rPr>
      </w:pPr>
      <w:bookmarkStart w:id="33" w:name="_Hlk74757575"/>
      <w:r>
        <w:rPr>
          <w:rFonts w:hint="default" w:ascii="Times New Roman" w:hAnsi="Times New Roman" w:eastAsia="宋体" w:cs="Times New Roman"/>
          <w:sz w:val="24"/>
          <w:szCs w:val="24"/>
        </w:rPr>
        <w:t>项目采用雨污分流制，雨水经管网收集后外排至厂外雨水沟。</w:t>
      </w:r>
      <w:r>
        <w:rPr>
          <w:rFonts w:hint="eastAsia" w:ascii="Times New Roman" w:hAnsi="Times New Roman" w:eastAsia="宋体" w:cs="Times New Roman"/>
          <w:sz w:val="24"/>
          <w:szCs w:val="24"/>
          <w:lang w:val="en-US" w:eastAsia="zh-CN"/>
        </w:rPr>
        <w:t>生活污水经化粪池预处理后，定期掏运用作农肥，不外排；化验中心第一次清洗废水作为危废，委托有资质单位进行处置；擦拭、冲洗废水</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纯化水制备浓水、包装容器清洗废水、注射水制备浓水、循环</w:t>
      </w:r>
      <w:r>
        <w:rPr>
          <w:rFonts w:hint="default" w:ascii="Times New Roman" w:hAnsi="Times New Roman" w:eastAsia="宋体" w:cs="Times New Roman"/>
          <w:sz w:val="24"/>
          <w:szCs w:val="24"/>
        </w:rPr>
        <w:t>冷却</w:t>
      </w:r>
      <w:r>
        <w:rPr>
          <w:rFonts w:hint="eastAsia" w:ascii="Times New Roman" w:hAnsi="Times New Roman" w:eastAsia="宋体" w:cs="Times New Roman"/>
          <w:sz w:val="24"/>
          <w:szCs w:val="24"/>
          <w:lang w:val="en-US" w:eastAsia="zh-CN"/>
        </w:rPr>
        <w:t>废</w:t>
      </w:r>
      <w:r>
        <w:rPr>
          <w:rFonts w:hint="default" w:ascii="Times New Roman" w:hAnsi="Times New Roman" w:eastAsia="宋体" w:cs="Times New Roman"/>
          <w:sz w:val="24"/>
          <w:szCs w:val="24"/>
        </w:rPr>
        <w:t>水</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化验中心第二次第三次清洗废水</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水浴灭菌箱废水</w:t>
      </w:r>
      <w:r>
        <w:rPr>
          <w:rFonts w:hint="default" w:ascii="Times New Roman" w:hAnsi="Times New Roman" w:eastAsia="宋体" w:cs="Times New Roman"/>
          <w:sz w:val="24"/>
          <w:szCs w:val="24"/>
          <w:lang w:val="en-US" w:eastAsia="zh-CN"/>
        </w:rPr>
        <w:t>一起</w:t>
      </w:r>
      <w:r>
        <w:rPr>
          <w:rFonts w:hint="default" w:ascii="Times New Roman" w:hAnsi="Times New Roman" w:eastAsia="宋体" w:cs="Times New Roman"/>
          <w:sz w:val="24"/>
          <w:szCs w:val="24"/>
          <w:lang w:eastAsia="zh-CN"/>
        </w:rPr>
        <w:t>进入厂区污水处理站</w:t>
      </w:r>
      <w:r>
        <w:rPr>
          <w:rFonts w:hint="eastAsia" w:ascii="Times New Roman" w:hAnsi="Times New Roman" w:eastAsia="宋体" w:cs="Times New Roman"/>
          <w:sz w:val="24"/>
          <w:szCs w:val="24"/>
          <w:lang w:eastAsia="zh-CN"/>
        </w:rPr>
        <w:t>处理</w:t>
      </w:r>
      <w:r>
        <w:rPr>
          <w:rFonts w:hint="eastAsia" w:ascii="Times New Roman" w:hAnsi="Times New Roman" w:eastAsia="宋体" w:cs="Times New Roman"/>
          <w:sz w:val="24"/>
          <w:szCs w:val="24"/>
          <w:lang w:val="en-US" w:eastAsia="zh-CN"/>
        </w:rPr>
        <w:t>达标</w:t>
      </w:r>
      <w:r>
        <w:rPr>
          <w:rFonts w:hint="eastAsia" w:ascii="Times New Roman" w:hAnsi="Times New Roman" w:eastAsia="宋体" w:cs="Times New Roman"/>
          <w:sz w:val="24"/>
          <w:szCs w:val="24"/>
          <w:lang w:eastAsia="zh-CN"/>
        </w:rPr>
        <w:t>后，</w:t>
      </w:r>
      <w:r>
        <w:rPr>
          <w:rFonts w:hint="default" w:ascii="Times New Roman" w:hAnsi="Times New Roman" w:eastAsia="宋体" w:cs="Times New Roman"/>
          <w:sz w:val="24"/>
          <w:szCs w:val="24"/>
          <w:lang w:val="en-US" w:eastAsia="zh-CN"/>
        </w:rPr>
        <w:t>通过市政污水管网排入</w:t>
      </w:r>
      <w:r>
        <w:rPr>
          <w:rFonts w:hint="eastAsia" w:ascii="Times New Roman" w:hAnsi="Times New Roman" w:eastAsia="宋体" w:cs="Times New Roman"/>
          <w:sz w:val="24"/>
          <w:szCs w:val="24"/>
          <w:lang w:val="en-US" w:eastAsia="zh-CN"/>
        </w:rPr>
        <w:t>菏泽众兴牡丹水环境有限公司污水处理厂</w:t>
      </w:r>
      <w:r>
        <w:rPr>
          <w:rFonts w:hint="default" w:ascii="Times New Roman" w:hAnsi="Times New Roman" w:eastAsia="宋体" w:cs="Times New Roman"/>
          <w:sz w:val="24"/>
          <w:szCs w:val="24"/>
          <w:lang w:val="en-US" w:eastAsia="zh-CN"/>
        </w:rPr>
        <w:t>进行深度处理</w:t>
      </w:r>
      <w:r>
        <w:rPr>
          <w:rFonts w:hint="eastAsia" w:ascii="Times New Roman" w:hAnsi="Times New Roman" w:eastAsia="宋体" w:cs="Times New Roman"/>
          <w:sz w:val="24"/>
          <w:szCs w:val="24"/>
          <w:lang w:val="en-US" w:eastAsia="zh-CN"/>
        </w:rPr>
        <w:t>，车间地面清洁</w:t>
      </w:r>
      <w:r>
        <w:rPr>
          <w:rFonts w:hint="default" w:ascii="Times New Roman" w:hAnsi="Times New Roman" w:eastAsia="宋体" w:cs="Times New Roman"/>
          <w:snapToGrid w:val="0"/>
          <w:color w:val="auto"/>
          <w:kern w:val="0"/>
          <w:sz w:val="24"/>
          <w:szCs w:val="24"/>
          <w:highlight w:val="none"/>
          <w:lang w:val="en-US" w:eastAsia="zh-CN"/>
        </w:rPr>
        <w:t>采取拖把保洁方式</w:t>
      </w:r>
      <w:r>
        <w:rPr>
          <w:rFonts w:hint="eastAsia" w:ascii="Times New Roman" w:hAnsi="Times New Roman" w:eastAsia="宋体" w:cs="Times New Roman"/>
          <w:snapToGrid w:val="0"/>
          <w:color w:val="auto"/>
          <w:kern w:val="0"/>
          <w:sz w:val="24"/>
          <w:szCs w:val="24"/>
          <w:highlight w:val="none"/>
          <w:lang w:val="en-US" w:eastAsia="zh-CN"/>
        </w:rPr>
        <w:t>全部蒸发损耗，不外</w:t>
      </w:r>
      <w:r>
        <w:rPr>
          <w:rFonts w:hint="eastAsia" w:ascii="Times New Roman" w:hAnsi="Times New Roman" w:eastAsia="宋体" w:cs="Times New Roman"/>
          <w:color w:val="000000"/>
          <w:sz w:val="24"/>
          <w:szCs w:val="20"/>
          <w:lang w:val="en-US" w:eastAsia="zh-CN"/>
        </w:rPr>
        <w:t>排</w:t>
      </w:r>
      <w:r>
        <w:rPr>
          <w:rFonts w:hint="default" w:ascii="Times New Roman" w:hAnsi="Times New Roman" w:eastAsia="宋体" w:cs="Times New Roman"/>
          <w:color w:val="000000"/>
          <w:sz w:val="24"/>
          <w:szCs w:val="20"/>
          <w:lang w:val="en-US" w:eastAsia="zh-CN"/>
        </w:rPr>
        <w:t>。</w:t>
      </w:r>
      <w:r>
        <w:rPr>
          <w:rFonts w:hint="eastAsia" w:ascii="Times New Roman" w:hAnsi="Times New Roman" w:eastAsia="宋体" w:cs="Times New Roman"/>
          <w:color w:val="000000"/>
          <w:sz w:val="24"/>
          <w:szCs w:val="20"/>
          <w:lang w:val="en-US" w:eastAsia="zh-CN"/>
        </w:rPr>
        <w:t>外购蒸汽经冷凝池</w:t>
      </w:r>
      <w:r>
        <w:rPr>
          <w:rFonts w:hint="eastAsia" w:ascii="Times New Roman" w:hAnsi="Times New Roman" w:eastAsia="宋体" w:cs="Times New Roman"/>
          <w:color w:val="000000"/>
          <w:sz w:val="24"/>
          <w:szCs w:val="20"/>
          <w:lang w:val="en-US"/>
        </w:rPr>
        <w:t>冷凝后</w:t>
      </w:r>
      <w:r>
        <w:rPr>
          <w:rFonts w:hint="eastAsia" w:ascii="Times New Roman" w:hAnsi="Times New Roman" w:eastAsia="宋体" w:cs="Times New Roman"/>
          <w:color w:val="000000"/>
          <w:sz w:val="24"/>
          <w:szCs w:val="20"/>
          <w:lang w:val="zh-CN"/>
        </w:rPr>
        <w:t>回用于地面清洗及循环冷却用水</w:t>
      </w:r>
      <w:r>
        <w:rPr>
          <w:rFonts w:hint="eastAsia" w:ascii="Times New Roman" w:hAnsi="Times New Roman" w:eastAsia="宋体" w:cs="Times New Roman"/>
          <w:color w:val="000000"/>
          <w:sz w:val="24"/>
          <w:szCs w:val="20"/>
          <w:lang w:val="en-US" w:eastAsia="zh-CN"/>
        </w:rPr>
        <w:t>。</w:t>
      </w:r>
      <w:r>
        <w:rPr>
          <w:rFonts w:hint="default" w:ascii="Times New Roman" w:hAnsi="Times New Roman" w:eastAsia="宋体" w:cs="Times New Roman"/>
          <w:color w:val="000000"/>
          <w:sz w:val="24"/>
          <w:szCs w:val="20"/>
        </w:rPr>
        <w:t>另外，项目厂区化粪池</w:t>
      </w:r>
      <w:r>
        <w:rPr>
          <w:rFonts w:hint="eastAsia" w:ascii="Times New Roman" w:hAnsi="Times New Roman" w:eastAsia="宋体" w:cs="Times New Roman"/>
          <w:color w:val="000000"/>
          <w:sz w:val="24"/>
          <w:szCs w:val="20"/>
          <w:lang w:eastAsia="zh-CN"/>
        </w:rPr>
        <w:t>、</w:t>
      </w:r>
      <w:r>
        <w:rPr>
          <w:rFonts w:hint="eastAsia" w:ascii="Times New Roman" w:hAnsi="Times New Roman" w:eastAsia="宋体" w:cs="Times New Roman"/>
          <w:color w:val="000000"/>
          <w:sz w:val="24"/>
          <w:szCs w:val="20"/>
          <w:lang w:val="en-US" w:eastAsia="zh-CN"/>
        </w:rPr>
        <w:t>污水处理站均</w:t>
      </w:r>
      <w:r>
        <w:rPr>
          <w:rFonts w:hint="default" w:ascii="Times New Roman" w:hAnsi="Times New Roman" w:eastAsia="宋体" w:cs="Times New Roman"/>
          <w:color w:val="000000"/>
          <w:sz w:val="24"/>
          <w:szCs w:val="20"/>
        </w:rPr>
        <w:t>进行了防渗漏处理，防止生活污水渗入地下而影响到本区域地下水环境。</w:t>
      </w:r>
    </w:p>
    <w:p>
      <w:pPr>
        <w:autoSpaceDE w:val="0"/>
        <w:autoSpaceDN w:val="0"/>
        <w:spacing w:line="360" w:lineRule="auto"/>
        <w:ind w:firstLine="480" w:firstLineChars="200"/>
        <w:rPr>
          <w:rFonts w:hint="default" w:ascii="Times New Roman" w:hAnsi="Times New Roman" w:eastAsia="宋体" w:cs="Times New Roman"/>
          <w:color w:val="000000"/>
          <w:sz w:val="24"/>
          <w:szCs w:val="20"/>
          <w:lang w:val="en-US" w:eastAsia="zh-CN"/>
        </w:rPr>
      </w:pPr>
      <w:r>
        <w:rPr>
          <w:rFonts w:hint="eastAsia" w:ascii="Times New Roman" w:hAnsi="Times New Roman" w:eastAsia="宋体" w:cs="Times New Roman"/>
          <w:color w:val="000000"/>
          <w:sz w:val="24"/>
          <w:szCs w:val="20"/>
          <w:lang w:val="en-US" w:eastAsia="zh-CN"/>
        </w:rPr>
        <w:t>本项目拟建设处理能力为95m</w:t>
      </w:r>
      <w:r>
        <w:rPr>
          <w:rFonts w:hint="eastAsia" w:ascii="Times New Roman" w:hAnsi="Times New Roman" w:eastAsia="宋体" w:cs="Times New Roman"/>
          <w:color w:val="000000"/>
          <w:sz w:val="24"/>
          <w:szCs w:val="20"/>
          <w:vertAlign w:val="superscript"/>
          <w:lang w:val="en-US" w:eastAsia="zh-CN"/>
        </w:rPr>
        <w:t>3</w:t>
      </w:r>
      <w:r>
        <w:rPr>
          <w:rFonts w:hint="eastAsia" w:ascii="Times New Roman" w:hAnsi="Times New Roman" w:eastAsia="宋体" w:cs="Times New Roman"/>
          <w:color w:val="000000"/>
          <w:sz w:val="24"/>
          <w:szCs w:val="20"/>
          <w:vertAlign w:val="baseline"/>
          <w:lang w:val="en-US" w:eastAsia="zh-CN"/>
        </w:rPr>
        <w:t>/d的污水处理站，用于处理生产废水，</w:t>
      </w:r>
      <w:r>
        <w:rPr>
          <w:rFonts w:hint="eastAsia" w:ascii="Times New Roman" w:hAnsi="Times New Roman" w:eastAsia="宋体" w:cs="Times New Roman"/>
          <w:color w:val="000000"/>
          <w:sz w:val="24"/>
          <w:szCs w:val="20"/>
          <w:lang w:val="en-US" w:eastAsia="zh-CN"/>
        </w:rPr>
        <w:t>根据企业提供废水处理方案，废水处理工艺为：“预处理+调节池+厌氧池+缺氧池+好氧池+沉淀池”。</w:t>
      </w:r>
    </w:p>
    <w:p>
      <w:pPr>
        <w:autoSpaceDE w:val="0"/>
        <w:autoSpaceDN w:val="0"/>
        <w:spacing w:line="360" w:lineRule="auto"/>
        <w:ind w:firstLine="480" w:firstLineChars="200"/>
        <w:rPr>
          <w:rFonts w:hint="default" w:ascii="Times New Roman" w:hAnsi="Times New Roman" w:eastAsia="宋体" w:cs="Times New Roman"/>
          <w:color w:val="000000"/>
          <w:sz w:val="24"/>
          <w:szCs w:val="20"/>
          <w:lang w:val="en-US" w:eastAsia="zh-CN"/>
        </w:rPr>
      </w:pPr>
      <w:r>
        <w:rPr>
          <w:rFonts w:hint="default" w:ascii="Times New Roman" w:hAnsi="Times New Roman" w:eastAsia="宋体" w:cs="Times New Roman"/>
          <w:color w:val="000000"/>
          <w:sz w:val="24"/>
          <w:szCs w:val="20"/>
          <w:lang w:val="en-US" w:eastAsia="zh-CN"/>
        </w:rPr>
        <w:t>项目现场</w:t>
      </w:r>
      <w:r>
        <w:rPr>
          <w:rFonts w:hint="eastAsia" w:ascii="Times New Roman" w:hAnsi="Times New Roman" w:eastAsia="宋体" w:cs="Times New Roman"/>
          <w:color w:val="000000"/>
          <w:sz w:val="24"/>
          <w:szCs w:val="20"/>
          <w:lang w:val="en-US" w:eastAsia="zh-CN"/>
        </w:rPr>
        <w:t>污水处理</w:t>
      </w:r>
      <w:r>
        <w:rPr>
          <w:rFonts w:hint="default" w:ascii="Times New Roman" w:hAnsi="Times New Roman" w:eastAsia="宋体" w:cs="Times New Roman"/>
          <w:color w:val="000000"/>
          <w:sz w:val="24"/>
          <w:szCs w:val="20"/>
          <w:lang w:val="en-US" w:eastAsia="zh-CN"/>
        </w:rPr>
        <w:t>设施见图4-1。</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03"/>
        <w:gridCol w:w="43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48" w:type="pct"/>
            <w:vAlign w:val="center"/>
          </w:tcPr>
          <w:p>
            <w:pPr>
              <w:widowControl w:val="0"/>
              <w:spacing w:after="120"/>
              <w:ind w:left="0" w:leftChars="0" w:firstLine="0" w:firstLineChars="0"/>
              <w:jc w:val="cente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drawing>
                <wp:inline distT="0" distB="0" distL="114300" distR="114300">
                  <wp:extent cx="2567305" cy="1926590"/>
                  <wp:effectExtent l="0" t="0" r="4445" b="16510"/>
                  <wp:docPr id="291" name="图片 291" descr="a820533fcd7019eb21e004ff626c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a820533fcd7019eb21e004ff626c100"/>
                          <pic:cNvPicPr>
                            <a:picLocks noChangeAspect="1"/>
                          </pic:cNvPicPr>
                        </pic:nvPicPr>
                        <pic:blipFill>
                          <a:blip r:embed="rId23"/>
                          <a:stretch>
                            <a:fillRect/>
                          </a:stretch>
                        </pic:blipFill>
                        <pic:spPr>
                          <a:xfrm>
                            <a:off x="0" y="0"/>
                            <a:ext cx="2567305" cy="1926590"/>
                          </a:xfrm>
                          <a:prstGeom prst="rect">
                            <a:avLst/>
                          </a:prstGeom>
                        </pic:spPr>
                      </pic:pic>
                    </a:graphicData>
                  </a:graphic>
                </wp:inline>
              </w:drawing>
            </w:r>
          </w:p>
        </w:tc>
        <w:tc>
          <w:tcPr>
            <w:tcW w:w="2551" w:type="pct"/>
            <w:vAlign w:val="center"/>
          </w:tcPr>
          <w:p>
            <w:pPr>
              <w:widowControl w:val="0"/>
              <w:spacing w:after="120"/>
              <w:ind w:left="0" w:leftChars="0" w:firstLine="0" w:firstLineChars="0"/>
              <w:jc w:val="both"/>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drawing>
                <wp:inline distT="0" distB="0" distL="114300" distR="114300">
                  <wp:extent cx="2525395" cy="1833245"/>
                  <wp:effectExtent l="0" t="0" r="8255" b="14605"/>
                  <wp:docPr id="292" name="图片 292" descr="1bda7c9d640cdc3e0984725900ae0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1bda7c9d640cdc3e0984725900ae0da"/>
                          <pic:cNvPicPr>
                            <a:picLocks noChangeAspect="1"/>
                          </pic:cNvPicPr>
                        </pic:nvPicPr>
                        <pic:blipFill>
                          <a:blip r:embed="rId24"/>
                          <a:stretch>
                            <a:fillRect/>
                          </a:stretch>
                        </pic:blipFill>
                        <pic:spPr>
                          <a:xfrm>
                            <a:off x="0" y="0"/>
                            <a:ext cx="2525395" cy="18332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48" w:type="pct"/>
            <w:vAlign w:val="center"/>
          </w:tcPr>
          <w:p>
            <w:pPr>
              <w:widowControl w:val="0"/>
              <w:spacing w:after="120" w:line="360" w:lineRule="auto"/>
              <w:ind w:left="0" w:leftChars="0" w:firstLine="0" w:firstLineChars="0"/>
              <w:jc w:val="center"/>
              <w:rPr>
                <w:rFonts w:hint="default"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t>冷凝池</w:t>
            </w:r>
          </w:p>
        </w:tc>
        <w:tc>
          <w:tcPr>
            <w:tcW w:w="2551" w:type="pct"/>
            <w:vAlign w:val="center"/>
          </w:tcPr>
          <w:p>
            <w:pPr>
              <w:widowControl w:val="0"/>
              <w:spacing w:after="120" w:line="360" w:lineRule="auto"/>
              <w:ind w:left="0" w:leftChars="0" w:firstLine="0" w:firstLineChars="0"/>
              <w:jc w:val="center"/>
              <w:rPr>
                <w:rFonts w:hint="default"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t>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48" w:type="pct"/>
            <w:vAlign w:val="center"/>
          </w:tcPr>
          <w:p>
            <w:pPr>
              <w:widowControl w:val="0"/>
              <w:spacing w:after="120" w:line="360" w:lineRule="auto"/>
              <w:ind w:left="0" w:leftChars="0" w:firstLine="0" w:firstLineChars="0"/>
              <w:jc w:val="cente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drawing>
                <wp:inline distT="0" distB="0" distL="114300" distR="114300">
                  <wp:extent cx="2550160" cy="2360930"/>
                  <wp:effectExtent l="0" t="0" r="2540" b="1270"/>
                  <wp:docPr id="293" name="图片 293" descr="67b5f7ad5860aff8bc3ef6ae5317f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67b5f7ad5860aff8bc3ef6ae5317f42"/>
                          <pic:cNvPicPr>
                            <a:picLocks noChangeAspect="1"/>
                          </pic:cNvPicPr>
                        </pic:nvPicPr>
                        <pic:blipFill>
                          <a:blip r:embed="rId25"/>
                          <a:stretch>
                            <a:fillRect/>
                          </a:stretch>
                        </pic:blipFill>
                        <pic:spPr>
                          <a:xfrm>
                            <a:off x="0" y="0"/>
                            <a:ext cx="2550160" cy="2360930"/>
                          </a:xfrm>
                          <a:prstGeom prst="rect">
                            <a:avLst/>
                          </a:prstGeom>
                        </pic:spPr>
                      </pic:pic>
                    </a:graphicData>
                  </a:graphic>
                </wp:inline>
              </w:drawing>
            </w:r>
          </w:p>
        </w:tc>
        <w:tc>
          <w:tcPr>
            <w:tcW w:w="2551" w:type="pct"/>
            <w:vAlign w:val="center"/>
          </w:tcPr>
          <w:p>
            <w:pPr>
              <w:widowControl w:val="0"/>
              <w:spacing w:after="120" w:line="360" w:lineRule="auto"/>
              <w:ind w:left="0" w:leftChars="0" w:firstLine="0" w:firstLineChars="0"/>
              <w:jc w:val="cente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pPr>
            <w:r>
              <w:drawing>
                <wp:inline distT="0" distB="0" distL="114300" distR="114300">
                  <wp:extent cx="2679065" cy="2216785"/>
                  <wp:effectExtent l="0" t="0" r="6985" b="12065"/>
                  <wp:docPr id="29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6"/>
                          <pic:cNvPicPr>
                            <a:picLocks noChangeAspect="1"/>
                          </pic:cNvPicPr>
                        </pic:nvPicPr>
                        <pic:blipFill>
                          <a:blip r:embed="rId26"/>
                          <a:stretch>
                            <a:fillRect/>
                          </a:stretch>
                        </pic:blipFill>
                        <pic:spPr>
                          <a:xfrm>
                            <a:off x="0" y="0"/>
                            <a:ext cx="2679065" cy="221678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48" w:type="pct"/>
            <w:vAlign w:val="center"/>
          </w:tcPr>
          <w:p>
            <w:pPr>
              <w:widowControl w:val="0"/>
              <w:spacing w:after="120" w:line="360" w:lineRule="auto"/>
              <w:ind w:left="0" w:leftChars="0" w:firstLine="0" w:firstLineChars="0"/>
              <w:jc w:val="center"/>
              <w:rPr>
                <w:rFonts w:hint="default"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t>厌氧池</w:t>
            </w:r>
          </w:p>
        </w:tc>
        <w:tc>
          <w:tcPr>
            <w:tcW w:w="2551" w:type="pct"/>
            <w:vAlign w:val="center"/>
          </w:tcPr>
          <w:p>
            <w:pPr>
              <w:widowControl w:val="0"/>
              <w:spacing w:after="120" w:line="360" w:lineRule="auto"/>
              <w:ind w:left="0" w:leftChars="0" w:firstLine="0" w:firstLineChars="0"/>
              <w:jc w:val="cente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t>好氧池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48" w:type="pct"/>
            <w:vAlign w:val="center"/>
          </w:tcPr>
          <w:p>
            <w:pPr>
              <w:widowControl w:val="0"/>
              <w:spacing w:after="120" w:line="360" w:lineRule="auto"/>
              <w:ind w:left="0" w:leftChars="0" w:firstLine="0" w:firstLineChars="0"/>
              <w:jc w:val="both"/>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drawing>
                <wp:inline distT="0" distB="0" distL="114300" distR="114300">
                  <wp:extent cx="2525395" cy="1804670"/>
                  <wp:effectExtent l="0" t="0" r="8255" b="5080"/>
                  <wp:docPr id="295" name="图片 295" descr="ffaf2986c274f073272e8a9f7b6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ffaf2986c274f073272e8a9f7b62113"/>
                          <pic:cNvPicPr>
                            <a:picLocks noChangeAspect="1"/>
                          </pic:cNvPicPr>
                        </pic:nvPicPr>
                        <pic:blipFill>
                          <a:blip r:embed="rId27"/>
                          <a:stretch>
                            <a:fillRect/>
                          </a:stretch>
                        </pic:blipFill>
                        <pic:spPr>
                          <a:xfrm>
                            <a:off x="0" y="0"/>
                            <a:ext cx="2525395" cy="1804670"/>
                          </a:xfrm>
                          <a:prstGeom prst="rect">
                            <a:avLst/>
                          </a:prstGeom>
                        </pic:spPr>
                      </pic:pic>
                    </a:graphicData>
                  </a:graphic>
                </wp:inline>
              </w:drawing>
            </w:r>
          </w:p>
        </w:tc>
        <w:tc>
          <w:tcPr>
            <w:tcW w:w="2551" w:type="pct"/>
            <w:vAlign w:val="center"/>
          </w:tcPr>
          <w:p>
            <w:pPr>
              <w:widowControl w:val="0"/>
              <w:spacing w:after="120" w:line="360" w:lineRule="auto"/>
              <w:ind w:left="0" w:leftChars="0" w:firstLine="0" w:firstLineChars="0"/>
              <w:jc w:val="both"/>
              <w:rPr>
                <w:rFonts w:hint="default"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drawing>
                <wp:inline distT="0" distB="0" distL="114300" distR="114300">
                  <wp:extent cx="2583815" cy="1857375"/>
                  <wp:effectExtent l="0" t="0" r="6985" b="9525"/>
                  <wp:docPr id="296" name="图片 296" descr="7034de2c2c4880b3c255116d7edc7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7034de2c2c4880b3c255116d7edc73d"/>
                          <pic:cNvPicPr>
                            <a:picLocks noChangeAspect="1"/>
                          </pic:cNvPicPr>
                        </pic:nvPicPr>
                        <pic:blipFill>
                          <a:blip r:embed="rId28"/>
                          <a:stretch>
                            <a:fillRect/>
                          </a:stretch>
                        </pic:blipFill>
                        <pic:spPr>
                          <a:xfrm>
                            <a:off x="0" y="0"/>
                            <a:ext cx="2583815" cy="18573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48" w:type="pct"/>
            <w:vAlign w:val="center"/>
          </w:tcPr>
          <w:p>
            <w:pPr>
              <w:widowControl w:val="0"/>
              <w:spacing w:after="120" w:line="360" w:lineRule="auto"/>
              <w:ind w:left="0" w:leftChars="0" w:firstLine="0" w:firstLineChars="0"/>
              <w:jc w:val="center"/>
              <w:rPr>
                <w:rFonts w:hint="default"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t>缺氧池</w:t>
            </w:r>
          </w:p>
        </w:tc>
        <w:tc>
          <w:tcPr>
            <w:tcW w:w="2551" w:type="pct"/>
            <w:vAlign w:val="center"/>
          </w:tcPr>
          <w:p>
            <w:pPr>
              <w:widowControl w:val="0"/>
              <w:spacing w:after="120" w:line="360" w:lineRule="auto"/>
              <w:ind w:left="0" w:leftChars="0" w:firstLine="0" w:firstLineChars="0"/>
              <w:jc w:val="center"/>
              <w:rPr>
                <w:rFonts w:hint="default"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t>调节池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48" w:type="pct"/>
            <w:vAlign w:val="center"/>
          </w:tcPr>
          <w:p>
            <w:pPr>
              <w:widowControl w:val="0"/>
              <w:spacing w:after="120" w:line="360" w:lineRule="auto"/>
              <w:ind w:left="0" w:leftChars="0" w:firstLine="0" w:firstLineChars="0"/>
              <w:jc w:val="cente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drawing>
                <wp:inline distT="0" distB="0" distL="114300" distR="114300">
                  <wp:extent cx="2600960" cy="1950720"/>
                  <wp:effectExtent l="0" t="0" r="8890" b="11430"/>
                  <wp:docPr id="300" name="图片 300" descr="44c81414002ea5bf2df9013c12752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44c81414002ea5bf2df9013c127521b"/>
                          <pic:cNvPicPr>
                            <a:picLocks noChangeAspect="1"/>
                          </pic:cNvPicPr>
                        </pic:nvPicPr>
                        <pic:blipFill>
                          <a:blip r:embed="rId29"/>
                          <a:stretch>
                            <a:fillRect/>
                          </a:stretch>
                        </pic:blipFill>
                        <pic:spPr>
                          <a:xfrm>
                            <a:off x="0" y="0"/>
                            <a:ext cx="2600960" cy="1950720"/>
                          </a:xfrm>
                          <a:prstGeom prst="rect">
                            <a:avLst/>
                          </a:prstGeom>
                        </pic:spPr>
                      </pic:pic>
                    </a:graphicData>
                  </a:graphic>
                </wp:inline>
              </w:drawing>
            </w:r>
          </w:p>
        </w:tc>
        <w:tc>
          <w:tcPr>
            <w:tcW w:w="2551" w:type="pct"/>
            <w:vAlign w:val="center"/>
          </w:tcPr>
          <w:p>
            <w:pPr>
              <w:widowControl w:val="0"/>
              <w:spacing w:after="120" w:line="360" w:lineRule="auto"/>
              <w:ind w:left="0" w:leftChars="0" w:firstLine="0" w:firstLineChars="0"/>
              <w:jc w:val="cente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448" w:type="pct"/>
            <w:vAlign w:val="center"/>
          </w:tcPr>
          <w:p>
            <w:pPr>
              <w:widowControl w:val="0"/>
              <w:spacing w:after="120" w:line="360" w:lineRule="auto"/>
              <w:ind w:left="0" w:leftChars="0" w:firstLine="0" w:firstLineChars="0"/>
              <w:jc w:val="cente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t>废水排放口</w:t>
            </w:r>
          </w:p>
        </w:tc>
        <w:tc>
          <w:tcPr>
            <w:tcW w:w="2551" w:type="pct"/>
            <w:vAlign w:val="center"/>
          </w:tcPr>
          <w:p>
            <w:pPr>
              <w:widowControl w:val="0"/>
              <w:spacing w:after="120" w:line="360" w:lineRule="auto"/>
              <w:ind w:left="0" w:leftChars="0" w:firstLine="0" w:firstLineChars="0"/>
              <w:jc w:val="center"/>
              <w:rPr>
                <w:rFonts w:hint="default" w:ascii="Times New Roman" w:hAnsi="Times New Roman" w:eastAsia="宋体" w:cs="Times New Roman"/>
                <w:b/>
                <w:bCs/>
                <w:color w:val="000000" w:themeColor="text1"/>
                <w:kern w:val="2"/>
                <w:sz w:val="21"/>
                <w:szCs w:val="21"/>
                <w:vertAlign w:val="baseline"/>
                <w:lang w:val="en-US" w:eastAsia="zh-CN" w:bidi="ar-SA"/>
                <w14:textFill>
                  <w14:solidFill>
                    <w14:schemeClr w14:val="tx1"/>
                  </w14:solidFill>
                </w14:textFill>
              </w:rPr>
            </w:pPr>
          </w:p>
        </w:tc>
      </w:tr>
    </w:tbl>
    <w:p>
      <w:pPr>
        <w:autoSpaceDE w:val="0"/>
        <w:autoSpaceDN w:val="0"/>
        <w:spacing w:line="360" w:lineRule="auto"/>
        <w:jc w:val="center"/>
        <w:rPr>
          <w:rFonts w:hint="eastAsia" w:ascii="Times New Roman" w:hAnsi="Times New Roman" w:eastAsia="宋体" w:cs="Times New Roman"/>
          <w:color w:val="000000"/>
          <w:sz w:val="24"/>
          <w:szCs w:val="20"/>
          <w:lang w:val="en-US" w:eastAsia="zh-CN"/>
        </w:rPr>
      </w:pPr>
      <w:r>
        <w:rPr>
          <w:rFonts w:hint="default" w:ascii="Times New Roman" w:hAnsi="Times New Roman" w:eastAsia="宋体" w:cs="Times New Roman"/>
          <w:b/>
          <w:bCs/>
          <w:color w:val="000000"/>
          <w:sz w:val="24"/>
          <w:szCs w:val="20"/>
          <w:lang w:val="en-US" w:eastAsia="zh-CN"/>
        </w:rPr>
        <w:t xml:space="preserve">图4-1  </w:t>
      </w:r>
      <w:r>
        <w:rPr>
          <w:rFonts w:hint="eastAsia" w:ascii="Times New Roman" w:hAnsi="Times New Roman" w:eastAsia="宋体" w:cs="Times New Roman"/>
          <w:b/>
          <w:bCs/>
          <w:color w:val="000000"/>
          <w:sz w:val="24"/>
          <w:szCs w:val="20"/>
          <w:lang w:val="en-US" w:eastAsia="zh-CN"/>
        </w:rPr>
        <w:t>污水处理</w:t>
      </w:r>
      <w:r>
        <w:rPr>
          <w:rFonts w:hint="default" w:ascii="Times New Roman" w:hAnsi="Times New Roman" w:eastAsia="宋体" w:cs="Times New Roman"/>
          <w:b/>
          <w:bCs/>
          <w:color w:val="000000"/>
          <w:sz w:val="24"/>
          <w:szCs w:val="20"/>
          <w:lang w:val="en-US" w:eastAsia="zh-CN"/>
        </w:rPr>
        <w:t>设施图</w:t>
      </w:r>
    </w:p>
    <w:bookmarkEnd w:id="33"/>
    <w:p>
      <w:pPr>
        <w:pStyle w:val="38"/>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4.1.2废气</w:t>
      </w:r>
    </w:p>
    <w:p>
      <w:pPr>
        <w:pStyle w:val="38"/>
        <w:spacing w:line="360" w:lineRule="auto"/>
        <w:ind w:firstLine="0" w:firstLineChars="0"/>
        <w:jc w:val="both"/>
        <w:rPr>
          <w:rFonts w:hint="eastAsia" w:ascii="Times New Roman" w:hAnsi="Times New Roman" w:eastAsia="宋体" w:cs="Times New Roman"/>
          <w:b/>
          <w:sz w:val="24"/>
          <w:szCs w:val="32"/>
          <w:lang w:val="en-US" w:eastAsia="zh-CN"/>
        </w:rPr>
      </w:pPr>
      <w:r>
        <w:rPr>
          <w:rFonts w:hint="default" w:ascii="Times New Roman" w:hAnsi="Times New Roman" w:eastAsia="宋体" w:cs="Times New Roman"/>
          <w:b/>
          <w:sz w:val="24"/>
          <w:szCs w:val="32"/>
        </w:rPr>
        <w:t>4.1.2.1废气</w:t>
      </w:r>
      <w:r>
        <w:rPr>
          <w:rFonts w:hint="eastAsia" w:ascii="Times New Roman" w:hAnsi="Times New Roman" w:eastAsia="宋体" w:cs="Times New Roman"/>
          <w:b/>
          <w:sz w:val="24"/>
          <w:szCs w:val="32"/>
          <w:lang w:val="en-US" w:eastAsia="zh-CN"/>
        </w:rPr>
        <w:t>处理措施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0"/>
          <w:lang w:val="en-US" w:eastAsia="zh-CN"/>
        </w:rPr>
      </w:pPr>
      <w:r>
        <w:rPr>
          <w:rFonts w:hint="eastAsia" w:ascii="Times New Roman" w:hAnsi="Times New Roman" w:eastAsia="宋体" w:cs="Times New Roman"/>
          <w:color w:val="000000"/>
          <w:sz w:val="24"/>
          <w:szCs w:val="20"/>
          <w:lang w:val="en-US" w:eastAsia="zh-CN"/>
        </w:rPr>
        <w:t>G1小容量注射剂（安瓿瓶、西林瓶）车间</w:t>
      </w:r>
      <w:r>
        <w:rPr>
          <w:rFonts w:hint="default" w:ascii="Times New Roman" w:hAnsi="Times New Roman" w:eastAsia="宋体" w:cs="Times New Roman"/>
          <w:color w:val="000000"/>
          <w:sz w:val="24"/>
          <w:szCs w:val="20"/>
          <w:lang w:val="en-US" w:eastAsia="zh-CN"/>
        </w:rPr>
        <w:t>产生的异味，通过车间内微负压收集，由中央空气净化系统处理后，经出风口排放；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0"/>
          <w:lang w:val="en-US" w:eastAsia="zh-CN"/>
        </w:rPr>
      </w:pPr>
      <w:r>
        <w:rPr>
          <w:rFonts w:hint="default" w:ascii="Times New Roman" w:hAnsi="Times New Roman" w:eastAsia="宋体" w:cs="Times New Roman"/>
          <w:color w:val="000000"/>
          <w:sz w:val="24"/>
          <w:szCs w:val="20"/>
          <w:lang w:val="en-US" w:eastAsia="zh-CN"/>
        </w:rPr>
        <w:t>污水处理站恶臭气体经</w:t>
      </w:r>
      <w:r>
        <w:rPr>
          <w:rFonts w:hint="eastAsia" w:ascii="Times New Roman" w:hAnsi="Times New Roman" w:eastAsia="宋体" w:cs="Times New Roman"/>
          <w:color w:val="000000"/>
          <w:sz w:val="24"/>
          <w:szCs w:val="20"/>
          <w:lang w:val="en-US" w:eastAsia="zh-CN"/>
        </w:rPr>
        <w:t>“碱液喷淋塔+二级活性炭吸附装置”处</w:t>
      </w:r>
      <w:r>
        <w:rPr>
          <w:rFonts w:hint="default" w:ascii="Times New Roman" w:hAnsi="Times New Roman" w:eastAsia="宋体" w:cs="Times New Roman"/>
          <w:color w:val="000000"/>
          <w:sz w:val="24"/>
          <w:szCs w:val="20"/>
          <w:lang w:val="en-US" w:eastAsia="zh-CN"/>
        </w:rPr>
        <w:t>理后，最终通过1根15米高的排气筒（DA001）排放；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0"/>
          <w:lang w:val="en-US" w:eastAsia="zh-CN"/>
        </w:rPr>
      </w:pPr>
      <w:r>
        <w:rPr>
          <w:rFonts w:hint="default" w:ascii="Times New Roman" w:hAnsi="Times New Roman" w:eastAsia="宋体" w:cs="Times New Roman"/>
          <w:color w:val="000000"/>
          <w:sz w:val="24"/>
          <w:szCs w:val="20"/>
          <w:lang w:val="en-US" w:eastAsia="zh-CN"/>
        </w:rPr>
        <w:t>化验中心产生的有机废气经通风柜收集经“碱液喷淋塔+二级活性炭吸附装置”处理后，最终通过1根</w:t>
      </w:r>
      <w:r>
        <w:rPr>
          <w:rFonts w:hint="eastAsia" w:ascii="Times New Roman" w:hAnsi="Times New Roman" w:eastAsia="宋体" w:cs="Times New Roman"/>
          <w:color w:val="000000"/>
          <w:sz w:val="24"/>
          <w:szCs w:val="20"/>
          <w:lang w:val="en-US" w:eastAsia="zh-CN"/>
        </w:rPr>
        <w:t>20</w:t>
      </w:r>
      <w:r>
        <w:rPr>
          <w:rFonts w:hint="default" w:ascii="Times New Roman" w:hAnsi="Times New Roman" w:eastAsia="宋体" w:cs="Times New Roman"/>
          <w:color w:val="000000"/>
          <w:sz w:val="24"/>
          <w:szCs w:val="20"/>
          <w:lang w:val="en-US" w:eastAsia="zh-CN"/>
        </w:rPr>
        <w:t>米高的排气筒（DA002）排放（排气筒出口距离地面高度</w:t>
      </w:r>
      <w:r>
        <w:rPr>
          <w:rFonts w:hint="eastAsia" w:ascii="Times New Roman" w:hAnsi="Times New Roman" w:eastAsia="宋体" w:cs="Times New Roman"/>
          <w:color w:val="000000"/>
          <w:sz w:val="24"/>
          <w:szCs w:val="20"/>
          <w:lang w:val="en-US" w:eastAsia="zh-CN"/>
        </w:rPr>
        <w:t>20</w:t>
      </w:r>
      <w:r>
        <w:rPr>
          <w:rFonts w:hint="default" w:ascii="Times New Roman" w:hAnsi="Times New Roman" w:eastAsia="宋体" w:cs="Times New Roman"/>
          <w:color w:val="000000"/>
          <w:sz w:val="24"/>
          <w:szCs w:val="20"/>
          <w:lang w:val="en-US" w:eastAsia="zh-CN"/>
        </w:rPr>
        <w:t>m，排气筒高于楼层5米</w:t>
      </w:r>
      <w:r>
        <w:rPr>
          <w:rFonts w:hint="eastAsia" w:ascii="Times New Roman" w:hAnsi="Times New Roman" w:eastAsia="宋体" w:cs="Times New Roman"/>
          <w:color w:val="000000"/>
          <w:sz w:val="24"/>
          <w:szCs w:val="20"/>
          <w:lang w:val="en-US" w:eastAsia="zh-CN"/>
        </w:rPr>
        <w:t>）</w:t>
      </w:r>
      <w:r>
        <w:rPr>
          <w:rFonts w:hint="default" w:ascii="Times New Roman" w:hAnsi="Times New Roman" w:eastAsia="宋体" w:cs="Times New Roman"/>
          <w:color w:val="000000"/>
          <w:sz w:val="24"/>
          <w:szCs w:val="20"/>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8"/>
          <w14:textFill>
            <w14:solidFill>
              <w14:schemeClr w14:val="tx1"/>
            </w14:solidFill>
          </w14:textFill>
        </w:rPr>
      </w:pPr>
      <w:r>
        <w:rPr>
          <w:rFonts w:hint="default" w:ascii="Times New Roman" w:hAnsi="Times New Roman" w:eastAsia="宋体" w:cs="Times New Roman"/>
          <w:color w:val="000000" w:themeColor="text1"/>
          <w:sz w:val="24"/>
          <w:szCs w:val="28"/>
          <w14:textFill>
            <w14:solidFill>
              <w14:schemeClr w14:val="tx1"/>
            </w14:solidFill>
          </w14:textFill>
        </w:rPr>
        <w:t>项目现场环保设施见图4-</w:t>
      </w:r>
      <w:r>
        <w:rPr>
          <w:rFonts w:hint="eastAsia" w:ascii="Times New Roman" w:hAnsi="Times New Roman" w:eastAsia="宋体" w:cs="Times New Roman"/>
          <w:color w:val="000000" w:themeColor="text1"/>
          <w:sz w:val="24"/>
          <w:szCs w:val="28"/>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8"/>
          <w14:textFill>
            <w14:solidFill>
              <w14:schemeClr w14:val="tx1"/>
            </w14:solidFill>
          </w14:textFill>
        </w:rPr>
        <w:t>。</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1" w:type="dxa"/>
          </w:tcPr>
          <w:p>
            <w:pPr>
              <w:spacing w:line="360" w:lineRule="auto"/>
              <w:jc w:val="center"/>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52700" cy="1913890"/>
                  <wp:effectExtent l="0" t="0" r="0" b="10160"/>
                  <wp:docPr id="301" name="图片 301" descr="fb9bc4421760b8d8c913814f767e4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fb9bc4421760b8d8c913814f767e47c"/>
                          <pic:cNvPicPr>
                            <a:picLocks noChangeAspect="1"/>
                          </pic:cNvPicPr>
                        </pic:nvPicPr>
                        <pic:blipFill>
                          <a:blip r:embed="rId30"/>
                          <a:stretch>
                            <a:fillRect/>
                          </a:stretch>
                        </pic:blipFill>
                        <pic:spPr>
                          <a:xfrm>
                            <a:off x="0" y="0"/>
                            <a:ext cx="2552700" cy="1913890"/>
                          </a:xfrm>
                          <a:prstGeom prst="rect">
                            <a:avLst/>
                          </a:prstGeom>
                        </pic:spPr>
                      </pic:pic>
                    </a:graphicData>
                  </a:graphic>
                </wp:inline>
              </w:drawing>
            </w:r>
          </w:p>
        </w:tc>
        <w:tc>
          <w:tcPr>
            <w:tcW w:w="4261" w:type="dxa"/>
          </w:tcPr>
          <w:p>
            <w:pPr>
              <w:spacing w:line="360" w:lineRule="auto"/>
              <w:jc w:val="center"/>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52700" cy="1913890"/>
                  <wp:effectExtent l="0" t="0" r="0" b="10160"/>
                  <wp:docPr id="302" name="图片 302" descr="b7d59477670dcdcf140920c2caf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b7d59477670dcdcf140920c2caf1564"/>
                          <pic:cNvPicPr>
                            <a:picLocks noChangeAspect="1"/>
                          </pic:cNvPicPr>
                        </pic:nvPicPr>
                        <pic:blipFill>
                          <a:blip r:embed="rId31"/>
                          <a:stretch>
                            <a:fillRect/>
                          </a:stretch>
                        </pic:blipFill>
                        <pic:spPr>
                          <a:xfrm>
                            <a:off x="0" y="0"/>
                            <a:ext cx="2552700" cy="19138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522" w:type="dxa"/>
            <w:gridSpan w:val="2"/>
            <w:tcBorders>
              <w:left w:val="nil"/>
              <w:right w:val="nil"/>
            </w:tcBorders>
          </w:tcPr>
          <w:p>
            <w:pPr>
              <w:pStyle w:val="8"/>
              <w:spacing w:after="0" w:line="360" w:lineRule="auto"/>
              <w:ind w:left="0"/>
              <w:jc w:val="center"/>
              <w:rPr>
                <w:rFonts w:hint="default" w:ascii="Times New Roman" w:hAnsi="Times New Roman" w:eastAsia="宋体" w:cs="Times New Roman"/>
                <w:color w:val="000000"/>
                <w:sz w:val="24"/>
                <w:szCs w:val="28"/>
                <w:vertAlign w:val="baseline"/>
                <w:lang w:val="en-US" w:eastAsia="zh-CN"/>
              </w:rPr>
            </w:pPr>
            <w:r>
              <w:rPr>
                <w:rFonts w:hint="default" w:ascii="Times New Roman" w:hAnsi="Times New Roman" w:eastAsia="宋体" w:cs="Times New Roman"/>
                <w:color w:val="000000"/>
                <w:kern w:val="2"/>
                <w:sz w:val="21"/>
                <w:szCs w:val="21"/>
                <w:lang w:val="en-US" w:eastAsia="zh-CN" w:bidi="ar-SA"/>
              </w:rPr>
              <w:t>车间内微负压收集，由中央空气净化系统处理后，经出风口排放；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25395" cy="1861820"/>
                  <wp:effectExtent l="0" t="0" r="8255" b="5080"/>
                  <wp:docPr id="303" name="图片 303" descr="64e28c73c88c9953f590f5fac3e67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64e28c73c88c9953f590f5fac3e677b"/>
                          <pic:cNvPicPr>
                            <a:picLocks noChangeAspect="1"/>
                          </pic:cNvPicPr>
                        </pic:nvPicPr>
                        <pic:blipFill>
                          <a:blip r:embed="rId32"/>
                          <a:stretch>
                            <a:fillRect/>
                          </a:stretch>
                        </pic:blipFill>
                        <pic:spPr>
                          <a:xfrm>
                            <a:off x="0" y="0"/>
                            <a:ext cx="2525395" cy="1861820"/>
                          </a:xfrm>
                          <a:prstGeom prst="rect">
                            <a:avLst/>
                          </a:prstGeom>
                        </pic:spPr>
                      </pic:pic>
                    </a:graphicData>
                  </a:graphic>
                </wp:inline>
              </w:drawing>
            </w:r>
          </w:p>
        </w:tc>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48890" cy="1911985"/>
                  <wp:effectExtent l="0" t="0" r="3810" b="12065"/>
                  <wp:docPr id="304" name="图片 304" descr="bfcaef6b1c520ae7136efd27383b7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bfcaef6b1c520ae7136efd27383b7b4"/>
                          <pic:cNvPicPr>
                            <a:picLocks noChangeAspect="1"/>
                          </pic:cNvPicPr>
                        </pic:nvPicPr>
                        <pic:blipFill>
                          <a:blip r:embed="rId33"/>
                          <a:stretch>
                            <a:fillRect/>
                          </a:stretch>
                        </pic:blipFill>
                        <pic:spPr>
                          <a:xfrm>
                            <a:off x="0" y="0"/>
                            <a:ext cx="2548890" cy="19119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36190" cy="1923415"/>
                  <wp:effectExtent l="0" t="0" r="16510" b="635"/>
                  <wp:docPr id="306" name="图片 306" descr="66e7c50699fca3e0fdbb6bcb83879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66e7c50699fca3e0fdbb6bcb838793f"/>
                          <pic:cNvPicPr>
                            <a:picLocks noChangeAspect="1"/>
                          </pic:cNvPicPr>
                        </pic:nvPicPr>
                        <pic:blipFill>
                          <a:blip r:embed="rId34"/>
                          <a:stretch>
                            <a:fillRect/>
                          </a:stretch>
                        </pic:blipFill>
                        <pic:spPr>
                          <a:xfrm>
                            <a:off x="0" y="0"/>
                            <a:ext cx="2536190" cy="1923415"/>
                          </a:xfrm>
                          <a:prstGeom prst="rect">
                            <a:avLst/>
                          </a:prstGeom>
                        </pic:spPr>
                      </pic:pic>
                    </a:graphicData>
                  </a:graphic>
                </wp:inline>
              </w:drawing>
            </w:r>
          </w:p>
        </w:tc>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68575" cy="1926590"/>
                  <wp:effectExtent l="0" t="0" r="3175" b="16510"/>
                  <wp:docPr id="305" name="图片 305" descr="a1df863a1820386f12d17f5ed9f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a1df863a1820386f12d17f5ed9f3014"/>
                          <pic:cNvPicPr>
                            <a:picLocks noChangeAspect="1"/>
                          </pic:cNvPicPr>
                        </pic:nvPicPr>
                        <pic:blipFill>
                          <a:blip r:embed="rId35"/>
                          <a:stretch>
                            <a:fillRect/>
                          </a:stretch>
                        </pic:blipFill>
                        <pic:spPr>
                          <a:xfrm>
                            <a:off x="0" y="0"/>
                            <a:ext cx="2568575" cy="19265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48890" cy="2101850"/>
                  <wp:effectExtent l="0" t="0" r="3810" b="12700"/>
                  <wp:docPr id="308" name="图片 308" descr="7670f05bf0e7f6c6894d8b5a2dddc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7670f05bf0e7f6c6894d8b5a2dddc95"/>
                          <pic:cNvPicPr>
                            <a:picLocks noChangeAspect="1"/>
                          </pic:cNvPicPr>
                        </pic:nvPicPr>
                        <pic:blipFill>
                          <a:blip r:embed="rId36"/>
                          <a:stretch>
                            <a:fillRect/>
                          </a:stretch>
                        </pic:blipFill>
                        <pic:spPr>
                          <a:xfrm>
                            <a:off x="0" y="0"/>
                            <a:ext cx="2548890" cy="2101850"/>
                          </a:xfrm>
                          <a:prstGeom prst="rect">
                            <a:avLst/>
                          </a:prstGeom>
                        </pic:spPr>
                      </pic:pic>
                    </a:graphicData>
                  </a:graphic>
                </wp:inline>
              </w:drawing>
            </w:r>
          </w:p>
        </w:tc>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45715" cy="2146300"/>
                  <wp:effectExtent l="0" t="0" r="6985" b="6350"/>
                  <wp:docPr id="307" name="图片 307" descr="d0df2e872c13e36429f78eae4e2c4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d0df2e872c13e36429f78eae4e2c47d"/>
                          <pic:cNvPicPr>
                            <a:picLocks noChangeAspect="1"/>
                          </pic:cNvPicPr>
                        </pic:nvPicPr>
                        <pic:blipFill>
                          <a:blip r:embed="rId37"/>
                          <a:stretch>
                            <a:fillRect/>
                          </a:stretch>
                        </pic:blipFill>
                        <pic:spPr>
                          <a:xfrm>
                            <a:off x="0" y="0"/>
                            <a:ext cx="2545715" cy="21463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522" w:type="dxa"/>
            <w:gridSpan w:val="2"/>
            <w:tcBorders>
              <w:left w:val="nil"/>
              <w:right w:val="nil"/>
            </w:tcBorders>
          </w:tcPr>
          <w:p>
            <w:pPr>
              <w:pStyle w:val="8"/>
              <w:spacing w:after="0" w:line="240" w:lineRule="auto"/>
              <w:ind w:left="0"/>
              <w:jc w:val="center"/>
              <w:rPr>
                <w:rFonts w:hint="default" w:ascii="Times New Roman" w:hAnsi="Times New Roman" w:eastAsia="宋体" w:cs="Times New Roman"/>
                <w:sz w:val="22"/>
                <w:szCs w:val="24"/>
                <w:lang w:val="en-US" w:eastAsia="zh-CN"/>
              </w:rPr>
            </w:pPr>
            <w:r>
              <w:rPr>
                <w:rFonts w:hint="default" w:ascii="Times New Roman" w:hAnsi="Times New Roman" w:eastAsia="宋体" w:cs="Times New Roman"/>
                <w:color w:val="000000"/>
                <w:kern w:val="2"/>
                <w:sz w:val="21"/>
                <w:szCs w:val="21"/>
                <w:lang w:val="en-US" w:eastAsia="zh-CN" w:bidi="ar-SA"/>
              </w:rPr>
              <w:t>污水处理站恶臭气体经</w:t>
            </w:r>
            <w:r>
              <w:rPr>
                <w:rFonts w:hint="eastAsia" w:ascii="Times New Roman" w:hAnsi="Times New Roman" w:eastAsia="宋体" w:cs="Times New Roman"/>
                <w:color w:val="000000"/>
                <w:kern w:val="2"/>
                <w:sz w:val="21"/>
                <w:szCs w:val="21"/>
                <w:lang w:val="en-US" w:eastAsia="zh-CN" w:bidi="ar-SA"/>
              </w:rPr>
              <w:t>“碱液喷淋塔+二级活性炭吸附装置”处</w:t>
            </w:r>
            <w:r>
              <w:rPr>
                <w:rFonts w:hint="default" w:ascii="Times New Roman" w:hAnsi="Times New Roman" w:eastAsia="宋体" w:cs="Times New Roman"/>
                <w:color w:val="000000"/>
                <w:kern w:val="2"/>
                <w:sz w:val="21"/>
                <w:szCs w:val="21"/>
                <w:lang w:val="en-US" w:eastAsia="zh-CN" w:bidi="ar-SA"/>
              </w:rPr>
              <w:t>理后，最终通过1根15米高的排气筒（DA001）排放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52700" cy="1913890"/>
                  <wp:effectExtent l="0" t="0" r="0" b="10160"/>
                  <wp:docPr id="309" name="图片 309" descr="85f58cba0f813c3f8f613949c9970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85f58cba0f813c3f8f613949c9970dc"/>
                          <pic:cNvPicPr>
                            <a:picLocks noChangeAspect="1"/>
                          </pic:cNvPicPr>
                        </pic:nvPicPr>
                        <pic:blipFill>
                          <a:blip r:embed="rId38"/>
                          <a:stretch>
                            <a:fillRect/>
                          </a:stretch>
                        </pic:blipFill>
                        <pic:spPr>
                          <a:xfrm>
                            <a:off x="0" y="0"/>
                            <a:ext cx="2552700" cy="1913890"/>
                          </a:xfrm>
                          <a:prstGeom prst="rect">
                            <a:avLst/>
                          </a:prstGeom>
                        </pic:spPr>
                      </pic:pic>
                    </a:graphicData>
                  </a:graphic>
                </wp:inline>
              </w:drawing>
            </w:r>
            <w:r>
              <w:rPr>
                <w:rFonts w:hint="default" w:ascii="Times New Roman" w:hAnsi="Times New Roman" w:eastAsia="宋体" w:cs="Times New Roman"/>
                <w:color w:val="000000"/>
                <w:sz w:val="24"/>
                <w:szCs w:val="28"/>
                <w:vertAlign w:val="baseline"/>
                <w:lang w:eastAsia="zh-CN"/>
              </w:rPr>
              <w:drawing>
                <wp:inline distT="0" distB="0" distL="114300" distR="114300">
                  <wp:extent cx="2550160" cy="2094230"/>
                  <wp:effectExtent l="0" t="0" r="2540" b="1270"/>
                  <wp:docPr id="311" name="图片 311" descr="0da253821d27cf8b5ec48d2853662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0da253821d27cf8b5ec48d2853662b6"/>
                          <pic:cNvPicPr>
                            <a:picLocks noChangeAspect="1"/>
                          </pic:cNvPicPr>
                        </pic:nvPicPr>
                        <pic:blipFill>
                          <a:blip r:embed="rId39"/>
                          <a:stretch>
                            <a:fillRect/>
                          </a:stretch>
                        </pic:blipFill>
                        <pic:spPr>
                          <a:xfrm>
                            <a:off x="0" y="0"/>
                            <a:ext cx="2550160" cy="2094230"/>
                          </a:xfrm>
                          <a:prstGeom prst="rect">
                            <a:avLst/>
                          </a:prstGeom>
                        </pic:spPr>
                      </pic:pic>
                    </a:graphicData>
                  </a:graphic>
                </wp:inline>
              </w:drawing>
            </w:r>
          </w:p>
        </w:tc>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52700" cy="1913890"/>
                  <wp:effectExtent l="0" t="0" r="0" b="10160"/>
                  <wp:docPr id="310" name="图片 310" descr="01f2a5740a4e60243223c36057e7f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01f2a5740a4e60243223c36057e7f3f"/>
                          <pic:cNvPicPr>
                            <a:picLocks noChangeAspect="1"/>
                          </pic:cNvPicPr>
                        </pic:nvPicPr>
                        <pic:blipFill>
                          <a:blip r:embed="rId40"/>
                          <a:stretch>
                            <a:fillRect/>
                          </a:stretch>
                        </pic:blipFill>
                        <pic:spPr>
                          <a:xfrm>
                            <a:off x="0" y="0"/>
                            <a:ext cx="2552700" cy="1913890"/>
                          </a:xfrm>
                          <a:prstGeom prst="rect">
                            <a:avLst/>
                          </a:prstGeom>
                        </pic:spPr>
                      </pic:pic>
                    </a:graphicData>
                  </a:graphic>
                </wp:inline>
              </w:drawing>
            </w:r>
            <w:r>
              <w:rPr>
                <w:rFonts w:hint="default" w:ascii="Times New Roman" w:hAnsi="Times New Roman" w:eastAsia="宋体" w:cs="Times New Roman"/>
                <w:color w:val="000000"/>
                <w:sz w:val="24"/>
                <w:szCs w:val="28"/>
                <w:vertAlign w:val="baseline"/>
                <w:lang w:eastAsia="zh-CN"/>
              </w:rPr>
              <w:drawing>
                <wp:inline distT="0" distB="0" distL="114300" distR="114300">
                  <wp:extent cx="2525395" cy="2004695"/>
                  <wp:effectExtent l="0" t="0" r="8255" b="14605"/>
                  <wp:docPr id="312" name="图片 312" descr="30c1ee61ea2a3dd8595ad7859d0c3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30c1ee61ea2a3dd8595ad7859d0c3bc"/>
                          <pic:cNvPicPr>
                            <a:picLocks noChangeAspect="1"/>
                          </pic:cNvPicPr>
                        </pic:nvPicPr>
                        <pic:blipFill>
                          <a:blip r:embed="rId41"/>
                          <a:stretch>
                            <a:fillRect/>
                          </a:stretch>
                        </pic:blipFill>
                        <pic:spPr>
                          <a:xfrm>
                            <a:off x="0" y="0"/>
                            <a:ext cx="2525395" cy="20046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drawing>
                <wp:inline distT="0" distB="0" distL="114300" distR="114300">
                  <wp:extent cx="2690495" cy="1858645"/>
                  <wp:effectExtent l="0" t="0" r="14605" b="8255"/>
                  <wp:docPr id="3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7"/>
                          <pic:cNvPicPr>
                            <a:picLocks noChangeAspect="1"/>
                          </pic:cNvPicPr>
                        </pic:nvPicPr>
                        <pic:blipFill>
                          <a:blip r:embed="rId42"/>
                          <a:stretch>
                            <a:fillRect/>
                          </a:stretch>
                        </pic:blipFill>
                        <pic:spPr>
                          <a:xfrm>
                            <a:off x="0" y="0"/>
                            <a:ext cx="2690495" cy="1858645"/>
                          </a:xfrm>
                          <a:prstGeom prst="rect">
                            <a:avLst/>
                          </a:prstGeom>
                          <a:noFill/>
                          <a:ln>
                            <a:noFill/>
                          </a:ln>
                        </pic:spPr>
                      </pic:pic>
                    </a:graphicData>
                  </a:graphic>
                </wp:inline>
              </w:drawing>
            </w:r>
          </w:p>
        </w:tc>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25395" cy="1852930"/>
                  <wp:effectExtent l="0" t="0" r="8255" b="13970"/>
                  <wp:docPr id="314" name="图片 314" descr="8881df2d76e106e9a2e26c98b7b50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8881df2d76e106e9a2e26c98b7b503e"/>
                          <pic:cNvPicPr>
                            <a:picLocks noChangeAspect="1"/>
                          </pic:cNvPicPr>
                        </pic:nvPicPr>
                        <pic:blipFill>
                          <a:blip r:embed="rId43"/>
                          <a:stretch>
                            <a:fillRect/>
                          </a:stretch>
                        </pic:blipFill>
                        <pic:spPr>
                          <a:xfrm>
                            <a:off x="0" y="0"/>
                            <a:ext cx="2525395" cy="18529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67305" cy="1926590"/>
                  <wp:effectExtent l="0" t="0" r="4445" b="16510"/>
                  <wp:docPr id="315" name="图片 315" descr="9e7ce8dc6ad415a481a807fe9d3f1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9e7ce8dc6ad415a481a807fe9d3f1f2"/>
                          <pic:cNvPicPr>
                            <a:picLocks noChangeAspect="1"/>
                          </pic:cNvPicPr>
                        </pic:nvPicPr>
                        <pic:blipFill>
                          <a:blip r:embed="rId44"/>
                          <a:stretch>
                            <a:fillRect/>
                          </a:stretch>
                        </pic:blipFill>
                        <pic:spPr>
                          <a:xfrm>
                            <a:off x="0" y="0"/>
                            <a:ext cx="2567305" cy="1926590"/>
                          </a:xfrm>
                          <a:prstGeom prst="rect">
                            <a:avLst/>
                          </a:prstGeom>
                        </pic:spPr>
                      </pic:pic>
                    </a:graphicData>
                  </a:graphic>
                </wp:inline>
              </w:drawing>
            </w:r>
          </w:p>
        </w:tc>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25395" cy="1804670"/>
                  <wp:effectExtent l="0" t="0" r="8255" b="5080"/>
                  <wp:docPr id="316" name="图片 316" descr="7183940638031c2dac979211d04b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7183940638031c2dac979211d04b743"/>
                          <pic:cNvPicPr>
                            <a:picLocks noChangeAspect="1"/>
                          </pic:cNvPicPr>
                        </pic:nvPicPr>
                        <pic:blipFill>
                          <a:blip r:embed="rId45"/>
                          <a:stretch>
                            <a:fillRect/>
                          </a:stretch>
                        </pic:blipFill>
                        <pic:spPr>
                          <a:xfrm>
                            <a:off x="0" y="0"/>
                            <a:ext cx="2525395" cy="18046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8522" w:type="dxa"/>
            <w:gridSpan w:val="2"/>
          </w:tcPr>
          <w:p>
            <w:pPr>
              <w:spacing w:line="240" w:lineRule="auto"/>
              <w:jc w:val="center"/>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kern w:val="2"/>
                <w:sz w:val="21"/>
                <w:szCs w:val="21"/>
                <w:lang w:val="en-US" w:eastAsia="zh-CN" w:bidi="ar-SA"/>
              </w:rPr>
              <w:t>化验中心产生的有机废气经通风柜收集经“碱液喷淋塔+二级活性炭吸附装置”处理后，最终通过1根</w:t>
            </w:r>
            <w:r>
              <w:rPr>
                <w:rFonts w:hint="eastAsia" w:ascii="Times New Roman" w:hAnsi="Times New Roman" w:eastAsia="宋体" w:cs="Times New Roman"/>
                <w:color w:val="000000"/>
                <w:kern w:val="2"/>
                <w:sz w:val="21"/>
                <w:szCs w:val="21"/>
                <w:lang w:val="en-US" w:eastAsia="zh-CN" w:bidi="ar-SA"/>
              </w:rPr>
              <w:t>20</w:t>
            </w:r>
            <w:r>
              <w:rPr>
                <w:rFonts w:hint="default" w:ascii="Times New Roman" w:hAnsi="Times New Roman" w:eastAsia="宋体" w:cs="Times New Roman"/>
                <w:color w:val="000000"/>
                <w:kern w:val="2"/>
                <w:sz w:val="21"/>
                <w:szCs w:val="21"/>
                <w:lang w:val="en-US" w:eastAsia="zh-CN" w:bidi="ar-SA"/>
              </w:rPr>
              <w:t>米高的排气筒（DA002）排放（排气筒出口距离地面高度</w:t>
            </w:r>
            <w:r>
              <w:rPr>
                <w:rFonts w:hint="eastAsia" w:ascii="Times New Roman" w:hAnsi="Times New Roman" w:eastAsia="宋体" w:cs="Times New Roman"/>
                <w:color w:val="000000"/>
                <w:kern w:val="2"/>
                <w:sz w:val="21"/>
                <w:szCs w:val="21"/>
                <w:lang w:val="en-US" w:eastAsia="zh-CN" w:bidi="ar-SA"/>
              </w:rPr>
              <w:t>20</w:t>
            </w:r>
            <w:r>
              <w:rPr>
                <w:rFonts w:hint="default" w:ascii="Times New Roman" w:hAnsi="Times New Roman" w:eastAsia="宋体" w:cs="Times New Roman"/>
                <w:color w:val="000000"/>
                <w:kern w:val="2"/>
                <w:sz w:val="21"/>
                <w:szCs w:val="21"/>
                <w:lang w:val="en-US" w:eastAsia="zh-CN" w:bidi="ar-SA"/>
              </w:rPr>
              <w:t>m，排气筒高于楼层5米</w:t>
            </w:r>
            <w:r>
              <w:rPr>
                <w:rFonts w:hint="eastAsia" w:ascii="Times New Roman" w:hAnsi="Times New Roman" w:eastAsia="宋体" w:cs="Times New Roman"/>
                <w:color w:val="000000"/>
                <w:kern w:val="2"/>
                <w:sz w:val="21"/>
                <w:szCs w:val="21"/>
                <w:lang w:val="en-US" w:eastAsia="zh-CN" w:bidi="ar-SA"/>
              </w:rPr>
              <w:t>）</w:t>
            </w:r>
          </w:p>
        </w:tc>
      </w:tr>
    </w:tbl>
    <w:p>
      <w:pPr>
        <w:pStyle w:val="3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4"/>
          <w:szCs w:val="32"/>
        </w:rPr>
      </w:pPr>
      <w:r>
        <w:rPr>
          <w:rFonts w:hint="default" w:ascii="Times New Roman" w:hAnsi="Times New Roman" w:eastAsia="宋体" w:cs="Times New Roman"/>
          <w:b/>
          <w:sz w:val="22"/>
          <w:szCs w:val="24"/>
        </w:rPr>
        <w:t>图4-</w:t>
      </w:r>
      <w:r>
        <w:rPr>
          <w:rFonts w:hint="eastAsia" w:ascii="Times New Roman" w:hAnsi="Times New Roman" w:eastAsia="宋体" w:cs="Times New Roman"/>
          <w:b/>
          <w:sz w:val="22"/>
          <w:szCs w:val="24"/>
          <w:lang w:val="en-US" w:eastAsia="zh-CN"/>
        </w:rPr>
        <w:t>2</w:t>
      </w:r>
      <w:r>
        <w:rPr>
          <w:rFonts w:hint="default" w:ascii="Times New Roman" w:hAnsi="Times New Roman" w:eastAsia="宋体" w:cs="Times New Roman"/>
          <w:b/>
          <w:sz w:val="22"/>
          <w:szCs w:val="24"/>
        </w:rPr>
        <w:t xml:space="preserve">  现场环保设施图</w:t>
      </w:r>
    </w:p>
    <w:p>
      <w:pPr>
        <w:pStyle w:val="38"/>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4.1.3噪声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8"/>
        </w:rPr>
      </w:pPr>
      <w:bookmarkStart w:id="34" w:name="_Toc502264587"/>
      <w:bookmarkStart w:id="35" w:name="_Toc502264707"/>
      <w:r>
        <w:rPr>
          <w:rFonts w:hint="default" w:ascii="Times New Roman" w:hAnsi="Times New Roman" w:eastAsia="宋体" w:cs="Times New Roman"/>
          <w:color w:val="000000"/>
          <w:sz w:val="24"/>
          <w:szCs w:val="28"/>
        </w:rPr>
        <w:t>该项目主要噪声为生产使用设备运转产生的噪声，设备噪声源强为</w:t>
      </w:r>
      <w:r>
        <w:rPr>
          <w:rFonts w:hint="eastAsia" w:ascii="Times New Roman" w:hAnsi="Times New Roman" w:eastAsia="宋体" w:cs="Times New Roman"/>
          <w:color w:val="000000"/>
          <w:sz w:val="24"/>
          <w:szCs w:val="28"/>
          <w:lang w:val="en-US" w:eastAsia="zh-CN"/>
        </w:rPr>
        <w:t>70</w:t>
      </w:r>
      <w:r>
        <w:rPr>
          <w:rFonts w:hint="default" w:ascii="Times New Roman" w:hAnsi="Times New Roman" w:eastAsia="宋体" w:cs="Times New Roman"/>
          <w:color w:val="000000"/>
          <w:sz w:val="24"/>
          <w:szCs w:val="28"/>
          <w:lang w:val="en-US" w:eastAsia="zh-CN"/>
        </w:rPr>
        <w:t>-</w:t>
      </w:r>
      <w:r>
        <w:rPr>
          <w:rFonts w:hint="eastAsia" w:ascii="Times New Roman" w:hAnsi="Times New Roman" w:eastAsia="宋体" w:cs="Times New Roman"/>
          <w:color w:val="000000"/>
          <w:sz w:val="24"/>
          <w:szCs w:val="28"/>
          <w:lang w:val="en-US" w:eastAsia="zh-CN"/>
        </w:rPr>
        <w:t>90</w:t>
      </w:r>
      <w:r>
        <w:rPr>
          <w:rFonts w:hint="default" w:ascii="Times New Roman" w:hAnsi="Times New Roman" w:eastAsia="宋体" w:cs="Times New Roman"/>
          <w:color w:val="000000"/>
          <w:sz w:val="24"/>
          <w:szCs w:val="28"/>
        </w:rPr>
        <w:t>dB（A）。针对该项目产噪设备的特点采取选用低噪声设备，在合理布局的基础上，对车间生产设备噪声源采取选用高效、低噪声设备，室内安装、基础减震降噪等措施。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项目现场</w:t>
      </w:r>
      <w:r>
        <w:rPr>
          <w:rFonts w:hint="eastAsia" w:ascii="Times New Roman" w:hAnsi="Times New Roman" w:eastAsia="宋体" w:cs="Times New Roman"/>
          <w:color w:val="000000"/>
          <w:sz w:val="24"/>
          <w:szCs w:val="28"/>
          <w:lang w:val="en-US" w:eastAsia="zh-CN"/>
        </w:rPr>
        <w:t>主要噪声产生点</w:t>
      </w:r>
      <w:r>
        <w:rPr>
          <w:rFonts w:hint="default" w:ascii="Times New Roman" w:hAnsi="Times New Roman" w:eastAsia="宋体" w:cs="Times New Roman"/>
          <w:color w:val="000000"/>
          <w:sz w:val="24"/>
          <w:szCs w:val="28"/>
        </w:rPr>
        <w:t>见图4-</w:t>
      </w:r>
      <w:r>
        <w:rPr>
          <w:rFonts w:hint="eastAsia" w:ascii="Times New Roman" w:hAnsi="Times New Roman" w:eastAsia="宋体" w:cs="Times New Roman"/>
          <w:color w:val="000000"/>
          <w:sz w:val="24"/>
          <w:szCs w:val="28"/>
          <w:lang w:val="en-US" w:eastAsia="zh-CN"/>
        </w:rPr>
        <w:t>3</w:t>
      </w:r>
      <w:r>
        <w:rPr>
          <w:rFonts w:hint="default" w:ascii="Times New Roman" w:hAnsi="Times New Roman" w:eastAsia="宋体" w:cs="Times New Roman"/>
          <w:color w:val="000000"/>
          <w:sz w:val="24"/>
          <w:szCs w:val="28"/>
        </w:rPr>
        <w:t>。</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622550" cy="1874520"/>
                  <wp:effectExtent l="0" t="0" r="6350" b="11430"/>
                  <wp:docPr id="336" name="图片 336" descr="7183940638031c2dac979211d04b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7183940638031c2dac979211d04b743"/>
                          <pic:cNvPicPr>
                            <a:picLocks noChangeAspect="1"/>
                          </pic:cNvPicPr>
                        </pic:nvPicPr>
                        <pic:blipFill>
                          <a:blip r:embed="rId45"/>
                          <a:stretch>
                            <a:fillRect/>
                          </a:stretch>
                        </pic:blipFill>
                        <pic:spPr>
                          <a:xfrm>
                            <a:off x="0" y="0"/>
                            <a:ext cx="2622550" cy="1874520"/>
                          </a:xfrm>
                          <a:prstGeom prst="rect">
                            <a:avLst/>
                          </a:prstGeom>
                        </pic:spPr>
                      </pic:pic>
                    </a:graphicData>
                  </a:graphic>
                </wp:inline>
              </w:drawing>
            </w:r>
          </w:p>
        </w:tc>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60320" cy="2128520"/>
                  <wp:effectExtent l="0" t="0" r="11430" b="5080"/>
                  <wp:docPr id="335" name="图片 335" descr="18ff9004d6e24ff5fed03d7d19208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18ff9004d6e24ff5fed03d7d19208a0"/>
                          <pic:cNvPicPr>
                            <a:picLocks noChangeAspect="1"/>
                          </pic:cNvPicPr>
                        </pic:nvPicPr>
                        <pic:blipFill>
                          <a:blip r:embed="rId46"/>
                          <a:stretch>
                            <a:fillRect/>
                          </a:stretch>
                        </pic:blipFill>
                        <pic:spPr>
                          <a:xfrm>
                            <a:off x="0" y="0"/>
                            <a:ext cx="2560320" cy="2128520"/>
                          </a:xfrm>
                          <a:prstGeom prst="rect">
                            <a:avLst/>
                          </a:prstGeom>
                        </pic:spPr>
                      </pic:pic>
                    </a:graphicData>
                  </a:graphic>
                </wp:inline>
              </w:drawing>
            </w: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b/>
          <w:sz w:val="22"/>
          <w:szCs w:val="24"/>
        </w:rPr>
        <w:t>图4-</w:t>
      </w:r>
      <w:r>
        <w:rPr>
          <w:rFonts w:hint="eastAsia" w:ascii="Times New Roman" w:hAnsi="Times New Roman" w:eastAsia="宋体" w:cs="Times New Roman"/>
          <w:b/>
          <w:sz w:val="22"/>
          <w:szCs w:val="24"/>
          <w:lang w:val="en-US" w:eastAsia="zh-CN"/>
        </w:rPr>
        <w:t>3</w:t>
      </w:r>
      <w:r>
        <w:rPr>
          <w:rFonts w:hint="default" w:ascii="Times New Roman" w:hAnsi="Times New Roman" w:eastAsia="宋体" w:cs="Times New Roman"/>
          <w:b/>
          <w:sz w:val="22"/>
          <w:szCs w:val="24"/>
        </w:rPr>
        <w:t xml:space="preserve">  现场</w:t>
      </w:r>
      <w:r>
        <w:rPr>
          <w:rFonts w:hint="eastAsia" w:ascii="Times New Roman" w:hAnsi="Times New Roman" w:eastAsia="宋体" w:cs="Times New Roman"/>
          <w:b/>
          <w:sz w:val="22"/>
          <w:szCs w:val="24"/>
          <w:lang w:val="en-US" w:eastAsia="zh-CN"/>
        </w:rPr>
        <w:t>主要噪声产生点</w:t>
      </w:r>
    </w:p>
    <w:bookmarkEnd w:id="34"/>
    <w:bookmarkEnd w:id="35"/>
    <w:p>
      <w:pPr>
        <w:pStyle w:val="38"/>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4.1.4固（液）体废物</w:t>
      </w:r>
    </w:p>
    <w:p>
      <w:pPr>
        <w:spacing w:line="360" w:lineRule="auto"/>
        <w:ind w:firstLine="480" w:firstLineChars="200"/>
        <w:jc w:val="left"/>
        <w:rPr>
          <w:rFonts w:hint="eastAsia"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污水处理站污泥、报废药品、危化品包装材料、化验中心危废、废活性炭滤芯、废空气滤芯、废活性炭属于危险废物，收集后暂存于危险废物暂存间内，定期委托有资质单位处置；废外包材料、集中收集后外售；纯水制备过程中的废石英砂、废活性炭、废反渗透膜由厂家更换回收；生活垃圾交由环卫部门定期清运处理</w:t>
      </w:r>
      <w:r>
        <w:rPr>
          <w:rFonts w:hint="eastAsia" w:ascii="Times New Roman" w:hAnsi="Times New Roman" w:eastAsia="宋体" w:cs="Times New Roman"/>
          <w:color w:val="000000"/>
          <w:sz w:val="24"/>
          <w:szCs w:val="28"/>
          <w:lang w:val="en-US" w:eastAsia="zh-CN"/>
        </w:rPr>
        <w:t>。不对环境产生二次污染。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项目现场</w:t>
      </w:r>
      <w:r>
        <w:rPr>
          <w:rFonts w:hint="eastAsia" w:ascii="Times New Roman" w:hAnsi="Times New Roman" w:eastAsia="宋体" w:cs="Times New Roman"/>
          <w:color w:val="000000"/>
          <w:sz w:val="24"/>
          <w:szCs w:val="28"/>
          <w:lang w:val="en-US" w:eastAsia="zh-CN"/>
        </w:rPr>
        <w:t>危险废物暂存间</w:t>
      </w:r>
      <w:r>
        <w:rPr>
          <w:rFonts w:hint="default" w:ascii="Times New Roman" w:hAnsi="Times New Roman" w:eastAsia="宋体" w:cs="Times New Roman"/>
          <w:color w:val="000000"/>
          <w:sz w:val="24"/>
          <w:szCs w:val="28"/>
        </w:rPr>
        <w:t>见图4-</w:t>
      </w:r>
      <w:r>
        <w:rPr>
          <w:rFonts w:hint="eastAsia" w:ascii="Times New Roman" w:hAnsi="Times New Roman" w:eastAsia="宋体" w:cs="Times New Roman"/>
          <w:color w:val="000000"/>
          <w:sz w:val="24"/>
          <w:szCs w:val="28"/>
          <w:lang w:val="en-US" w:eastAsia="zh-CN"/>
        </w:rPr>
        <w:t>4</w:t>
      </w:r>
      <w:r>
        <w:rPr>
          <w:rFonts w:hint="default" w:ascii="Times New Roman" w:hAnsi="Times New Roman" w:eastAsia="宋体" w:cs="Times New Roman"/>
          <w:color w:val="000000"/>
          <w:sz w:val="24"/>
          <w:szCs w:val="28"/>
        </w:rPr>
        <w:t>。</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trPr>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62860" cy="1955800"/>
                  <wp:effectExtent l="0" t="0" r="8890" b="6350"/>
                  <wp:docPr id="343" name="图片 343" descr="170530891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1705308911119"/>
                          <pic:cNvPicPr>
                            <a:picLocks noChangeAspect="1"/>
                          </pic:cNvPicPr>
                        </pic:nvPicPr>
                        <pic:blipFill>
                          <a:blip r:embed="rId47"/>
                          <a:stretch>
                            <a:fillRect/>
                          </a:stretch>
                        </pic:blipFill>
                        <pic:spPr>
                          <a:xfrm>
                            <a:off x="0" y="0"/>
                            <a:ext cx="2562860" cy="1955800"/>
                          </a:xfrm>
                          <a:prstGeom prst="rect">
                            <a:avLst/>
                          </a:prstGeom>
                        </pic:spPr>
                      </pic:pic>
                    </a:graphicData>
                  </a:graphic>
                </wp:inline>
              </w:drawing>
            </w:r>
          </w:p>
        </w:tc>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rPr>
                <w:rFonts w:hint="default" w:ascii="Times New Roman" w:hAnsi="Times New Roman" w:eastAsia="宋体" w:cs="Times New Roman"/>
                <w:color w:val="000000"/>
                <w:sz w:val="24"/>
                <w:szCs w:val="28"/>
                <w:vertAlign w:val="baseline"/>
                <w:lang w:eastAsia="zh-CN"/>
              </w:rPr>
              <w:drawing>
                <wp:inline distT="0" distB="0" distL="114300" distR="114300">
                  <wp:extent cx="2567305" cy="1873250"/>
                  <wp:effectExtent l="0" t="0" r="4445" b="12700"/>
                  <wp:docPr id="344" name="图片 344" descr="1705308935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1705308935738"/>
                          <pic:cNvPicPr>
                            <a:picLocks noChangeAspect="1"/>
                          </pic:cNvPicPr>
                        </pic:nvPicPr>
                        <pic:blipFill>
                          <a:blip r:embed="rId48"/>
                          <a:stretch>
                            <a:fillRect/>
                          </a:stretch>
                        </pic:blipFill>
                        <pic:spPr>
                          <a:xfrm>
                            <a:off x="0" y="0"/>
                            <a:ext cx="2567305" cy="18732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1" w:type="dxa"/>
          </w:tcPr>
          <w:p>
            <w:pPr>
              <w:spacing w:line="360" w:lineRule="auto"/>
              <w:rPr>
                <w:rFonts w:hint="default" w:ascii="Times New Roman" w:hAnsi="Times New Roman" w:eastAsia="宋体" w:cs="Times New Roman"/>
                <w:color w:val="000000"/>
                <w:sz w:val="24"/>
                <w:szCs w:val="28"/>
                <w:vertAlign w:val="baseline"/>
                <w:lang w:eastAsia="zh-CN"/>
              </w:rPr>
            </w:pPr>
            <w:r>
              <w:rPr>
                <w:rFonts w:hint="eastAsia" w:ascii="Times New Roman" w:hAnsi="Times New Roman" w:eastAsia="宋体" w:cs="Times New Roman"/>
                <w:color w:val="000000"/>
                <w:sz w:val="24"/>
                <w:szCs w:val="28"/>
                <w:vertAlign w:val="baseline"/>
                <w:lang w:eastAsia="zh-CN"/>
              </w:rPr>
              <w:drawing>
                <wp:inline distT="0" distB="0" distL="114300" distR="114300">
                  <wp:extent cx="2564130" cy="1767840"/>
                  <wp:effectExtent l="0" t="0" r="7620" b="3810"/>
                  <wp:docPr id="342" name="图片 342" descr="170530888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1705308883382"/>
                          <pic:cNvPicPr>
                            <a:picLocks noChangeAspect="1"/>
                          </pic:cNvPicPr>
                        </pic:nvPicPr>
                        <pic:blipFill>
                          <a:blip r:embed="rId49"/>
                          <a:stretch>
                            <a:fillRect/>
                          </a:stretch>
                        </pic:blipFill>
                        <pic:spPr>
                          <a:xfrm>
                            <a:off x="0" y="0"/>
                            <a:ext cx="2564130" cy="1767840"/>
                          </a:xfrm>
                          <a:prstGeom prst="rect">
                            <a:avLst/>
                          </a:prstGeom>
                        </pic:spPr>
                      </pic:pic>
                    </a:graphicData>
                  </a:graphic>
                </wp:inline>
              </w:drawing>
            </w:r>
          </w:p>
        </w:tc>
        <w:tc>
          <w:tcPr>
            <w:tcW w:w="4261" w:type="dxa"/>
          </w:tcPr>
          <w:p>
            <w:pPr>
              <w:spacing w:line="360" w:lineRule="auto"/>
              <w:rPr>
                <w:rFonts w:hint="eastAsia" w:ascii="Times New Roman" w:hAnsi="Times New Roman" w:eastAsia="宋体" w:cs="Times New Roman"/>
                <w:color w:val="000000"/>
                <w:sz w:val="24"/>
                <w:szCs w:val="28"/>
                <w:vertAlign w:val="baseline"/>
                <w:lang w:eastAsia="zh-CN"/>
              </w:rPr>
            </w:pPr>
          </w:p>
        </w:tc>
      </w:tr>
    </w:tbl>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sz w:val="24"/>
          <w:szCs w:val="28"/>
          <w:lang w:val="en-US"/>
        </w:rPr>
      </w:pPr>
      <w:r>
        <w:rPr>
          <w:rFonts w:hint="default" w:ascii="Times New Roman" w:hAnsi="Times New Roman" w:eastAsia="宋体" w:cs="Times New Roman"/>
          <w:b/>
          <w:sz w:val="22"/>
          <w:szCs w:val="24"/>
        </w:rPr>
        <w:t>图4-</w:t>
      </w:r>
      <w:r>
        <w:rPr>
          <w:rFonts w:hint="eastAsia" w:ascii="Times New Roman" w:hAnsi="Times New Roman" w:eastAsia="宋体" w:cs="Times New Roman"/>
          <w:b/>
          <w:sz w:val="22"/>
          <w:szCs w:val="24"/>
          <w:lang w:val="en-US" w:eastAsia="zh-CN"/>
        </w:rPr>
        <w:t>4</w:t>
      </w:r>
      <w:r>
        <w:rPr>
          <w:rFonts w:hint="default" w:ascii="Times New Roman" w:hAnsi="Times New Roman" w:eastAsia="宋体" w:cs="Times New Roman"/>
          <w:b/>
          <w:sz w:val="22"/>
          <w:szCs w:val="24"/>
        </w:rPr>
        <w:t xml:space="preserve">  现场</w:t>
      </w:r>
      <w:r>
        <w:rPr>
          <w:rFonts w:hint="eastAsia" w:ascii="Times New Roman" w:hAnsi="Times New Roman" w:eastAsia="宋体" w:cs="Times New Roman"/>
          <w:b/>
          <w:sz w:val="22"/>
          <w:szCs w:val="24"/>
          <w:lang w:val="en-US" w:eastAsia="zh-CN"/>
        </w:rPr>
        <w:t>危险废物暂存间</w:t>
      </w:r>
    </w:p>
    <w:p>
      <w:pPr>
        <w:pStyle w:val="38"/>
        <w:spacing w:line="360" w:lineRule="auto"/>
        <w:ind w:firstLine="0" w:firstLineChars="0"/>
        <w:jc w:val="both"/>
        <w:outlineLvl w:val="1"/>
        <w:rPr>
          <w:rFonts w:hint="default" w:ascii="Times New Roman" w:hAnsi="Times New Roman" w:eastAsia="宋体" w:cs="Times New Roman"/>
          <w:b/>
          <w:sz w:val="28"/>
          <w:szCs w:val="32"/>
        </w:rPr>
      </w:pPr>
      <w:bookmarkStart w:id="36" w:name="_Toc357"/>
      <w:r>
        <w:rPr>
          <w:rFonts w:hint="default" w:ascii="Times New Roman" w:hAnsi="Times New Roman" w:eastAsia="宋体" w:cs="Times New Roman"/>
          <w:b/>
          <w:sz w:val="28"/>
          <w:szCs w:val="32"/>
        </w:rPr>
        <w:t>4.2其他环保设施</w:t>
      </w:r>
      <w:bookmarkEnd w:id="36"/>
    </w:p>
    <w:p>
      <w:pPr>
        <w:pStyle w:val="38"/>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4.2.1风险因素分析</w:t>
      </w:r>
    </w:p>
    <w:p>
      <w:pPr>
        <w:pStyle w:val="8"/>
        <w:spacing w:after="0" w:line="360" w:lineRule="auto"/>
        <w:ind w:left="0" w:firstLine="480" w:firstLineChars="200"/>
        <w:jc w:val="both"/>
        <w:rPr>
          <w:rFonts w:hint="default" w:ascii="Times New Roman" w:hAnsi="Times New Roman" w:eastAsia="宋体" w:cs="Times New Roman"/>
          <w:sz w:val="24"/>
          <w:szCs w:val="28"/>
        </w:rPr>
      </w:pPr>
      <w:r>
        <w:rPr>
          <w:rFonts w:hint="default" w:ascii="Times New Roman" w:hAnsi="Times New Roman" w:eastAsia="宋体" w:cs="Times New Roman"/>
          <w:sz w:val="24"/>
          <w:szCs w:val="28"/>
        </w:rPr>
        <w:t>根据该项目特点，可能发生风险的因素主要为火灾风险，只要因某个因素，如电路问题、偶尔火星问题以及人为的故意行为或不经意行为都可导</w:t>
      </w:r>
      <w:r>
        <w:rPr>
          <w:rFonts w:hint="default" w:ascii="Times New Roman" w:hAnsi="Times New Roman" w:eastAsia="宋体" w:cs="Times New Roman"/>
          <w:sz w:val="24"/>
          <w:szCs w:val="28"/>
          <w:lang w:val="en-US" w:eastAsia="zh-CN"/>
        </w:rPr>
        <w:t>致设备短路</w:t>
      </w:r>
      <w:r>
        <w:rPr>
          <w:rFonts w:hint="default" w:ascii="Times New Roman" w:hAnsi="Times New Roman" w:eastAsia="宋体" w:cs="Times New Roman"/>
          <w:sz w:val="24"/>
          <w:szCs w:val="28"/>
        </w:rPr>
        <w:t>燃烧。</w:t>
      </w:r>
    </w:p>
    <w:p>
      <w:pPr>
        <w:pStyle w:val="38"/>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4.2.2风险防范措施</w:t>
      </w:r>
    </w:p>
    <w:p>
      <w:pPr>
        <w:pStyle w:val="8"/>
        <w:spacing w:after="0" w:line="360" w:lineRule="auto"/>
        <w:ind w:left="0" w:firstLine="480" w:firstLineChars="200"/>
        <w:jc w:val="both"/>
        <w:rPr>
          <w:rFonts w:hint="default" w:ascii="Times New Roman" w:hAnsi="Times New Roman" w:eastAsia="宋体" w:cs="Times New Roman"/>
          <w:sz w:val="24"/>
          <w:szCs w:val="28"/>
        </w:rPr>
      </w:pPr>
      <w:r>
        <w:rPr>
          <w:rFonts w:hint="default" w:ascii="Times New Roman" w:hAnsi="Times New Roman" w:eastAsia="宋体" w:cs="Times New Roman"/>
          <w:sz w:val="24"/>
          <w:szCs w:val="28"/>
        </w:rPr>
        <w:t>1、加强公司设备管理，加强员工消防技能的培训。</w:t>
      </w:r>
    </w:p>
    <w:p>
      <w:pPr>
        <w:pStyle w:val="8"/>
        <w:spacing w:after="0" w:line="360" w:lineRule="auto"/>
        <w:ind w:left="0" w:firstLine="480" w:firstLineChars="200"/>
        <w:jc w:val="both"/>
        <w:rPr>
          <w:rFonts w:hint="default" w:ascii="Times New Roman" w:hAnsi="Times New Roman" w:eastAsia="宋体" w:cs="Times New Roman"/>
          <w:sz w:val="24"/>
          <w:szCs w:val="28"/>
        </w:rPr>
      </w:pPr>
      <w:r>
        <w:rPr>
          <w:rFonts w:hint="default" w:ascii="Times New Roman" w:hAnsi="Times New Roman" w:eastAsia="宋体" w:cs="Times New Roman"/>
          <w:sz w:val="24"/>
          <w:szCs w:val="28"/>
        </w:rPr>
        <w:t>2、设立警示牌，严禁带火种进入车间。</w:t>
      </w:r>
    </w:p>
    <w:p>
      <w:pPr>
        <w:pStyle w:val="8"/>
        <w:spacing w:after="0" w:line="360" w:lineRule="auto"/>
        <w:ind w:left="0" w:firstLine="480" w:firstLineChars="200"/>
        <w:jc w:val="both"/>
        <w:rPr>
          <w:rFonts w:hint="default" w:ascii="Times New Roman" w:hAnsi="Times New Roman" w:eastAsia="宋体" w:cs="Times New Roman"/>
          <w:sz w:val="24"/>
          <w:szCs w:val="28"/>
        </w:rPr>
      </w:pPr>
      <w:r>
        <w:rPr>
          <w:rFonts w:hint="default" w:ascii="Times New Roman" w:hAnsi="Times New Roman" w:eastAsia="宋体" w:cs="Times New Roman"/>
          <w:sz w:val="24"/>
          <w:szCs w:val="28"/>
        </w:rPr>
        <w:t>3、厂区设灭火器，消防器材要在保质期内使用，过期应及时更换。</w:t>
      </w:r>
    </w:p>
    <w:p>
      <w:pPr>
        <w:pStyle w:val="8"/>
        <w:spacing w:after="0" w:line="360" w:lineRule="auto"/>
        <w:ind w:left="0" w:firstLine="480" w:firstLineChars="200"/>
        <w:jc w:val="both"/>
        <w:rPr>
          <w:rFonts w:hint="default" w:ascii="Times New Roman" w:hAnsi="Times New Roman" w:eastAsia="宋体" w:cs="Times New Roman"/>
          <w:sz w:val="24"/>
          <w:szCs w:val="28"/>
        </w:rPr>
      </w:pPr>
      <w:r>
        <w:rPr>
          <w:rFonts w:hint="default" w:ascii="Times New Roman" w:hAnsi="Times New Roman" w:eastAsia="宋体" w:cs="Times New Roman"/>
          <w:sz w:val="24"/>
          <w:szCs w:val="28"/>
        </w:rPr>
        <w:t>4、车间设安全通道，安全通道要时刻畅通，以保证发生意外时，人员疏通以及消防车辆进出畅通。</w:t>
      </w:r>
    </w:p>
    <w:p>
      <w:pPr>
        <w:pStyle w:val="38"/>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4.2.3事故应急措施</w:t>
      </w:r>
    </w:p>
    <w:p>
      <w:pPr>
        <w:pStyle w:val="8"/>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1、最早发现者，立即向生产科、办公室报警，并采取一切有效措施，切断事故源。</w:t>
      </w:r>
    </w:p>
    <w:p>
      <w:pPr>
        <w:pStyle w:val="8"/>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2、生产科、办公室接到报警后，应迅速通知生产车间，要求查明火灾发生的部位(装置)和原因，同时，发出报警电话，通知指挥部成员及消防队和各专业救援队伍，迅速赶往事故现场。</w:t>
      </w:r>
    </w:p>
    <w:p>
      <w:pPr>
        <w:pStyle w:val="8"/>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3、指挥部成员，迅速向上级主管部门、办事处、安监局、劳动环保等机关报告事故情况。</w:t>
      </w:r>
    </w:p>
    <w:p>
      <w:pPr>
        <w:pStyle w:val="8"/>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4、生产车间主任迅速查明事故发生位置和原因，凡能通过灭火器等处理的，应向指挥部报告，并提出灭火的具体措施，同时，生产现场应切断电源，消除一切火源。</w:t>
      </w:r>
    </w:p>
    <w:p>
      <w:pPr>
        <w:pStyle w:val="8"/>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5、消防队到达事故现场后，首先查明现场有无受伤人员，以最快速度将受伤者脱离现场，严重者尽快送到医院抢救。</w:t>
      </w:r>
    </w:p>
    <w:p>
      <w:pPr>
        <w:pStyle w:val="8"/>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6、指挥部成员到达事故现场后，根据事故状态及危害程度，做出相应的应急决定，并命令各应急救援队，立即开展救援工作，如事故扩大时，应请求外界支援。</w:t>
      </w:r>
    </w:p>
    <w:p>
      <w:pPr>
        <w:pStyle w:val="8"/>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7、生产科、办公室到达事故现场后，会同发生事故的车间主任、班长，在查明火灾部位和范围后，分析能否控制，必要时对现场人员进行撤离。</w:t>
      </w:r>
    </w:p>
    <w:p>
      <w:pPr>
        <w:pStyle w:val="8"/>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8、保卫人员达到现场后，担负治安和交通指挥，在事故现场周围设岗，划分禁区，并巡逻检查，如有火种扩散危及公司内、外人员安全时，应迅速组织有关人员协助友邻单位、厂外过往行人，在办事处、市指挥部指挥协调下向安全地带疏散。</w:t>
      </w:r>
    </w:p>
    <w:p>
      <w:pPr>
        <w:pStyle w:val="8"/>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9、医疗救护到达现场后与消防人员配合，应立即抢救伤员和中毒人员，并采取相应的急救措施，对伤员进行清洗、包扎，并把伤员送往医院抢救。</w:t>
      </w:r>
    </w:p>
    <w:p>
      <w:pPr>
        <w:pStyle w:val="8"/>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10、抢险到达事故现场后，根据指挥部下达的抢修指令迅速进行设备抢修，控制事故扩大。</w:t>
      </w:r>
    </w:p>
    <w:p>
      <w:pPr>
        <w:pStyle w:val="8"/>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通过采取上述措施，该项目能尽量避免油类燃烧对空气造成的环境影响，并能有效地降低环境风险发生的概率。</w:t>
      </w:r>
    </w:p>
    <w:p>
      <w:pPr>
        <w:pStyle w:val="38"/>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4.2.4环境风险应急预案</w:t>
      </w:r>
    </w:p>
    <w:p>
      <w:pPr>
        <w:pStyle w:val="8"/>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对于重大的风险(主要是火灾爆炸造成人员伤亡等)，制定应急响应方案，建立应急反应体系，当事件一旦发生时可迅速加以控制，使危害和损失降低到尽可能低的程度。</w:t>
      </w:r>
    </w:p>
    <w:p>
      <w:pPr>
        <w:pStyle w:val="8"/>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作为事故风险防范和应急对策的重要组成部分，应急组织机构应制定应急计划，其基本内容包括应急组织、应急设施、应急通讯、应急监测、应急安全保卫、应急撤离措施、应急救援、应激状态终止、事故后果评价、应急报告等。根据导则的要求，该项目制定的相关环境保护应急预案内容摘要见下表4-1。</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表4-1  环境风险的突发性事故应急预案</w:t>
      </w:r>
    </w:p>
    <w:tbl>
      <w:tblPr>
        <w:tblStyle w:val="25"/>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48"/>
        <w:gridCol w:w="1621"/>
        <w:gridCol w:w="6253"/>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序号</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项目</w:t>
            </w:r>
          </w:p>
        </w:tc>
        <w:tc>
          <w:tcPr>
            <w:tcW w:w="36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内容及要求</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应急计划区</w:t>
            </w:r>
          </w:p>
        </w:tc>
        <w:tc>
          <w:tcPr>
            <w:tcW w:w="36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主要危险源为生产车间、</w:t>
            </w:r>
            <w:r>
              <w:rPr>
                <w:rFonts w:hint="eastAsia" w:ascii="Times New Roman" w:hAnsi="Times New Roman" w:eastAsia="宋体" w:cs="Times New Roman"/>
                <w:sz w:val="21"/>
                <w:szCs w:val="21"/>
                <w:lang w:val="en-US" w:eastAsia="zh-CN"/>
              </w:rPr>
              <w:t>原料区、成品区</w:t>
            </w:r>
            <w:r>
              <w:rPr>
                <w:rFonts w:hint="default" w:ascii="Times New Roman" w:hAnsi="Times New Roman" w:eastAsia="宋体" w:cs="Times New Roman"/>
                <w:sz w:val="21"/>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应急组织结构</w:t>
            </w:r>
          </w:p>
        </w:tc>
        <w:tc>
          <w:tcPr>
            <w:tcW w:w="36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厂区实施应急组织机构，主要负责人为应急计划、协调第一人，应急人员必须培训上岗熟练工。</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预案分级响应条件</w:t>
            </w:r>
          </w:p>
        </w:tc>
        <w:tc>
          <w:tcPr>
            <w:tcW w:w="36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根据事故的严重程度制定相应级别的应急预案，以及合适的处理措施。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报警、联络方式</w:t>
            </w:r>
          </w:p>
        </w:tc>
        <w:tc>
          <w:tcPr>
            <w:tcW w:w="36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逐一细化应急状态下各主要负责单位的报警通讯方式、地点、电话号码以及相关配套的交通保障、管制、消防联络方法，涉及相关区域环境保护部门和上级环保部门保持联系，及时通报事故处理情况，以获得区域性支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应急环境监测</w:t>
            </w:r>
          </w:p>
        </w:tc>
        <w:tc>
          <w:tcPr>
            <w:tcW w:w="36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组织专业队伍负责对事故现场进行侦察监测，对事故性质、参数与后果进行评估，专为指挥部门提供决策依据。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抢险、救援控制措施</w:t>
            </w:r>
          </w:p>
        </w:tc>
        <w:tc>
          <w:tcPr>
            <w:tcW w:w="36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严格规定事故多发区、事故现场、邻近区域、控制防火区域设置控制和清除污染措施及相应设备的数量、使用方法、使用人员。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人员紧急撤离、疏散计划</w:t>
            </w:r>
          </w:p>
        </w:tc>
        <w:tc>
          <w:tcPr>
            <w:tcW w:w="36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事故现场、工厂邻近区、受事故影响的区域人员及公众对有毒有害物质应急剂量控制规定，制定紧急撤离组织计划和救护，医疗救护与公众健康。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事故应急救援关闭程序</w:t>
            </w:r>
          </w:p>
        </w:tc>
        <w:tc>
          <w:tcPr>
            <w:tcW w:w="36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制定相关应急状态终止程序，事故现场、受影响范围内的善后处理、恢复措施，邻近区域解除事故警戒及善后恢复措施。</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事故恢复措施</w:t>
            </w:r>
          </w:p>
        </w:tc>
        <w:tc>
          <w:tcPr>
            <w:tcW w:w="36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制定有关的环境恢复措施(包括地表水体)，组织专业人员对事故后的环境变化进行监测，对事故应急措施的环境可行性进行后影响评价。</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应急培训计划</w:t>
            </w:r>
          </w:p>
        </w:tc>
        <w:tc>
          <w:tcPr>
            <w:tcW w:w="36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定期安排有关人员进行培训与演练。</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380"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w:t>
            </w:r>
          </w:p>
        </w:tc>
        <w:tc>
          <w:tcPr>
            <w:tcW w:w="951"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公众教育和信息</w:t>
            </w:r>
          </w:p>
        </w:tc>
        <w:tc>
          <w:tcPr>
            <w:tcW w:w="3668" w:type="pct"/>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对工厂邻近地区展开公众教育、培训和发布有关消息。</w:t>
            </w:r>
          </w:p>
        </w:tc>
      </w:tr>
    </w:tbl>
    <w:p>
      <w:pPr>
        <w:pStyle w:val="8"/>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根据《建设项目环境风险评价技术导则》(HJ169-2018)、《关于进一步加强环境影响评价管理防范环境风险的通知》(环发[2012]77号)，采取以上事故风险防范措施和应急预案情况下，项目对周围环境的风险影响在可接受的范围之内。</w:t>
      </w:r>
    </w:p>
    <w:p>
      <w:pPr>
        <w:pStyle w:val="8"/>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sz w:val="24"/>
          <w:szCs w:val="28"/>
        </w:rPr>
      </w:pPr>
      <w:r>
        <w:rPr>
          <w:rFonts w:hint="default" w:ascii="Times New Roman" w:hAnsi="Times New Roman" w:eastAsia="宋体" w:cs="Times New Roman"/>
          <w:sz w:val="24"/>
          <w:szCs w:val="28"/>
        </w:rPr>
        <w:t>本次评价建议项目建设单位成立安全环保管理小组，做好防火、防电等工作，并切实落实消防设施的配备工作。经上述措施处理后，该项目对周边环境影响可以接受。同时因项目周围无食品、医药等敏感企业，故该项目对周围环境的环境风险影响较小，在可接受范围之内。</w:t>
      </w:r>
    </w:p>
    <w:p>
      <w:pPr>
        <w:pStyle w:val="8"/>
        <w:spacing w:after="0" w:line="360" w:lineRule="auto"/>
        <w:ind w:left="0" w:firstLine="480" w:firstLineChars="200"/>
        <w:rPr>
          <w:rFonts w:hint="default" w:ascii="Times New Roman" w:hAnsi="Times New Roman" w:eastAsia="宋体" w:cs="Times New Roman"/>
          <w:sz w:val="24"/>
          <w:szCs w:val="28"/>
        </w:rPr>
      </w:pPr>
    </w:p>
    <w:p>
      <w:pPr>
        <w:pStyle w:val="8"/>
        <w:spacing w:after="0" w:line="360" w:lineRule="auto"/>
        <w:ind w:left="0" w:firstLine="480" w:firstLineChars="200"/>
        <w:rPr>
          <w:rFonts w:hint="default" w:ascii="Times New Roman" w:hAnsi="Times New Roman" w:eastAsia="宋体" w:cs="Times New Roman"/>
          <w:sz w:val="24"/>
          <w:szCs w:val="28"/>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37" w:name="_Toc26926"/>
      <w:r>
        <w:rPr>
          <w:rFonts w:hint="default" w:ascii="Times New Roman" w:hAnsi="Times New Roman" w:eastAsia="宋体" w:cs="Times New Roman"/>
          <w:b/>
          <w:sz w:val="28"/>
          <w:szCs w:val="32"/>
        </w:rPr>
        <w:t>4.3环保设施投资及“三同时”落实情况</w:t>
      </w:r>
      <w:bookmarkEnd w:id="37"/>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8"/>
          <w:lang w:val="en-US" w:eastAsia="zh-CN"/>
        </w:rPr>
      </w:pPr>
      <w:bookmarkStart w:id="38" w:name="_Toc497001471"/>
      <w:r>
        <w:rPr>
          <w:rFonts w:hint="default" w:ascii="Times New Roman" w:hAnsi="Times New Roman" w:eastAsia="宋体" w:cs="Times New Roman"/>
          <w:color w:val="000000"/>
          <w:sz w:val="24"/>
          <w:szCs w:val="28"/>
          <w:lang w:val="en-US" w:eastAsia="zh-CN"/>
        </w:rPr>
        <w:t>1、</w:t>
      </w:r>
      <w:r>
        <w:rPr>
          <w:rFonts w:hint="default" w:ascii="Times New Roman" w:hAnsi="Times New Roman" w:eastAsia="宋体" w:cs="Times New Roman"/>
          <w:color w:val="000000"/>
          <w:sz w:val="24"/>
          <w:szCs w:val="28"/>
        </w:rPr>
        <w:t>三同时落实情况</w:t>
      </w:r>
    </w:p>
    <w:p>
      <w:pPr>
        <w:keepNext w:val="0"/>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三同时落实情况</w:t>
      </w:r>
      <w:bookmarkEnd w:id="38"/>
      <w:r>
        <w:rPr>
          <w:rFonts w:hint="default" w:ascii="Times New Roman" w:hAnsi="Times New Roman" w:eastAsia="宋体" w:cs="Times New Roman"/>
          <w:color w:val="000000"/>
          <w:sz w:val="24"/>
          <w:szCs w:val="28"/>
        </w:rPr>
        <w:t>一览表见表4-</w:t>
      </w:r>
      <w:r>
        <w:rPr>
          <w:rFonts w:hint="default" w:ascii="Times New Roman" w:hAnsi="Times New Roman" w:eastAsia="宋体" w:cs="Times New Roman"/>
          <w:color w:val="000000"/>
          <w:sz w:val="24"/>
          <w:szCs w:val="28"/>
          <w:lang w:val="en-US" w:eastAsia="zh-CN"/>
        </w:rPr>
        <w:t>2</w:t>
      </w:r>
      <w:r>
        <w:rPr>
          <w:rFonts w:hint="default" w:ascii="Times New Roman" w:hAnsi="Times New Roman" w:eastAsia="宋体" w:cs="Times New Roman"/>
          <w:color w:val="000000"/>
          <w:sz w:val="24"/>
          <w:szCs w:val="28"/>
        </w:rPr>
        <w:t>。</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表4-</w:t>
      </w:r>
      <w:r>
        <w:rPr>
          <w:rFonts w:hint="default" w:ascii="Times New Roman" w:hAnsi="Times New Roman" w:eastAsia="宋体" w:cs="Times New Roman"/>
          <w:b/>
          <w:sz w:val="21"/>
          <w:szCs w:val="21"/>
          <w:lang w:val="en-US" w:eastAsia="zh-CN"/>
        </w:rPr>
        <w:t>2</w:t>
      </w:r>
      <w:r>
        <w:rPr>
          <w:rFonts w:hint="default" w:ascii="Times New Roman" w:hAnsi="Times New Roman" w:eastAsia="宋体" w:cs="Times New Roman"/>
          <w:b/>
          <w:sz w:val="21"/>
          <w:szCs w:val="21"/>
        </w:rPr>
        <w:t xml:space="preserve">  三同时落实情况一览表</w:t>
      </w:r>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28" w:type="dxa"/>
          <w:bottom w:w="0" w:type="dxa"/>
          <w:right w:w="28" w:type="dxa"/>
        </w:tblCellMar>
      </w:tblPr>
      <w:tblGrid>
        <w:gridCol w:w="506"/>
        <w:gridCol w:w="4164"/>
        <w:gridCol w:w="369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序号</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审批意见内容</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落实情况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建设单位：</w:t>
            </w:r>
            <w:r>
              <w:rPr>
                <w:rFonts w:hint="default" w:ascii="Times New Roman" w:hAnsi="Times New Roman" w:eastAsia="宋体" w:cs="Times New Roman"/>
                <w:sz w:val="21"/>
                <w:szCs w:val="21"/>
                <w:lang w:val="en-US" w:eastAsia="zh-CN"/>
              </w:rPr>
              <w:t>山东豪瑞恩制药有限公司</w:t>
            </w:r>
            <w:r>
              <w:rPr>
                <w:rFonts w:hint="default" w:ascii="Times New Roman" w:hAnsi="Times New Roman" w:eastAsia="宋体" w:cs="Times New Roman"/>
                <w:sz w:val="21"/>
                <w:szCs w:val="21"/>
                <w:lang w:eastAsia="zh-CN"/>
              </w:rPr>
              <w:t>。</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建设单位名称不变。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该项目为新建项目，项目位于山东省菏泽市高新区北环路2999号，项目依托厂区内现有闲置车间进行改造，其余车间均在厂区空地上新建。本项目占地面积76170.6m。项目总投资120000万元，其中环保投资500万元。本项目原辅材料均外购，厂内进行制剂的混合分装，生产各类制剂产品。项目建成后，年产大容量(软袋)注射剂产品(左氧氟沙星氯化钠注射液、</w:t>
            </w:r>
            <w:r>
              <w:rPr>
                <w:rFonts w:hint="eastAsia" w:ascii="Times New Roman" w:hAnsi="Times New Roman" w:eastAsia="宋体" w:cs="Times New Roman"/>
                <w:sz w:val="21"/>
                <w:szCs w:val="21"/>
                <w:lang w:val="en-US" w:eastAsia="zh-CN"/>
              </w:rPr>
              <w:t>氟康</w:t>
            </w:r>
            <w:r>
              <w:rPr>
                <w:rFonts w:hint="default" w:ascii="Times New Roman" w:hAnsi="Times New Roman" w:eastAsia="宋体" w:cs="Times New Roman"/>
                <w:sz w:val="21"/>
                <w:szCs w:val="21"/>
                <w:lang w:val="en-US" w:eastAsia="zh-CN"/>
              </w:rPr>
              <w:t>唑</w:t>
            </w:r>
            <w:r>
              <w:rPr>
                <w:rFonts w:hint="default" w:ascii="Times New Roman" w:hAnsi="Times New Roman" w:eastAsia="宋体" w:cs="Times New Roman"/>
                <w:sz w:val="21"/>
                <w:szCs w:val="21"/>
              </w:rPr>
              <w:t>氯化钠注射液</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米力农葡萄糖注射液、复方氨基酸注射液(18AA-SF))共计4314万袋</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大容量(玻璃瓶)注射剂产品(丙氨酷谷氨酷胺注射液、复方氨基酸注射液(18AA)、复方氨基酸注射液(18AA--VII)、复方氨基酸注射液(14AA)、复方氨基酸注射液(14AA-SF))共计 2500万瓶</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小容量(</w:t>
            </w:r>
            <w:r>
              <w:rPr>
                <w:rFonts w:hint="default" w:ascii="Times New Roman" w:hAnsi="Times New Roman" w:eastAsia="宋体" w:cs="Times New Roman"/>
                <w:sz w:val="21"/>
                <w:szCs w:val="21"/>
                <w:lang w:val="en-US" w:eastAsia="zh-CN"/>
              </w:rPr>
              <w:t>安瓿瓶</w:t>
            </w:r>
            <w:r>
              <w:rPr>
                <w:rFonts w:hint="default" w:ascii="Times New Roman" w:hAnsi="Times New Roman" w:eastAsia="宋体" w:cs="Times New Roman"/>
                <w:sz w:val="21"/>
                <w:szCs w:val="21"/>
              </w:rPr>
              <w:t>)注射剂产品(氨甲环酸注射液、胞磷胆碱钠注射液、维生素C注射液、维生素B6注射液、钠钾镁钙注射用浓溶液)共计2.23亿支</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小容量(西林瓶)冻干注射剂产品(注射用奥美拉哗钠、注射用盐酸罗沙替丁醋酸醋、注射用地尔硫卓)共计1600万支</w:t>
            </w:r>
            <w:r>
              <w:rPr>
                <w:rFonts w:hint="default" w:ascii="Times New Roman" w:hAnsi="Times New Roman" w:eastAsia="宋体" w:cs="Times New Roman"/>
                <w:sz w:val="21"/>
                <w:szCs w:val="21"/>
                <w:lang w:val="en-US" w:eastAsia="zh-CN"/>
              </w:rPr>
              <w:t>。</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该项目为新建项目，项目位于山东省菏泽市高新区北环路2999号，项目依托厂区内现有闲置车间进行改造</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其余车间均在厂区空地上新建</w:t>
            </w:r>
            <w:r>
              <w:rPr>
                <w:rFonts w:hint="eastAsia" w:ascii="Times New Roman" w:hAnsi="Times New Roman" w:eastAsia="宋体" w:cs="Times New Roman"/>
                <w:sz w:val="21"/>
                <w:szCs w:val="21"/>
                <w:lang w:val="en-US" w:eastAsia="zh-CN"/>
              </w:rPr>
              <w:t>为二期建设内容</w:t>
            </w:r>
            <w:r>
              <w:rPr>
                <w:rFonts w:hint="default" w:ascii="Times New Roman" w:hAnsi="Times New Roman" w:eastAsia="宋体" w:cs="Times New Roman"/>
                <w:sz w:val="21"/>
                <w:szCs w:val="21"/>
              </w:rPr>
              <w:t>。本项目占地面积76170.6m。项目总投资</w:t>
            </w:r>
            <w:r>
              <w:rPr>
                <w:rFonts w:hint="eastAsia" w:ascii="Times New Roman" w:hAnsi="Times New Roman" w:eastAsia="宋体" w:cs="Times New Roman"/>
                <w:sz w:val="21"/>
                <w:szCs w:val="21"/>
                <w:lang w:val="en-US" w:eastAsia="zh-CN"/>
              </w:rPr>
              <w:t>120000</w:t>
            </w:r>
            <w:r>
              <w:rPr>
                <w:rFonts w:hint="default" w:ascii="Times New Roman" w:hAnsi="Times New Roman" w:eastAsia="宋体" w:cs="Times New Roman"/>
                <w:sz w:val="21"/>
                <w:szCs w:val="21"/>
                <w:lang w:eastAsia="zh-CN"/>
              </w:rPr>
              <w:t>万</w:t>
            </w:r>
            <w:r>
              <w:rPr>
                <w:rFonts w:hint="default" w:ascii="Times New Roman" w:hAnsi="Times New Roman" w:eastAsia="宋体" w:cs="Times New Roman"/>
                <w:sz w:val="21"/>
                <w:szCs w:val="21"/>
              </w:rPr>
              <w:t>元</w:t>
            </w:r>
            <w:r>
              <w:rPr>
                <w:rFonts w:hint="eastAsia" w:ascii="Times New Roman" w:hAnsi="Times New Roman" w:eastAsia="宋体" w:cs="Times New Roman"/>
                <w:sz w:val="21"/>
                <w:szCs w:val="21"/>
                <w:lang w:val="en-US" w:eastAsia="zh-CN"/>
              </w:rPr>
              <w:t>，一期验收实际</w:t>
            </w:r>
            <w:r>
              <w:rPr>
                <w:rFonts w:hint="eastAsia" w:ascii="Times New Roman" w:hAnsi="Times New Roman" w:eastAsia="宋体" w:cs="Times New Roman"/>
                <w:sz w:val="21"/>
                <w:szCs w:val="21"/>
                <w:lang w:eastAsia="zh-CN"/>
              </w:rPr>
              <w:t>总投资</w:t>
            </w:r>
            <w:r>
              <w:rPr>
                <w:rFonts w:hint="eastAsia" w:ascii="Times New Roman" w:hAnsi="Times New Roman" w:eastAsia="宋体" w:cs="Times New Roman"/>
                <w:sz w:val="21"/>
                <w:szCs w:val="21"/>
                <w:lang w:val="en-US" w:eastAsia="zh-CN"/>
              </w:rPr>
              <w:t>10100</w:t>
            </w:r>
            <w:r>
              <w:rPr>
                <w:rFonts w:hint="eastAsia" w:ascii="Times New Roman" w:hAnsi="Times New Roman" w:eastAsia="宋体" w:cs="Times New Roman"/>
                <w:sz w:val="21"/>
                <w:szCs w:val="21"/>
                <w:lang w:eastAsia="zh-CN"/>
              </w:rPr>
              <w:t>万元，其中环保投资</w:t>
            </w:r>
            <w:r>
              <w:rPr>
                <w:rFonts w:hint="eastAsia" w:ascii="Times New Roman" w:hAnsi="Times New Roman" w:eastAsia="宋体" w:cs="Times New Roman"/>
                <w:sz w:val="21"/>
                <w:szCs w:val="21"/>
                <w:lang w:val="en-US" w:eastAsia="zh-CN"/>
              </w:rPr>
              <w:t>150</w:t>
            </w:r>
            <w:r>
              <w:rPr>
                <w:rFonts w:hint="eastAsia" w:ascii="Times New Roman" w:hAnsi="Times New Roman" w:eastAsia="宋体" w:cs="Times New Roman"/>
                <w:sz w:val="21"/>
                <w:szCs w:val="21"/>
                <w:lang w:eastAsia="zh-CN"/>
              </w:rPr>
              <w:t>万元。</w:t>
            </w:r>
            <w:r>
              <w:rPr>
                <w:rFonts w:hint="default" w:ascii="Times New Roman" w:hAnsi="Times New Roman" w:eastAsia="宋体" w:cs="Times New Roman"/>
                <w:sz w:val="21"/>
                <w:szCs w:val="21"/>
              </w:rPr>
              <w:t>本项目原辅材料均外购，厂内进行制剂的混合分装，生产各类制剂产品。</w:t>
            </w:r>
            <w:r>
              <w:rPr>
                <w:rFonts w:hint="eastAsia" w:ascii="Times New Roman" w:hAnsi="Times New Roman" w:eastAsia="宋体" w:cs="Times New Roman"/>
                <w:sz w:val="21"/>
                <w:szCs w:val="21"/>
                <w:lang w:val="en-US" w:eastAsia="zh-CN"/>
              </w:rPr>
              <w:t>项目分期验收，本次验收范围为年产小容量（安瓿瓶）注射剂产品：维生素B6注射液500万支、钠钾镁钙注射用浓溶液800万支；小容量（西林瓶）冻干注射剂产品：注射用盐酸罗沙替丁醋酸酯80万支、注射用地尔硫卓80万支。剩余产品及配套的上产环保设施作为二期建设内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项目已完成备案(2110-371772-04-01-171339)，符合产业政策经审查，在落实该报告表提出的污染防治措施后，可满足污染物达标排放要求，从环保角度同意项目建设</w:t>
            </w:r>
            <w:r>
              <w:rPr>
                <w:rFonts w:hint="default" w:ascii="Times New Roman" w:hAnsi="Times New Roman" w:eastAsia="宋体" w:cs="Times New Roman"/>
                <w:sz w:val="21"/>
                <w:szCs w:val="21"/>
                <w:lang w:val="en-US" w:eastAsia="zh-CN"/>
              </w:rPr>
              <w:t>。</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已</w:t>
            </w:r>
            <w:r>
              <w:rPr>
                <w:rFonts w:hint="default" w:ascii="Times New Roman" w:hAnsi="Times New Roman" w:eastAsia="宋体" w:cs="Times New Roman"/>
                <w:sz w:val="21"/>
                <w:szCs w:val="21"/>
              </w:rPr>
              <w:t>落实</w:t>
            </w:r>
            <w:r>
              <w:rPr>
                <w:rFonts w:hint="eastAsia" w:ascii="Times New Roman" w:hAnsi="Times New Roman" w:eastAsia="宋体" w:cs="Times New Roman"/>
                <w:sz w:val="21"/>
                <w:szCs w:val="21"/>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落实施工期的各项环保措施。按照《山东省扬尘污染防治管理办法》、菏泽市建筑工地扬尘管理</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7个100%</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做好扬尘防治工作。施工期生活污水经化粪池收集后回用于农田</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施工废水沉淀后回用。合理安排施工时间，严格执行《建筑施工场界环境噪声排放标准》(GB12523-2011)要求，禁止夜间(22:00至次日 6:00)施工，合理安排施工时间，防止噪声扰民。对施工期产生的各类固废要分类及时妥善处理</w:t>
            </w:r>
            <w:r>
              <w:rPr>
                <w:rFonts w:hint="eastAsia" w:ascii="Times New Roman" w:hAnsi="Times New Roman" w:eastAsia="宋体" w:cs="Times New Roman"/>
                <w:sz w:val="21"/>
                <w:szCs w:val="21"/>
                <w:lang w:val="en-US" w:eastAsia="zh-CN"/>
              </w:rPr>
              <w:t>。</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本次一期验收以落实，二期施工期建设将严格执行。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248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园区采取“雨污分流”原则，设计、建设给排水系统。运营期废水为擦拭、冲洗废水、纯化水制备浓水、包装容器清洗废水、注射水制备浓水、循环冷却废水、车间地面清洁废水、化验中心仪器清洗废水、水浴灭菌箱废水以及职工生活用水。厂区建一处污水处理站，处理工艺为“机械格栅+调节池+厌氧池+缺氧池+好氧池+沉淀池”，处理能力为95m/d。化验中心废液委托有资质单位处理</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生活污水经化粪池处理后定期掏运用作农肥，不得外排</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生产废水经厂区污水处理站处理后经污水管网排放至菏泽众兴牡丹水环境有限公司进行深度处理。污水排放须满足《污水综合排放标准》(GB8978-1996)表2三级标准、《混装制剂类制药工业水污染物排放标准》 (GB21908-2008)中表2标准及菏泽众兴牡丹水环境有限公司接管标准要求，建设规范化的污水排污口。</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地下水保护与污染防治按照“源头控制、分区防治、污染监控应急响应”的原则，按照有关设计规范和技术规定，对化粪池、污水处理站、危废暂存间等采取严格防渗措施，防止污染地下水和士壤。</w:t>
            </w:r>
          </w:p>
        </w:tc>
        <w:tc>
          <w:tcPr>
            <w:tcW w:w="2207" w:type="pct"/>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已落实，</w:t>
            </w:r>
            <w:r>
              <w:rPr>
                <w:rFonts w:hint="eastAsia" w:ascii="Times New Roman" w:hAnsi="Times New Roman" w:eastAsia="宋体" w:cs="Times New Roman"/>
                <w:sz w:val="21"/>
                <w:szCs w:val="21"/>
                <w:lang w:val="en-US" w:eastAsia="zh-CN"/>
              </w:rPr>
              <w:t>本次验收</w:t>
            </w:r>
            <w:r>
              <w:rPr>
                <w:rFonts w:hint="default" w:ascii="Times New Roman" w:hAnsi="Times New Roman" w:eastAsia="宋体" w:cs="Times New Roman"/>
                <w:sz w:val="21"/>
                <w:szCs w:val="21"/>
              </w:rPr>
              <w:t>园区采取“雨污分流”原则，设计、建设给排水系统。运营期废水为擦拭、冲洗废水、纯化水制备浓水、包装容器清洗废水、注射水制备浓水、循环冷却废水、车间地面清洁废水、化验中心仪器清洗废水、水浴灭菌箱废水以及职工生活用水。厂区建一处污水处理站，处理工艺为“机械格栅+调节池+厌氧池+缺氧池+好氧池+沉淀池”，处理能力为95m/d。化验中心废液委托有资质单位处理</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生活污水经化粪池处理后定期掏运用作农肥，不得外排</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rPr>
              <w:t>生产废水经厂区污水处理站处理后经污水管网排放至菏泽众兴牡丹水环境有限公司进行深度处理。</w:t>
            </w:r>
            <w:r>
              <w:rPr>
                <w:rFonts w:hint="eastAsia" w:ascii="Times New Roman" w:hAnsi="Times New Roman" w:eastAsia="宋体" w:cs="Times New Roman"/>
                <w:sz w:val="21"/>
                <w:szCs w:val="21"/>
                <w:lang w:val="en-US" w:eastAsia="zh-CN"/>
              </w:rPr>
              <w:t>验收期间，经检测，</w:t>
            </w:r>
            <w:r>
              <w:rPr>
                <w:rFonts w:hint="default" w:ascii="Times New Roman" w:hAnsi="Times New Roman" w:eastAsia="宋体" w:cs="Times New Roman"/>
                <w:sz w:val="21"/>
                <w:szCs w:val="21"/>
              </w:rPr>
              <w:t>污水排放满足《污水综合排放标准》(GB8978-1996)表2三级标准、《混装制剂类制药工业水污染物排放标准》 (GB21908-2008)中表2标准及菏泽众兴牡丹水环境有限公司接管标准要求，</w:t>
            </w:r>
            <w:r>
              <w:rPr>
                <w:rFonts w:hint="eastAsia" w:ascii="Times New Roman" w:hAnsi="Times New Roman" w:eastAsia="宋体" w:cs="Times New Roman"/>
                <w:sz w:val="21"/>
                <w:szCs w:val="21"/>
                <w:lang w:val="en-US" w:eastAsia="zh-CN"/>
              </w:rPr>
              <w:t>且已</w:t>
            </w:r>
            <w:r>
              <w:rPr>
                <w:rFonts w:hint="default" w:ascii="Times New Roman" w:hAnsi="Times New Roman" w:eastAsia="宋体" w:cs="Times New Roman"/>
                <w:sz w:val="21"/>
                <w:szCs w:val="21"/>
              </w:rPr>
              <w:t>建设规范化的污水排污口。</w:t>
            </w:r>
          </w:p>
          <w:p>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已落实，</w:t>
            </w:r>
            <w:r>
              <w:rPr>
                <w:rFonts w:hint="eastAsia" w:ascii="Times New Roman" w:hAnsi="Times New Roman" w:eastAsia="宋体" w:cs="Times New Roman"/>
                <w:sz w:val="21"/>
                <w:szCs w:val="21"/>
                <w:lang w:eastAsia="zh-CN"/>
              </w:rPr>
              <w:t>地下水保护与污染防治按照“源头控制、分区防治、污染监控应急响应”的原则，按照有关设计规范和技术规定，对化粪池、污水处理站、危废暂存间等采取严格防渗措施，防止污染地下水和士壤。</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项目运营期废气主要为注射剂生产车间配制废气、化验中心废气以及污水处理站产生的恶臭。</w:t>
            </w:r>
          </w:p>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污水处理站恶臭经引风机收集后经</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二级活性炭吸附装置</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处理后通过15m高排气筒DA01排放</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化验中心密闭，化验废气经通风柜收集后通过</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碱液喷淋塔+二级活性炭吸附装置</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处理后通过19m 高排气</w:t>
            </w:r>
            <w:r>
              <w:rPr>
                <w:rFonts w:hint="eastAsia" w:ascii="Times New Roman" w:hAnsi="Times New Roman" w:eastAsia="宋体" w:cs="Times New Roman"/>
                <w:sz w:val="21"/>
                <w:szCs w:val="21"/>
                <w:lang w:val="en-US" w:eastAsia="zh-CN"/>
              </w:rPr>
              <w:t>筒</w:t>
            </w:r>
            <w:r>
              <w:rPr>
                <w:rFonts w:hint="default" w:ascii="Times New Roman" w:hAnsi="Times New Roman" w:eastAsia="宋体" w:cs="Times New Roman"/>
                <w:sz w:val="21"/>
                <w:szCs w:val="21"/>
                <w:lang w:val="en-US" w:eastAsia="zh-CN"/>
              </w:rPr>
              <w:t xml:space="preserve"> DA002 排放。VOCs排放须满足山东省《挥发性有机物排放标准第7部分</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其他行业》 (DB37/2801.7-2019)表1标准要求、污水处理站恶臭气体排放须满足《恶臭污染物排放标准》(GB14554-93)表2标准要求。排气简上设置规范的永久性测试孔采样平台和排污口标志。</w:t>
            </w:r>
          </w:p>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未被收集处理的VOCs、氨、硫化氢等无组织排放，氨、硫化氢臭气浓度排放须满足《恶臭污染物排放标准》 (GB14554-93)表1排放标准要求</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VOCs 排放须满足山东省《挥发性有机物排放标准 第7部分</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其他行业》(DB37/2801.7-2019)表2标准要求。公司须加强无组织废气管控，强化环保设施运行管理，落实非正常工况废气收集处理措施。</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已落实。</w:t>
            </w:r>
          </w:p>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污水处理站恶臭经引风机收集后经</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碱液喷淋塔+二级活性炭吸附装置</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处理后通过15m高排气筒DA01排放</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化验中心密闭，化验废气经通风柜收集后通过</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碱液喷淋塔+二级活性炭吸附装置</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处理后通过</w:t>
            </w:r>
            <w:r>
              <w:rPr>
                <w:rFonts w:hint="eastAsia" w:ascii="Times New Roman" w:hAnsi="Times New Roman" w:eastAsia="宋体" w:cs="Times New Roman"/>
                <w:sz w:val="21"/>
                <w:szCs w:val="21"/>
                <w:lang w:val="en-US" w:eastAsia="zh-CN"/>
              </w:rPr>
              <w:t>20</w:t>
            </w:r>
            <w:r>
              <w:rPr>
                <w:rFonts w:hint="default" w:ascii="Times New Roman" w:hAnsi="Times New Roman" w:eastAsia="宋体" w:cs="Times New Roman"/>
                <w:sz w:val="21"/>
                <w:szCs w:val="21"/>
                <w:lang w:val="en-US" w:eastAsia="zh-CN"/>
              </w:rPr>
              <w:t>m高排气</w:t>
            </w:r>
            <w:r>
              <w:rPr>
                <w:rFonts w:hint="eastAsia" w:ascii="Times New Roman" w:hAnsi="Times New Roman" w:eastAsia="宋体" w:cs="Times New Roman"/>
                <w:sz w:val="21"/>
                <w:szCs w:val="21"/>
                <w:lang w:val="en-US" w:eastAsia="zh-CN"/>
              </w:rPr>
              <w:t>筒</w:t>
            </w:r>
            <w:r>
              <w:rPr>
                <w:rFonts w:hint="default" w:ascii="Times New Roman" w:hAnsi="Times New Roman" w:eastAsia="宋体" w:cs="Times New Roman"/>
                <w:sz w:val="21"/>
                <w:szCs w:val="21"/>
                <w:lang w:val="en-US" w:eastAsia="zh-CN"/>
              </w:rPr>
              <w:t>DA002排放。</w:t>
            </w:r>
          </w:p>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val="0"/>
                <w:color w:val="000000"/>
                <w:spacing w:val="0"/>
                <w:w w:val="100"/>
                <w:kern w:val="0"/>
                <w:position w:val="0"/>
                <w:sz w:val="21"/>
                <w:szCs w:val="21"/>
                <w:lang w:val="en-US" w:eastAsia="zh-CN"/>
              </w:rPr>
              <w:t>污水处理站恶臭气体经</w:t>
            </w:r>
            <w:r>
              <w:rPr>
                <w:rFonts w:hint="eastAsia" w:ascii="Times New Roman" w:hAnsi="Times New Roman" w:eastAsia="宋体" w:cs="Times New Roman"/>
                <w:b w:val="0"/>
                <w:bCs w:val="0"/>
                <w:color w:val="000000"/>
                <w:spacing w:val="0"/>
                <w:w w:val="100"/>
                <w:kern w:val="0"/>
                <w:position w:val="0"/>
                <w:sz w:val="21"/>
                <w:szCs w:val="21"/>
                <w:lang w:val="en-US" w:eastAsia="zh-CN"/>
              </w:rPr>
              <w:t>由</w:t>
            </w:r>
            <w:r>
              <w:rPr>
                <w:rFonts w:hint="default" w:ascii="Times New Roman" w:hAnsi="Times New Roman" w:eastAsia="宋体" w:cs="Times New Roman"/>
                <w:b w:val="0"/>
                <w:bCs w:val="0"/>
                <w:color w:val="000000"/>
                <w:spacing w:val="0"/>
                <w:w w:val="100"/>
                <w:kern w:val="0"/>
                <w:position w:val="0"/>
                <w:sz w:val="21"/>
                <w:szCs w:val="21"/>
                <w:lang w:val="en-US" w:eastAsia="zh-CN"/>
              </w:rPr>
              <w:t>二级活性炭吸附装置</w:t>
            </w:r>
            <w:r>
              <w:rPr>
                <w:rFonts w:hint="eastAsia" w:ascii="Times New Roman" w:hAnsi="Times New Roman" w:eastAsia="宋体" w:cs="Times New Roman"/>
                <w:b w:val="0"/>
                <w:bCs w:val="0"/>
                <w:color w:val="000000"/>
                <w:spacing w:val="0"/>
                <w:w w:val="100"/>
                <w:kern w:val="0"/>
                <w:position w:val="0"/>
                <w:sz w:val="21"/>
                <w:szCs w:val="21"/>
                <w:lang w:val="en-US" w:eastAsia="zh-CN"/>
              </w:rPr>
              <w:t>为</w:t>
            </w:r>
            <w:r>
              <w:rPr>
                <w:rFonts w:hint="eastAsia" w:ascii="宋体" w:hAnsi="宋体" w:eastAsia="宋体" w:cs="宋体"/>
                <w:b w:val="0"/>
                <w:bCs w:val="0"/>
                <w:color w:val="000000"/>
                <w:spacing w:val="0"/>
                <w:w w:val="100"/>
                <w:kern w:val="0"/>
                <w:position w:val="0"/>
                <w:sz w:val="21"/>
                <w:szCs w:val="21"/>
                <w:lang w:val="en-US" w:eastAsia="zh-CN"/>
              </w:rPr>
              <w:t>“碱液喷淋塔+二级活性炭吸附装置”；</w:t>
            </w:r>
            <w:r>
              <w:rPr>
                <w:rFonts w:hint="default" w:ascii="Times New Roman" w:hAnsi="Times New Roman" w:eastAsia="宋体" w:cs="Times New Roman"/>
                <w:color w:val="auto"/>
                <w:sz w:val="21"/>
                <w:szCs w:val="21"/>
                <w:lang w:val="en-US" w:eastAsia="zh-CN"/>
              </w:rPr>
              <w:t>化验</w:t>
            </w:r>
            <w:r>
              <w:rPr>
                <w:rFonts w:hint="default" w:ascii="Times New Roman" w:hAnsi="Times New Roman" w:eastAsia="宋体" w:cs="Times New Roman"/>
                <w:b w:val="0"/>
                <w:bCs w:val="0"/>
                <w:color w:val="000000"/>
                <w:spacing w:val="0"/>
                <w:w w:val="100"/>
                <w:kern w:val="0"/>
                <w:position w:val="0"/>
                <w:sz w:val="21"/>
                <w:szCs w:val="21"/>
                <w:lang w:val="en-US" w:eastAsia="zh-CN"/>
              </w:rPr>
              <w:t>中心产生的有机废气</w:t>
            </w:r>
            <w:r>
              <w:rPr>
                <w:rFonts w:hint="eastAsia" w:ascii="Times New Roman" w:hAnsi="Times New Roman" w:eastAsia="宋体" w:cs="Times New Roman"/>
                <w:b w:val="0"/>
                <w:bCs w:val="0"/>
                <w:color w:val="000000"/>
                <w:spacing w:val="0"/>
                <w:w w:val="100"/>
                <w:kern w:val="0"/>
                <w:position w:val="0"/>
                <w:sz w:val="21"/>
                <w:szCs w:val="21"/>
                <w:lang w:val="en-US" w:eastAsia="zh-CN"/>
              </w:rPr>
              <w:t>排气筒由19m变更为20m，属于废气治理措施增强。</w:t>
            </w:r>
          </w:p>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经检测，</w:t>
            </w:r>
            <w:r>
              <w:rPr>
                <w:rFonts w:hint="default" w:ascii="Times New Roman" w:hAnsi="Times New Roman" w:eastAsia="宋体" w:cs="Times New Roman"/>
                <w:sz w:val="21"/>
                <w:szCs w:val="21"/>
                <w:lang w:val="en-US" w:eastAsia="zh-CN"/>
              </w:rPr>
              <w:t>VOCs排放满足山东省《挥发性有机物排放标准第7部分</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其他行业》 (DB37/2801.7-2019)表1标准要求、污水处理站恶臭气体排放满足《恶臭污染物排放标准》(GB14554-93)表2标准要求。排气简上设置</w:t>
            </w:r>
            <w:r>
              <w:rPr>
                <w:rFonts w:hint="eastAsia" w:ascii="Times New Roman" w:hAnsi="Times New Roman" w:eastAsia="宋体" w:cs="Times New Roman"/>
                <w:sz w:val="21"/>
                <w:szCs w:val="21"/>
                <w:lang w:val="en-US" w:eastAsia="zh-CN"/>
              </w:rPr>
              <w:t>了</w:t>
            </w:r>
            <w:r>
              <w:rPr>
                <w:rFonts w:hint="default" w:ascii="Times New Roman" w:hAnsi="Times New Roman" w:eastAsia="宋体" w:cs="Times New Roman"/>
                <w:sz w:val="21"/>
                <w:szCs w:val="21"/>
                <w:lang w:val="en-US" w:eastAsia="zh-CN"/>
              </w:rPr>
              <w:t>规范的永久性测试孔采样平台和排污口标志。</w:t>
            </w:r>
          </w:p>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未被收集处理的VOCs、氨、硫化氢等无组织排放，氨、硫化氢臭气浓度排放满足《恶臭污染物排放标准》 (GB14554-93)表1排放标准要求</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VOCs 排放满足山东省《挥发性有机物排放标准 第7部分</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其他行业》(DB37/2801.7-2019)表2标准要求。公司加强无组织废气管控，强化环保设施运行管理，</w:t>
            </w:r>
            <w:r>
              <w:rPr>
                <w:rFonts w:hint="eastAsia" w:ascii="Times New Roman" w:hAnsi="Times New Roman" w:eastAsia="宋体" w:cs="Times New Roman"/>
                <w:sz w:val="21"/>
                <w:szCs w:val="21"/>
                <w:lang w:val="en-US" w:eastAsia="zh-CN"/>
              </w:rPr>
              <w:t>已</w:t>
            </w:r>
            <w:r>
              <w:rPr>
                <w:rFonts w:hint="default" w:ascii="Times New Roman" w:hAnsi="Times New Roman" w:eastAsia="宋体" w:cs="Times New Roman"/>
                <w:sz w:val="21"/>
                <w:szCs w:val="21"/>
                <w:lang w:val="en-US" w:eastAsia="zh-CN"/>
              </w:rPr>
              <w:t>落实非正常工况废气收集处理措施。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固体废物按照</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资源化、减量化、无害化</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的处置原则</w:t>
            </w:r>
            <w:r>
              <w:rPr>
                <w:rFonts w:hint="eastAsia" w:ascii="Times New Roman" w:hAnsi="Times New Roman" w:eastAsia="宋体" w:cs="Times New Roman"/>
                <w:sz w:val="21"/>
                <w:szCs w:val="21"/>
                <w:lang w:val="en-US" w:eastAsia="zh-CN"/>
              </w:rPr>
              <w:t>了，落实各类固体废物的收集、处理，污水处理站污泥、报废药品、危化品包装材料、化验中心危废废活性炭滤芯、废空气滤芯、废活性炭等危险废物暂存危废间，委托有资质单位处理，收集和暂存须满足《危险废物贮存污染控制标准》(GB18597-2023)标准要求。</w:t>
            </w:r>
          </w:p>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废外包材料、集中收集后外售;纯水制备过程中的废石英砂废活性炭、废反渗透膜由厂家更换回收；生活垃圾交由环卫部门定期清运处理，一般固废的收集和贮存须满足《一般工业固体废物贮存和填埋污染控制标准》 (GB18599-2020)要求。</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已落实</w:t>
            </w:r>
            <w:r>
              <w:rPr>
                <w:rFonts w:hint="eastAsia"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固体废物按照</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资源化、减量化、无害化</w:t>
            </w:r>
            <w:r>
              <w:rPr>
                <w:rFonts w:hint="eastAsia" w:ascii="Times New Roman" w:hAnsi="Times New Roman" w:eastAsia="宋体" w:cs="Times New Roman"/>
                <w:sz w:val="21"/>
                <w:szCs w:val="21"/>
                <w:lang w:val="en-US" w:eastAsia="zh-CN"/>
              </w:rPr>
              <w:t>”</w:t>
            </w:r>
            <w:r>
              <w:rPr>
                <w:rFonts w:hint="default" w:ascii="Times New Roman" w:hAnsi="Times New Roman" w:eastAsia="宋体" w:cs="Times New Roman"/>
                <w:sz w:val="21"/>
                <w:szCs w:val="21"/>
                <w:lang w:val="en-US" w:eastAsia="zh-CN"/>
              </w:rPr>
              <w:t>的处置原则</w:t>
            </w:r>
            <w:r>
              <w:rPr>
                <w:rFonts w:hint="eastAsia" w:ascii="Times New Roman" w:hAnsi="Times New Roman" w:eastAsia="宋体" w:cs="Times New Roman"/>
                <w:sz w:val="21"/>
                <w:szCs w:val="21"/>
                <w:lang w:val="en-US" w:eastAsia="zh-CN"/>
              </w:rPr>
              <w:t>，落实各类固体废物的收集、处理，污水处理站污泥、报废药品、危化品包装材料、化验中心危废废活性炭滤芯、废空气滤芯、废活性炭等危险废物暂存危废间，委托有资质单位处理，收集和暂存满足《危险废物贮存污染控制标准》(GB18597-2023)标准要求。</w:t>
            </w:r>
          </w:p>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废外包材料、集中收集后外售;纯水制备过程中的废石英砂废活性炭、废反渗透膜由厂家更换回收；生活垃圾交由环卫部门定期清运处理，一般固废的收集和贮存须满足《一般工业固体废物贮存和填埋污染控制标准》 (GB18599-2020)要求。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项目运营期采用低噪声设备，采取设备减震、风机安装消音机、合理布局等措施，噪声须满足《工业企业厂界环境噪声排放标准》(GB12348-2008)2类标准要求。</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已落实</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依据检测结果，</w:t>
            </w:r>
            <w:r>
              <w:rPr>
                <w:rFonts w:hint="default" w:ascii="Times New Roman" w:hAnsi="Times New Roman" w:eastAsia="宋体" w:cs="Times New Roman"/>
                <w:sz w:val="21"/>
                <w:szCs w:val="21"/>
                <w:lang w:val="en-US" w:eastAsia="zh-CN"/>
              </w:rPr>
              <w:t>项目运营期</w:t>
            </w:r>
            <w:r>
              <w:rPr>
                <w:rFonts w:hint="eastAsia" w:ascii="Times New Roman" w:hAnsi="Times New Roman" w:eastAsia="宋体" w:cs="Times New Roman"/>
                <w:sz w:val="21"/>
                <w:szCs w:val="21"/>
                <w:lang w:val="en-US" w:eastAsia="zh-CN"/>
              </w:rPr>
              <w:t>噪声满足排放满足</w:t>
            </w:r>
            <w:r>
              <w:rPr>
                <w:rFonts w:hint="default" w:ascii="Times New Roman" w:hAnsi="Times New Roman" w:eastAsia="宋体" w:cs="Times New Roman"/>
                <w:sz w:val="21"/>
                <w:szCs w:val="21"/>
                <w:lang w:val="en-US" w:eastAsia="zh-CN"/>
              </w:rPr>
              <w:t>《工业企业厂界环境噪声排放标准》(GB12348-2008)2类标准要求</w:t>
            </w:r>
            <w:r>
              <w:rPr>
                <w:rFonts w:hint="eastAsia" w:ascii="Times New Roman" w:hAnsi="Times New Roman" w:eastAsia="宋体" w:cs="Times New Roman"/>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报告表须按照《环境影响评价技术导则大气环境》 (HJ2.2-2018)、《环境空气质量标准》 (GB3095-2012)相关标准要求设置大气环境防护距离。</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已落实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运行期需申请污染物排放总量的项目，须严格执行区域污染物排放总量控制要求，确保各类污染物排放总量控制在核定指标内。需申请排污许可证的项目，投产前须依法取得排污许可。</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已落实，本项目已</w:t>
            </w:r>
            <w:r>
              <w:rPr>
                <w:rFonts w:hint="default" w:ascii="Times New Roman" w:hAnsi="Times New Roman" w:eastAsia="宋体" w:cs="Times New Roman"/>
                <w:sz w:val="21"/>
                <w:szCs w:val="21"/>
                <w:lang w:val="en-US" w:eastAsia="zh-CN"/>
              </w:rPr>
              <w:t>申请污染物排放总量</w:t>
            </w:r>
            <w:r>
              <w:rPr>
                <w:rFonts w:hint="eastAsia" w:ascii="Times New Roman" w:hAnsi="Times New Roman" w:eastAsia="宋体" w:cs="Times New Roman"/>
                <w:sz w:val="21"/>
                <w:szCs w:val="21"/>
                <w:lang w:val="en-US" w:eastAsia="zh-CN"/>
              </w:rPr>
              <w:t>，总量确定书编号为HZGXZL（2023）15号</w:t>
            </w:r>
            <w:r>
              <w:rPr>
                <w:rFonts w:hint="default" w:ascii="Times New Roman" w:hAnsi="Times New Roman" w:eastAsia="宋体" w:cs="Times New Roman"/>
                <w:sz w:val="21"/>
                <w:szCs w:val="21"/>
                <w:lang w:val="en-US" w:eastAsia="zh-CN"/>
              </w:rPr>
              <w:t>，</w:t>
            </w:r>
            <w:r>
              <w:rPr>
                <w:rFonts w:hint="eastAsia" w:ascii="Times New Roman" w:hAnsi="Times New Roman" w:eastAsia="宋体" w:cs="Times New Roman"/>
                <w:sz w:val="21"/>
                <w:szCs w:val="21"/>
                <w:lang w:val="en-US" w:eastAsia="zh-CN"/>
              </w:rPr>
              <w:t>监测期间污染物排放</w:t>
            </w:r>
            <w:r>
              <w:rPr>
                <w:rFonts w:hint="default" w:ascii="Times New Roman" w:hAnsi="Times New Roman" w:eastAsia="宋体" w:cs="Times New Roman"/>
                <w:sz w:val="21"/>
                <w:szCs w:val="21"/>
                <w:lang w:val="en-US" w:eastAsia="zh-CN"/>
              </w:rPr>
              <w:t>总量控制在核定指标内。</w:t>
            </w:r>
            <w:r>
              <w:rPr>
                <w:rFonts w:hint="eastAsia" w:ascii="Times New Roman" w:hAnsi="Times New Roman" w:eastAsia="宋体" w:cs="Times New Roman"/>
                <w:sz w:val="21"/>
                <w:szCs w:val="21"/>
                <w:lang w:val="en-US" w:eastAsia="zh-CN"/>
              </w:rPr>
              <w:t>目前已</w:t>
            </w:r>
            <w:r>
              <w:rPr>
                <w:rFonts w:hint="default" w:ascii="Times New Roman" w:hAnsi="Times New Roman" w:eastAsia="宋体" w:cs="Times New Roman"/>
                <w:sz w:val="21"/>
                <w:szCs w:val="21"/>
                <w:lang w:val="en-US" w:eastAsia="zh-CN"/>
              </w:rPr>
              <w:t>申请排污许可证</w:t>
            </w:r>
            <w:r>
              <w:rPr>
                <w:rFonts w:hint="eastAsia" w:ascii="Times New Roman" w:hAnsi="Times New Roman" w:eastAsia="宋体" w:cs="Times New Roman"/>
                <w:sz w:val="21"/>
                <w:szCs w:val="21"/>
                <w:lang w:val="en-US" w:eastAsia="zh-CN"/>
              </w:rPr>
              <w:t>，排污许可证编号为913717005793562082001X</w:t>
            </w:r>
            <w:r>
              <w:rPr>
                <w:rFonts w:hint="default" w:ascii="Times New Roman" w:hAnsi="Times New Roman" w:eastAsia="宋体" w:cs="Times New Roman"/>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11</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严格落实报告表提出的环境风险防范措施和应急预案要求，落实各类污染物排放、噪声等监测计划。配备必要的应急设备，并定期演练，防止污染事故发生。</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项目严格执行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12</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请菏泽市生态环境局高新区分局做好项目施工期和运营期环境保护措施落实情况的监督检查。</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项目严格执行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13</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你单位须对环保设施和项目开展安全风险辨识管理，健全内部管理责任制度，严格依据标准规范建设环保设施和项目。</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项目已</w:t>
            </w:r>
            <w:r>
              <w:rPr>
                <w:rFonts w:hint="default" w:ascii="Times New Roman" w:hAnsi="Times New Roman" w:eastAsia="宋体" w:cs="Times New Roman"/>
                <w:sz w:val="21"/>
                <w:szCs w:val="21"/>
                <w:lang w:val="en-US" w:eastAsia="zh-CN"/>
              </w:rPr>
              <w:t>对环保设施和项目开展安全风险辨识管理，</w:t>
            </w:r>
            <w:r>
              <w:rPr>
                <w:rFonts w:hint="eastAsia" w:ascii="Times New Roman" w:hAnsi="Times New Roman" w:eastAsia="宋体" w:cs="Times New Roman"/>
                <w:sz w:val="21"/>
                <w:szCs w:val="21"/>
                <w:lang w:val="en-US" w:eastAsia="zh-CN"/>
              </w:rPr>
              <w:t>且</w:t>
            </w:r>
            <w:r>
              <w:rPr>
                <w:rFonts w:hint="default" w:ascii="Times New Roman" w:hAnsi="Times New Roman" w:eastAsia="宋体" w:cs="Times New Roman"/>
                <w:sz w:val="21"/>
                <w:szCs w:val="21"/>
                <w:lang w:val="en-US" w:eastAsia="zh-CN"/>
              </w:rPr>
              <w:t>健全内部管理责任制度，严格依据标准规范建设环保设施和项目。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14</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在工程施工和运营过程中，应建立畅通的公众参与平台及时解决公众提出的环境问题，满足公众合理的环境保护要求，并主动接受社会监督。</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项目严格执行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15</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你单位必须严格执行配套建设的环境保护设施与主体工程同时设计、同时施工、同时投入使用的</w:t>
            </w:r>
            <w:r>
              <w:rPr>
                <w:rFonts w:hint="eastAsia" w:ascii="宋体" w:hAnsi="宋体" w:eastAsia="宋体" w:cs="宋体"/>
                <w:sz w:val="21"/>
                <w:szCs w:val="21"/>
                <w:lang w:val="en-US" w:eastAsia="zh-CN"/>
              </w:rPr>
              <w:t>“三同时”</w:t>
            </w:r>
            <w:r>
              <w:rPr>
                <w:rFonts w:hint="default" w:ascii="Times New Roman" w:hAnsi="Times New Roman" w:eastAsia="宋体" w:cs="Times New Roman"/>
                <w:sz w:val="21"/>
                <w:szCs w:val="21"/>
                <w:lang w:val="en-US" w:eastAsia="zh-CN"/>
              </w:rPr>
              <w:t>制度。项目竣工后，你单位须按程序申领排污许可证及进行竣工环境保护验收，经验收合格方可投产。</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项目严格执行</w:t>
            </w:r>
            <w:r>
              <w:rPr>
                <w:rFonts w:hint="default" w:ascii="Times New Roman" w:hAnsi="Times New Roman" w:eastAsia="宋体" w:cs="Times New Roman"/>
                <w:sz w:val="21"/>
                <w:szCs w:val="21"/>
                <w:lang w:val="en-US" w:eastAsia="zh-CN"/>
              </w:rPr>
              <w:t>配套建设的环境保护设施与主体工程同时设计、同时施工、同时投入使用的</w:t>
            </w:r>
            <w:r>
              <w:rPr>
                <w:rFonts w:hint="eastAsia" w:ascii="宋体" w:hAnsi="宋体" w:eastAsia="宋体" w:cs="宋体"/>
                <w:sz w:val="21"/>
                <w:szCs w:val="21"/>
                <w:lang w:val="en-US" w:eastAsia="zh-CN"/>
              </w:rPr>
              <w:t>“三同时”</w:t>
            </w:r>
            <w:r>
              <w:rPr>
                <w:rFonts w:hint="default" w:ascii="Times New Roman" w:hAnsi="Times New Roman" w:eastAsia="宋体" w:cs="Times New Roman"/>
                <w:sz w:val="21"/>
                <w:szCs w:val="21"/>
                <w:lang w:val="en-US" w:eastAsia="zh-CN"/>
              </w:rPr>
              <w:t>制度</w:t>
            </w:r>
            <w:r>
              <w:rPr>
                <w:rFonts w:hint="eastAsia" w:ascii="Times New Roman" w:hAnsi="Times New Roman" w:eastAsia="宋体" w:cs="Times New Roman"/>
                <w:sz w:val="21"/>
                <w:szCs w:val="21"/>
                <w:lang w:val="en-US" w:eastAsia="zh-CN"/>
              </w:rPr>
              <w:t>，目前已</w:t>
            </w:r>
            <w:r>
              <w:rPr>
                <w:rFonts w:hint="default" w:ascii="Times New Roman" w:hAnsi="Times New Roman" w:eastAsia="宋体" w:cs="Times New Roman"/>
                <w:sz w:val="21"/>
                <w:szCs w:val="21"/>
                <w:lang w:val="en-US" w:eastAsia="zh-CN"/>
              </w:rPr>
              <w:t>申请排污许可证</w:t>
            </w:r>
            <w:r>
              <w:rPr>
                <w:rFonts w:hint="eastAsia" w:ascii="Times New Roman" w:hAnsi="Times New Roman" w:eastAsia="宋体" w:cs="Times New Roman"/>
                <w:sz w:val="21"/>
                <w:szCs w:val="21"/>
                <w:lang w:val="en-US" w:eastAsia="zh-CN"/>
              </w:rPr>
              <w:t>，排污许可证编号为913717005793562082001X。</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16</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严格执行生态环境部办公厅《关于印发污染影响类建设项目重大变动清单(试行)的通知》 (环办环评函[2020]688号)规定，若该建设项目发生清单中所列重大变动的，应按照法律法规的规定，重新报批环评文件。该项目自批准之日起超过五年开工建设的，须重新向我局报批环境影响评价文件。国家和省、市有新规定的，从其规定。</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项目严格执行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283" w:hRule="atLeast"/>
          <w:jc w:val="center"/>
        </w:trPr>
        <w:tc>
          <w:tcPr>
            <w:tcW w:w="303"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17</w:t>
            </w:r>
          </w:p>
        </w:tc>
        <w:tc>
          <w:tcPr>
            <w:tcW w:w="2489"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你单位自收到本批复10日内，将批准后的环境影响报告表及本批复送至菏泽市生态环境局高新区分局，并按规定接受生态环境部门的监督检查。</w:t>
            </w:r>
          </w:p>
        </w:tc>
        <w:tc>
          <w:tcPr>
            <w:tcW w:w="2207" w:type="pct"/>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项目严格执行</w:t>
            </w:r>
          </w:p>
        </w:tc>
      </w:tr>
    </w:tbl>
    <w:p>
      <w:pPr>
        <w:autoSpaceDE w:val="0"/>
        <w:autoSpaceDN w:val="0"/>
        <w:spacing w:line="360" w:lineRule="auto"/>
        <w:ind w:firstLine="480" w:firstLineChars="200"/>
        <w:rPr>
          <w:rFonts w:hint="default" w:ascii="Times New Roman" w:hAnsi="Times New Roman" w:eastAsia="宋体" w:cs="Times New Roman"/>
          <w:sz w:val="24"/>
          <w:szCs w:val="28"/>
          <w:lang w:val="en-US" w:eastAsia="zh-CN"/>
        </w:rPr>
      </w:pPr>
      <w:r>
        <w:rPr>
          <w:rFonts w:hint="default" w:ascii="Times New Roman" w:hAnsi="Times New Roman" w:eastAsia="宋体" w:cs="Times New Roman"/>
          <w:sz w:val="24"/>
          <w:szCs w:val="28"/>
          <w:lang w:val="en-US" w:eastAsia="zh-CN"/>
        </w:rPr>
        <w:t>2、项目投资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FF"/>
          <w:sz w:val="24"/>
          <w:szCs w:val="28"/>
          <w:lang w:val="en-US" w:eastAsia="zh-CN"/>
        </w:rPr>
      </w:pPr>
      <w:r>
        <w:rPr>
          <w:rFonts w:hint="default" w:ascii="Times New Roman" w:hAnsi="Times New Roman" w:eastAsia="宋体" w:cs="Times New Roman"/>
          <w:sz w:val="24"/>
          <w:szCs w:val="24"/>
          <w:lang w:val="en-US" w:eastAsia="zh-CN"/>
        </w:rPr>
        <w:t>项目总投资</w:t>
      </w:r>
      <w:r>
        <w:rPr>
          <w:rFonts w:hint="eastAsia" w:ascii="Times New Roman" w:hAnsi="Times New Roman" w:eastAsia="宋体" w:cs="Times New Roman"/>
          <w:sz w:val="24"/>
          <w:szCs w:val="24"/>
          <w:lang w:val="en-US" w:eastAsia="zh-CN"/>
        </w:rPr>
        <w:t>120000</w:t>
      </w:r>
      <w:r>
        <w:rPr>
          <w:rFonts w:hint="default" w:ascii="Times New Roman" w:hAnsi="Times New Roman" w:eastAsia="宋体" w:cs="Times New Roman"/>
          <w:sz w:val="24"/>
          <w:szCs w:val="24"/>
          <w:lang w:val="en-US" w:eastAsia="zh-CN"/>
        </w:rPr>
        <w:t>万元</w:t>
      </w:r>
      <w:r>
        <w:rPr>
          <w:rFonts w:hint="eastAsia" w:ascii="Times New Roman" w:hAnsi="Times New Roman" w:eastAsia="宋体" w:cs="Times New Roman"/>
          <w:sz w:val="24"/>
          <w:szCs w:val="24"/>
          <w:lang w:val="en-US" w:eastAsia="zh-CN"/>
        </w:rPr>
        <w:t>，验收期间，一期实际总投资10100万元，其中环保投资150万元。一期</w:t>
      </w:r>
      <w:r>
        <w:rPr>
          <w:rFonts w:hint="default" w:ascii="Times New Roman" w:hAnsi="Times New Roman" w:eastAsia="宋体" w:cs="Times New Roman"/>
          <w:sz w:val="24"/>
          <w:szCs w:val="24"/>
          <w:lang w:val="en-US" w:eastAsia="zh-CN"/>
        </w:rPr>
        <w:t>实际</w:t>
      </w:r>
      <w:r>
        <w:rPr>
          <w:rFonts w:hint="eastAsia" w:ascii="Times New Roman" w:hAnsi="Times New Roman" w:eastAsia="宋体" w:cs="Times New Roman"/>
          <w:sz w:val="24"/>
          <w:szCs w:val="24"/>
          <w:lang w:val="en-US" w:eastAsia="zh-CN"/>
        </w:rPr>
        <w:t>投资占</w:t>
      </w:r>
      <w:r>
        <w:rPr>
          <w:rFonts w:hint="default" w:ascii="Times New Roman" w:hAnsi="Times New Roman" w:eastAsia="宋体" w:cs="Times New Roman"/>
          <w:sz w:val="24"/>
          <w:szCs w:val="24"/>
          <w:lang w:val="en-US" w:eastAsia="zh-CN"/>
        </w:rPr>
        <w:t>总投资</w:t>
      </w:r>
      <w:r>
        <w:rPr>
          <w:rFonts w:hint="eastAsia" w:ascii="Times New Roman" w:hAnsi="Times New Roman" w:eastAsia="宋体" w:cs="Times New Roman"/>
          <w:sz w:val="24"/>
          <w:szCs w:val="24"/>
          <w:lang w:val="en-US" w:eastAsia="zh-CN"/>
        </w:rPr>
        <w:t>的8.4%，一期环保投资占一期</w:t>
      </w:r>
      <w:r>
        <w:rPr>
          <w:rFonts w:hint="default" w:ascii="Times New Roman" w:hAnsi="Times New Roman" w:eastAsia="宋体" w:cs="Times New Roman"/>
          <w:sz w:val="24"/>
          <w:szCs w:val="24"/>
          <w:lang w:val="en-US" w:eastAsia="zh-CN"/>
        </w:rPr>
        <w:t>实际总投资</w:t>
      </w:r>
      <w:r>
        <w:rPr>
          <w:rFonts w:hint="eastAsia" w:ascii="Times New Roman" w:hAnsi="Times New Roman" w:eastAsia="宋体" w:cs="Times New Roman"/>
          <w:sz w:val="24"/>
          <w:szCs w:val="24"/>
          <w:lang w:val="en-US" w:eastAsia="zh-CN"/>
        </w:rPr>
        <w:t>的1.5%，</w:t>
      </w:r>
      <w:r>
        <w:rPr>
          <w:rFonts w:hint="default" w:ascii="Times New Roman" w:hAnsi="Times New Roman" w:eastAsia="宋体" w:cs="Times New Roman"/>
          <w:sz w:val="24"/>
          <w:szCs w:val="24"/>
          <w:lang w:val="en-US" w:eastAsia="zh-CN"/>
        </w:rPr>
        <w:t>该工程环保设施(措施)及投资估算情况见表4-3。</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color w:val="auto"/>
          <w:sz w:val="21"/>
          <w:szCs w:val="21"/>
          <w:lang w:val="en-US" w:eastAsia="zh-CN"/>
        </w:rPr>
      </w:pPr>
      <w:r>
        <w:rPr>
          <w:rFonts w:hint="default" w:ascii="Times New Roman" w:hAnsi="Times New Roman" w:eastAsia="宋体" w:cs="Times New Roman"/>
          <w:b/>
          <w:color w:val="auto"/>
          <w:sz w:val="21"/>
          <w:szCs w:val="21"/>
          <w:lang w:val="en-US" w:eastAsia="zh-CN"/>
        </w:rPr>
        <w:t>表4-3  环保投资估算表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6"/>
        <w:gridCol w:w="866"/>
        <w:gridCol w:w="1664"/>
        <w:gridCol w:w="4384"/>
        <w:gridCol w:w="10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序号</w:t>
            </w:r>
          </w:p>
        </w:tc>
        <w:tc>
          <w:tcPr>
            <w:tcW w:w="5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治理项目</w:t>
            </w:r>
          </w:p>
        </w:tc>
        <w:tc>
          <w:tcPr>
            <w:tcW w:w="3547"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治理方案</w:t>
            </w:r>
          </w:p>
        </w:tc>
        <w:tc>
          <w:tcPr>
            <w:tcW w:w="6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1</w:t>
            </w:r>
          </w:p>
        </w:tc>
        <w:tc>
          <w:tcPr>
            <w:tcW w:w="50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废水治理</w:t>
            </w:r>
          </w:p>
        </w:tc>
        <w:tc>
          <w:tcPr>
            <w:tcW w:w="9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生活污水</w:t>
            </w:r>
          </w:p>
        </w:tc>
        <w:tc>
          <w:tcPr>
            <w:tcW w:w="25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color w:val="auto"/>
                <w:sz w:val="21"/>
                <w:szCs w:val="21"/>
                <w:lang w:val="en-US" w:eastAsia="zh-CN"/>
              </w:rPr>
              <w:t>生活污水经化粪池预处理后，定期掏运用作农肥，不外排</w:t>
            </w:r>
            <w:r>
              <w:rPr>
                <w:rFonts w:hint="eastAsia" w:ascii="Times New Roman" w:hAnsi="Times New Roman" w:eastAsia="宋体" w:cs="Times New Roman"/>
                <w:color w:val="auto"/>
                <w:sz w:val="21"/>
                <w:szCs w:val="21"/>
                <w:lang w:val="en-US" w:eastAsia="zh-CN"/>
              </w:rPr>
              <w:t>。</w:t>
            </w:r>
          </w:p>
        </w:tc>
        <w:tc>
          <w:tcPr>
            <w:tcW w:w="6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rPr>
            </w:pPr>
            <w:r>
              <w:rPr>
                <w:rFonts w:hint="eastAsia" w:ascii="Times New Roman" w:hAnsi="Times New Roman" w:eastAsia="宋体" w:cs="Times New Roman"/>
                <w:bCs/>
                <w:color w:val="auto"/>
                <w:sz w:val="21"/>
                <w:szCs w:val="21"/>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9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生产废水</w:t>
            </w:r>
          </w:p>
        </w:tc>
        <w:tc>
          <w:tcPr>
            <w:tcW w:w="25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蒸汽冷凝水经冷凝池冷凝后，用于地面清洁及循环冷却用水。生产废水经自建污水处理站处理后，通过市政污水管网排入菏泽众兴牡丹水环境有限公司污水处理厂进行深度处理</w:t>
            </w:r>
            <w:r>
              <w:rPr>
                <w:rFonts w:hint="eastAsia" w:ascii="Times New Roman" w:hAnsi="Times New Roman" w:eastAsia="宋体" w:cs="Times New Roman"/>
                <w:color w:val="auto"/>
                <w:sz w:val="21"/>
                <w:szCs w:val="21"/>
                <w:lang w:val="en-US" w:eastAsia="zh-CN"/>
              </w:rPr>
              <w:t>。</w:t>
            </w:r>
          </w:p>
        </w:tc>
        <w:tc>
          <w:tcPr>
            <w:tcW w:w="6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50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color w:val="auto"/>
                <w:sz w:val="21"/>
                <w:szCs w:val="21"/>
                <w:lang w:eastAsia="zh-CN"/>
              </w:rPr>
              <w:t>废气治理</w:t>
            </w:r>
          </w:p>
        </w:tc>
        <w:tc>
          <w:tcPr>
            <w:tcW w:w="9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eastAsia="宋体" w:cs="Times New Roman"/>
                <w:kern w:val="2"/>
                <w:sz w:val="21"/>
                <w:szCs w:val="21"/>
                <w:vertAlign w:val="baseline"/>
                <w:lang w:val="en-US" w:eastAsia="zh-CN" w:bidi="ar-SA"/>
              </w:rPr>
              <w:t>污水处理站废气</w:t>
            </w:r>
          </w:p>
        </w:tc>
        <w:tc>
          <w:tcPr>
            <w:tcW w:w="2571" w:type="pct"/>
            <w:tcBorders>
              <w:tl2br w:val="nil"/>
              <w:tr2bl w:val="nil"/>
            </w:tcBorders>
            <w:noWrap w:val="0"/>
            <w:vAlign w:val="center"/>
          </w:tcPr>
          <w:p>
            <w:pPr>
              <w:pStyle w:val="69"/>
              <w:adjustRightInd w:val="0"/>
              <w:spacing w:before="0" w:after="0" w:line="240" w:lineRule="auto"/>
              <w:ind w:right="0"/>
              <w:jc w:val="both"/>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 w:val="0"/>
                <w:bCs w:val="0"/>
                <w:color w:val="000000"/>
                <w:spacing w:val="0"/>
                <w:w w:val="100"/>
                <w:kern w:val="0"/>
                <w:position w:val="0"/>
                <w:sz w:val="21"/>
                <w:szCs w:val="21"/>
                <w:lang w:val="en-US" w:eastAsia="zh-CN"/>
              </w:rPr>
              <w:t>污水处理站恶臭气体经</w:t>
            </w:r>
            <w:r>
              <w:rPr>
                <w:rFonts w:hint="eastAsia" w:ascii="宋体" w:hAnsi="宋体" w:eastAsia="宋体" w:cs="宋体"/>
                <w:b w:val="0"/>
                <w:bCs w:val="0"/>
                <w:color w:val="000000"/>
                <w:spacing w:val="0"/>
                <w:w w:val="100"/>
                <w:kern w:val="0"/>
                <w:position w:val="0"/>
                <w:sz w:val="21"/>
                <w:szCs w:val="21"/>
                <w:lang w:val="en-US" w:eastAsia="zh-CN"/>
              </w:rPr>
              <w:t>“碱液喷淋塔+二级活性炭吸附装置”处</w:t>
            </w:r>
            <w:r>
              <w:rPr>
                <w:rFonts w:hint="default" w:ascii="Times New Roman" w:hAnsi="Times New Roman" w:eastAsia="宋体" w:cs="Times New Roman"/>
                <w:b w:val="0"/>
                <w:bCs w:val="0"/>
                <w:color w:val="000000"/>
                <w:spacing w:val="0"/>
                <w:w w:val="100"/>
                <w:kern w:val="0"/>
                <w:position w:val="0"/>
                <w:sz w:val="21"/>
                <w:szCs w:val="21"/>
                <w:lang w:val="en-US" w:eastAsia="zh-CN"/>
              </w:rPr>
              <w:t>理后，</w:t>
            </w:r>
            <w:r>
              <w:rPr>
                <w:rFonts w:hint="default" w:ascii="Times New Roman" w:hAnsi="Times New Roman" w:eastAsia="宋体" w:cs="Times New Roman"/>
                <w:kern w:val="2"/>
                <w:sz w:val="21"/>
                <w:szCs w:val="21"/>
                <w:lang w:val="en-US" w:eastAsia="zh-CN" w:bidi="ar-SA"/>
              </w:rPr>
              <w:t>最终通过1根15米高的排气筒（DA001）排放</w:t>
            </w:r>
            <w:r>
              <w:rPr>
                <w:rFonts w:hint="default" w:ascii="Times New Roman" w:hAnsi="Times New Roman" w:eastAsia="宋体" w:cs="Times New Roman"/>
                <w:bCs/>
                <w:color w:val="auto"/>
                <w:sz w:val="21"/>
                <w:szCs w:val="21"/>
                <w:lang w:val="en-US" w:eastAsia="zh-CN"/>
              </w:rPr>
              <w:t>；</w:t>
            </w:r>
          </w:p>
        </w:tc>
        <w:tc>
          <w:tcPr>
            <w:tcW w:w="61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49.0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eastAsia="zh-CN"/>
              </w:rPr>
            </w:pPr>
          </w:p>
        </w:tc>
        <w:tc>
          <w:tcPr>
            <w:tcW w:w="9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化验</w:t>
            </w:r>
            <w:r>
              <w:rPr>
                <w:rFonts w:hint="default" w:ascii="Times New Roman" w:hAnsi="Times New Roman" w:eastAsia="宋体" w:cs="Times New Roman"/>
                <w:b w:val="0"/>
                <w:bCs w:val="0"/>
                <w:color w:val="000000"/>
                <w:spacing w:val="0"/>
                <w:w w:val="100"/>
                <w:kern w:val="0"/>
                <w:position w:val="0"/>
                <w:sz w:val="21"/>
                <w:szCs w:val="21"/>
                <w:lang w:val="en-US" w:eastAsia="zh-CN"/>
              </w:rPr>
              <w:t>中心产生的有机废气</w:t>
            </w:r>
          </w:p>
        </w:tc>
        <w:tc>
          <w:tcPr>
            <w:tcW w:w="25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color w:val="auto"/>
                <w:sz w:val="21"/>
                <w:szCs w:val="21"/>
                <w:lang w:val="en-US" w:eastAsia="zh-CN"/>
              </w:rPr>
              <w:t>化验</w:t>
            </w:r>
            <w:r>
              <w:rPr>
                <w:rFonts w:hint="default" w:ascii="Times New Roman" w:hAnsi="Times New Roman" w:eastAsia="宋体" w:cs="Times New Roman"/>
                <w:b w:val="0"/>
                <w:bCs w:val="0"/>
                <w:color w:val="000000"/>
                <w:spacing w:val="0"/>
                <w:w w:val="100"/>
                <w:kern w:val="0"/>
                <w:position w:val="0"/>
                <w:sz w:val="21"/>
                <w:szCs w:val="21"/>
                <w:lang w:val="en-US" w:eastAsia="zh-CN"/>
              </w:rPr>
              <w:t>中心产生的有机废气经通风柜收集经“碱液喷淋塔+二级活性炭吸附装置”处理后，最终通过1根</w:t>
            </w:r>
            <w:r>
              <w:rPr>
                <w:rFonts w:hint="eastAsia" w:ascii="Times New Roman" w:hAnsi="Times New Roman" w:eastAsia="宋体" w:cs="Times New Roman"/>
                <w:b w:val="0"/>
                <w:bCs w:val="0"/>
                <w:color w:val="000000"/>
                <w:spacing w:val="0"/>
                <w:w w:val="100"/>
                <w:kern w:val="0"/>
                <w:position w:val="0"/>
                <w:sz w:val="21"/>
                <w:szCs w:val="21"/>
                <w:lang w:val="en-US" w:eastAsia="zh-CN"/>
              </w:rPr>
              <w:t>20</w:t>
            </w:r>
            <w:r>
              <w:rPr>
                <w:rFonts w:hint="default" w:ascii="Times New Roman" w:hAnsi="Times New Roman" w:eastAsia="宋体" w:cs="Times New Roman"/>
                <w:b w:val="0"/>
                <w:bCs w:val="0"/>
                <w:color w:val="000000"/>
                <w:spacing w:val="0"/>
                <w:w w:val="100"/>
                <w:kern w:val="0"/>
                <w:position w:val="0"/>
                <w:sz w:val="21"/>
                <w:szCs w:val="21"/>
                <w:lang w:val="en-US" w:eastAsia="zh-CN"/>
              </w:rPr>
              <w:t>米高的排气筒（DA002）排放（排气筒出口距离地面高度</w:t>
            </w:r>
            <w:r>
              <w:rPr>
                <w:rFonts w:hint="eastAsia" w:ascii="Times New Roman" w:hAnsi="Times New Roman" w:eastAsia="宋体" w:cs="Times New Roman"/>
                <w:b w:val="0"/>
                <w:bCs w:val="0"/>
                <w:color w:val="000000"/>
                <w:spacing w:val="0"/>
                <w:w w:val="100"/>
                <w:kern w:val="0"/>
                <w:position w:val="0"/>
                <w:sz w:val="21"/>
                <w:szCs w:val="21"/>
                <w:lang w:val="en-US" w:eastAsia="zh-CN"/>
              </w:rPr>
              <w:t>20</w:t>
            </w:r>
            <w:r>
              <w:rPr>
                <w:rFonts w:hint="default" w:ascii="Times New Roman" w:hAnsi="Times New Roman" w:eastAsia="宋体" w:cs="Times New Roman"/>
                <w:b w:val="0"/>
                <w:bCs w:val="0"/>
                <w:color w:val="000000"/>
                <w:spacing w:val="0"/>
                <w:w w:val="100"/>
                <w:kern w:val="0"/>
                <w:position w:val="0"/>
                <w:sz w:val="21"/>
                <w:szCs w:val="21"/>
                <w:lang w:val="en-US" w:eastAsia="zh-CN"/>
              </w:rPr>
              <w:t>m，排气筒高于楼层5米)</w:t>
            </w:r>
            <w:r>
              <w:rPr>
                <w:rFonts w:hint="eastAsia" w:ascii="Times New Roman" w:hAnsi="Times New Roman" w:eastAsia="宋体" w:cs="Times New Roman"/>
                <w:bCs/>
                <w:color w:val="auto"/>
                <w:sz w:val="21"/>
                <w:szCs w:val="21"/>
                <w:lang w:val="en-US" w:eastAsia="zh-CN"/>
              </w:rPr>
              <w:t>；</w:t>
            </w:r>
          </w:p>
        </w:tc>
        <w:tc>
          <w:tcPr>
            <w:tcW w:w="61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eastAsia="zh-CN"/>
              </w:rPr>
            </w:pPr>
          </w:p>
        </w:tc>
        <w:tc>
          <w:tcPr>
            <w:tcW w:w="9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vertAlign w:val="baseline"/>
                <w:lang w:val="en-US" w:eastAsia="zh-CN" w:bidi="ar-SA"/>
              </w:rPr>
            </w:pPr>
            <w:r>
              <w:rPr>
                <w:rFonts w:hint="eastAsia" w:ascii="Times New Roman" w:hAnsi="Times New Roman" w:eastAsia="宋体" w:cs="Times New Roman"/>
                <w:color w:val="auto"/>
                <w:sz w:val="21"/>
                <w:szCs w:val="21"/>
                <w:lang w:val="en-US" w:eastAsia="zh-CN"/>
              </w:rPr>
              <w:t>G1小容量注射剂（安瓿瓶、西林瓶）车间</w:t>
            </w:r>
            <w:r>
              <w:rPr>
                <w:rFonts w:hint="default" w:ascii="Times New Roman" w:hAnsi="Times New Roman" w:eastAsia="宋体" w:cs="Times New Roman"/>
                <w:color w:val="auto"/>
                <w:sz w:val="21"/>
                <w:szCs w:val="21"/>
                <w:lang w:val="en-US" w:eastAsia="zh-CN"/>
              </w:rPr>
              <w:t>产生的异味</w:t>
            </w:r>
          </w:p>
        </w:tc>
        <w:tc>
          <w:tcPr>
            <w:tcW w:w="25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color w:val="auto"/>
                <w:sz w:val="21"/>
                <w:szCs w:val="21"/>
                <w:lang w:val="en-US" w:eastAsia="zh-CN"/>
              </w:rPr>
              <w:t>通过车间内微负压收集，由中央空气净化系统处理后，经出风口排放</w:t>
            </w:r>
            <w:r>
              <w:rPr>
                <w:rFonts w:hint="eastAsia" w:ascii="Times New Roman" w:hAnsi="Times New Roman" w:eastAsia="宋体" w:cs="Times New Roman"/>
                <w:bCs/>
                <w:color w:val="auto"/>
                <w:sz w:val="21"/>
                <w:szCs w:val="21"/>
                <w:lang w:val="en-US" w:eastAsia="zh-CN"/>
              </w:rPr>
              <w:t>；</w:t>
            </w:r>
          </w:p>
        </w:tc>
        <w:tc>
          <w:tcPr>
            <w:tcW w:w="61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9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无组织</w:t>
            </w:r>
            <w:r>
              <w:rPr>
                <w:rFonts w:hint="eastAsia" w:ascii="Times New Roman" w:hAnsi="Times New Roman" w:eastAsia="宋体" w:cs="Times New Roman"/>
                <w:kern w:val="2"/>
                <w:sz w:val="21"/>
                <w:szCs w:val="21"/>
                <w:vertAlign w:val="baseline"/>
                <w:lang w:val="en-US" w:eastAsia="zh-CN" w:bidi="ar-SA"/>
              </w:rPr>
              <w:t>VOCs</w:t>
            </w:r>
          </w:p>
        </w:tc>
        <w:tc>
          <w:tcPr>
            <w:tcW w:w="25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车间加强车间密闭效果和收集效率</w:t>
            </w:r>
          </w:p>
        </w:tc>
        <w:tc>
          <w:tcPr>
            <w:tcW w:w="61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3</w:t>
            </w:r>
          </w:p>
        </w:tc>
        <w:tc>
          <w:tcPr>
            <w:tcW w:w="50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固废治理</w:t>
            </w:r>
          </w:p>
        </w:tc>
        <w:tc>
          <w:tcPr>
            <w:tcW w:w="976" w:type="pct"/>
            <w:tcBorders>
              <w:tl2br w:val="nil"/>
              <w:tr2bl w:val="nil"/>
            </w:tcBorders>
            <w:noWrap w:val="0"/>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sz w:val="21"/>
                <w:szCs w:val="21"/>
                <w:lang w:val="en-US" w:eastAsia="zh-CN"/>
              </w:rPr>
              <w:t>生活垃圾</w:t>
            </w:r>
          </w:p>
        </w:tc>
        <w:tc>
          <w:tcPr>
            <w:tcW w:w="25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b w:val="0"/>
                <w:bCs/>
                <w:color w:val="auto"/>
                <w:sz w:val="21"/>
                <w:szCs w:val="21"/>
              </w:rPr>
              <w:t>交环卫部门统一清运处置</w:t>
            </w:r>
          </w:p>
        </w:tc>
        <w:tc>
          <w:tcPr>
            <w:tcW w:w="61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976" w:type="pct"/>
            <w:tcBorders>
              <w:tl2br w:val="nil"/>
              <w:tr2bl w:val="nil"/>
            </w:tcBorders>
            <w:noWrap w:val="0"/>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sz w:val="21"/>
                <w:szCs w:val="21"/>
                <w:lang w:val="en-US" w:eastAsia="zh-CN"/>
              </w:rPr>
              <w:t>废外包材料</w:t>
            </w:r>
          </w:p>
        </w:tc>
        <w:tc>
          <w:tcPr>
            <w:tcW w:w="25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position w:val="2"/>
                <w:sz w:val="21"/>
                <w:szCs w:val="21"/>
                <w:lang w:val="en-US" w:eastAsia="zh-CN" w:bidi="zh-CN"/>
              </w:rPr>
            </w:pPr>
            <w:r>
              <w:rPr>
                <w:rFonts w:hint="default" w:ascii="Times New Roman" w:hAnsi="Times New Roman" w:eastAsia="宋体" w:cs="Times New Roman"/>
                <w:b w:val="0"/>
                <w:bCs/>
                <w:color w:val="auto"/>
                <w:sz w:val="21"/>
                <w:szCs w:val="21"/>
                <w:lang w:val="en-US" w:eastAsia="zh-CN"/>
              </w:rPr>
              <w:t>集中收集后外售废品收购站处理</w:t>
            </w:r>
          </w:p>
        </w:tc>
        <w:tc>
          <w:tcPr>
            <w:tcW w:w="61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976" w:type="pct"/>
            <w:tcBorders>
              <w:tl2br w:val="nil"/>
              <w:tr2bl w:val="nil"/>
            </w:tcBorders>
            <w:noWrap w:val="0"/>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sz w:val="21"/>
                <w:szCs w:val="21"/>
                <w:lang w:val="en-US" w:eastAsia="zh-CN"/>
              </w:rPr>
              <w:t>废石英砂、废活性炭、废反渗透膜</w:t>
            </w:r>
          </w:p>
        </w:tc>
        <w:tc>
          <w:tcPr>
            <w:tcW w:w="25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position w:val="2"/>
                <w:sz w:val="21"/>
                <w:szCs w:val="21"/>
                <w:lang w:val="en-US" w:eastAsia="zh-CN" w:bidi="zh-CN"/>
              </w:rPr>
            </w:pPr>
            <w:r>
              <w:rPr>
                <w:rFonts w:hint="default" w:ascii="Times New Roman" w:hAnsi="Times New Roman" w:eastAsia="宋体" w:cs="Times New Roman"/>
                <w:bCs/>
                <w:snapToGrid w:val="0"/>
                <w:color w:val="auto"/>
                <w:sz w:val="21"/>
                <w:szCs w:val="21"/>
              </w:rPr>
              <w:t>由厂家负责更换并回收，不在场内暂存</w:t>
            </w:r>
          </w:p>
        </w:tc>
        <w:tc>
          <w:tcPr>
            <w:tcW w:w="61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976" w:type="pct"/>
            <w:tcBorders>
              <w:tl2br w:val="nil"/>
              <w:tr2bl w:val="nil"/>
            </w:tcBorders>
            <w:noWrap w:val="0"/>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sz w:val="21"/>
                <w:szCs w:val="21"/>
                <w:lang w:val="en-US" w:eastAsia="zh-CN"/>
              </w:rPr>
              <w:t>污水处理站污泥</w:t>
            </w:r>
          </w:p>
        </w:tc>
        <w:tc>
          <w:tcPr>
            <w:tcW w:w="25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position w:val="2"/>
                <w:sz w:val="21"/>
                <w:szCs w:val="21"/>
                <w:lang w:val="en-US" w:eastAsia="zh-CN" w:bidi="zh-CN"/>
              </w:rPr>
            </w:pPr>
            <w:r>
              <w:rPr>
                <w:rFonts w:hint="default" w:ascii="Times New Roman" w:hAnsi="Times New Roman" w:eastAsia="宋体" w:cs="Times New Roman"/>
                <w:kern w:val="2"/>
                <w:sz w:val="21"/>
                <w:szCs w:val="21"/>
                <w:lang w:val="en-US" w:eastAsia="zh-CN" w:bidi="ar-SA"/>
              </w:rPr>
              <w:t>收集后暂存于危险废物暂存间内，定期委托有资质单位处置</w:t>
            </w:r>
          </w:p>
        </w:tc>
        <w:tc>
          <w:tcPr>
            <w:tcW w:w="61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976" w:type="pct"/>
            <w:tcBorders>
              <w:tl2br w:val="nil"/>
              <w:tr2bl w:val="nil"/>
            </w:tcBorders>
            <w:noWrap w:val="0"/>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sz w:val="21"/>
                <w:szCs w:val="21"/>
                <w:lang w:val="en-US" w:eastAsia="zh-CN"/>
              </w:rPr>
              <w:t>报废药品</w:t>
            </w:r>
          </w:p>
        </w:tc>
        <w:tc>
          <w:tcPr>
            <w:tcW w:w="2571" w:type="pct"/>
            <w:tcBorders>
              <w:tl2br w:val="nil"/>
              <w:tr2bl w:val="nil"/>
            </w:tcBorders>
            <w:noWrap w:val="0"/>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default" w:ascii="Times New Roman" w:hAnsi="Times New Roman" w:eastAsia="宋体" w:cs="Times New Roman"/>
                <w:kern w:val="2"/>
                <w:position w:val="2"/>
                <w:sz w:val="21"/>
                <w:szCs w:val="21"/>
                <w:lang w:val="en-US" w:eastAsia="zh-CN" w:bidi="zh-CN"/>
              </w:rPr>
            </w:pPr>
            <w:r>
              <w:rPr>
                <w:rFonts w:hint="default" w:ascii="Times New Roman" w:hAnsi="Times New Roman" w:eastAsia="宋体" w:cs="Times New Roman"/>
                <w:kern w:val="2"/>
                <w:sz w:val="21"/>
                <w:szCs w:val="21"/>
                <w:lang w:val="en-US" w:eastAsia="zh-CN" w:bidi="ar-SA"/>
              </w:rPr>
              <w:t>收集后暂存于危险废物暂存间内，定期委托有资质单位处置</w:t>
            </w:r>
          </w:p>
        </w:tc>
        <w:tc>
          <w:tcPr>
            <w:tcW w:w="61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976"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sz w:val="21"/>
                <w:szCs w:val="21"/>
                <w:lang w:val="en-US" w:eastAsia="zh-CN"/>
              </w:rPr>
              <w:t>危化品包装材料</w:t>
            </w:r>
          </w:p>
        </w:tc>
        <w:tc>
          <w:tcPr>
            <w:tcW w:w="25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position w:val="2"/>
                <w:sz w:val="21"/>
                <w:szCs w:val="21"/>
                <w:lang w:val="en-US" w:eastAsia="zh-CN" w:bidi="zh-CN"/>
              </w:rPr>
            </w:pPr>
            <w:r>
              <w:rPr>
                <w:rFonts w:hint="default" w:ascii="Times New Roman" w:hAnsi="Times New Roman" w:eastAsia="宋体" w:cs="Times New Roman"/>
                <w:kern w:val="2"/>
                <w:sz w:val="21"/>
                <w:szCs w:val="21"/>
                <w:lang w:val="en-US" w:eastAsia="zh-CN" w:bidi="ar-SA"/>
              </w:rPr>
              <w:t>收集后暂存于危险废物暂存间内，定期委托有资质单位处置</w:t>
            </w:r>
          </w:p>
        </w:tc>
        <w:tc>
          <w:tcPr>
            <w:tcW w:w="61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976" w:type="pct"/>
            <w:tcBorders>
              <w:tl2br w:val="nil"/>
              <w:tr2bl w:val="nil"/>
            </w:tcBorders>
            <w:noWrap w:val="0"/>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sz w:val="21"/>
                <w:szCs w:val="21"/>
                <w:lang w:val="en-US" w:eastAsia="zh-CN"/>
              </w:rPr>
              <w:t>化验中心危废</w:t>
            </w:r>
          </w:p>
        </w:tc>
        <w:tc>
          <w:tcPr>
            <w:tcW w:w="25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position w:val="2"/>
                <w:sz w:val="21"/>
                <w:szCs w:val="21"/>
                <w:lang w:val="en-US" w:eastAsia="zh-CN" w:bidi="zh-CN"/>
              </w:rPr>
            </w:pPr>
            <w:r>
              <w:rPr>
                <w:rFonts w:hint="default" w:ascii="Times New Roman" w:hAnsi="Times New Roman" w:eastAsia="宋体" w:cs="Times New Roman"/>
                <w:kern w:val="2"/>
                <w:sz w:val="21"/>
                <w:szCs w:val="21"/>
                <w:lang w:val="en-US" w:eastAsia="zh-CN" w:bidi="ar-SA"/>
              </w:rPr>
              <w:t>收集后暂存于危险废物暂存间内，定期委托有资质单位处置</w:t>
            </w:r>
          </w:p>
        </w:tc>
        <w:tc>
          <w:tcPr>
            <w:tcW w:w="61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976" w:type="pct"/>
            <w:tcBorders>
              <w:tl2br w:val="nil"/>
              <w:tr2bl w:val="nil"/>
            </w:tcBorders>
            <w:noWrap w:val="0"/>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sz w:val="21"/>
                <w:szCs w:val="21"/>
                <w:lang w:val="en-US" w:eastAsia="zh-CN"/>
              </w:rPr>
              <w:t>废活性炭滤芯</w:t>
            </w:r>
          </w:p>
        </w:tc>
        <w:tc>
          <w:tcPr>
            <w:tcW w:w="25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position w:val="2"/>
                <w:sz w:val="21"/>
                <w:szCs w:val="21"/>
                <w:lang w:val="en-US" w:eastAsia="zh-CN" w:bidi="zh-CN"/>
              </w:rPr>
            </w:pPr>
            <w:r>
              <w:rPr>
                <w:rFonts w:hint="default" w:ascii="Times New Roman" w:hAnsi="Times New Roman" w:eastAsia="宋体" w:cs="Times New Roman"/>
                <w:kern w:val="2"/>
                <w:sz w:val="21"/>
                <w:szCs w:val="21"/>
                <w:lang w:val="en-US" w:eastAsia="zh-CN" w:bidi="ar-SA"/>
              </w:rPr>
              <w:t>收集后暂存于危险废物暂存间内，定期委托有资质单位处置</w:t>
            </w:r>
          </w:p>
        </w:tc>
        <w:tc>
          <w:tcPr>
            <w:tcW w:w="61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976" w:type="pct"/>
            <w:tcBorders>
              <w:tl2br w:val="nil"/>
              <w:tr2bl w:val="nil"/>
            </w:tcBorders>
            <w:noWrap w:val="0"/>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sz w:val="21"/>
                <w:szCs w:val="21"/>
                <w:lang w:val="en-US" w:eastAsia="zh-CN"/>
              </w:rPr>
              <w:t>废空气滤芯</w:t>
            </w:r>
          </w:p>
        </w:tc>
        <w:tc>
          <w:tcPr>
            <w:tcW w:w="25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position w:val="2"/>
                <w:sz w:val="21"/>
                <w:szCs w:val="21"/>
                <w:lang w:val="en-US" w:eastAsia="zh-CN" w:bidi="zh-CN"/>
              </w:rPr>
            </w:pPr>
            <w:r>
              <w:rPr>
                <w:rFonts w:hint="default" w:ascii="Times New Roman" w:hAnsi="Times New Roman" w:eastAsia="宋体" w:cs="Times New Roman"/>
                <w:kern w:val="2"/>
                <w:sz w:val="21"/>
                <w:szCs w:val="21"/>
                <w:lang w:val="en-US" w:eastAsia="zh-CN" w:bidi="ar-SA"/>
              </w:rPr>
              <w:t>收集后暂存于危险废物暂存间内，定期委托有资质单位处置</w:t>
            </w:r>
          </w:p>
        </w:tc>
        <w:tc>
          <w:tcPr>
            <w:tcW w:w="61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50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p>
        </w:tc>
        <w:tc>
          <w:tcPr>
            <w:tcW w:w="976" w:type="pct"/>
            <w:tcBorders>
              <w:tl2br w:val="nil"/>
              <w:tr2bl w:val="nil"/>
            </w:tcBorders>
            <w:noWrap w:val="0"/>
            <w:vAlign w:val="center"/>
          </w:tcPr>
          <w:p>
            <w:pPr>
              <w:pStyle w:val="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sz w:val="21"/>
                <w:szCs w:val="21"/>
                <w:lang w:val="en-US" w:eastAsia="zh-CN"/>
              </w:rPr>
              <w:t>废活性炭</w:t>
            </w:r>
          </w:p>
        </w:tc>
        <w:tc>
          <w:tcPr>
            <w:tcW w:w="257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position w:val="2"/>
                <w:sz w:val="21"/>
                <w:szCs w:val="21"/>
                <w:lang w:val="en-US" w:eastAsia="zh-CN" w:bidi="zh-CN"/>
              </w:rPr>
            </w:pPr>
            <w:r>
              <w:rPr>
                <w:rFonts w:hint="default" w:ascii="Times New Roman" w:hAnsi="Times New Roman" w:eastAsia="宋体" w:cs="Times New Roman"/>
                <w:kern w:val="2"/>
                <w:sz w:val="21"/>
                <w:szCs w:val="21"/>
                <w:lang w:val="en-US" w:eastAsia="zh-CN" w:bidi="ar-SA"/>
              </w:rPr>
              <w:t>收集后暂存于危险废物暂存间内，定期委托有资质单位处置</w:t>
            </w:r>
          </w:p>
        </w:tc>
        <w:tc>
          <w:tcPr>
            <w:tcW w:w="61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4</w:t>
            </w:r>
          </w:p>
        </w:tc>
        <w:tc>
          <w:tcPr>
            <w:tcW w:w="5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噪声治理</w:t>
            </w:r>
          </w:p>
        </w:tc>
        <w:tc>
          <w:tcPr>
            <w:tcW w:w="3547" w:type="pct"/>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lang w:val="en-US" w:eastAsia="zh-CN"/>
              </w:rPr>
              <w:t>选用低噪声设备、</w:t>
            </w:r>
            <w:r>
              <w:rPr>
                <w:rFonts w:hint="default" w:ascii="Times New Roman" w:hAnsi="Times New Roman" w:eastAsia="宋体" w:cs="Times New Roman"/>
                <w:bCs/>
                <w:color w:val="auto"/>
                <w:sz w:val="21"/>
                <w:szCs w:val="21"/>
              </w:rPr>
              <w:t>设备减震、车间隔声</w:t>
            </w:r>
          </w:p>
        </w:tc>
        <w:tc>
          <w:tcPr>
            <w:tcW w:w="6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eastAsia="zh-CN"/>
              </w:rPr>
            </w:pPr>
            <w:r>
              <w:rPr>
                <w:rFonts w:hint="eastAsia" w:ascii="Times New Roman" w:hAnsi="Times New Roman" w:eastAsia="宋体" w:cs="Times New Roman"/>
                <w:bCs/>
                <w:color w:val="auto"/>
                <w:sz w:val="21"/>
                <w:szCs w:val="21"/>
                <w:lang w:val="en-US" w:eastAsia="zh-CN"/>
              </w:rPr>
              <w:t>5</w:t>
            </w:r>
          </w:p>
        </w:tc>
        <w:tc>
          <w:tcPr>
            <w:tcW w:w="4055"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合计</w:t>
            </w:r>
          </w:p>
        </w:tc>
        <w:tc>
          <w:tcPr>
            <w:tcW w:w="6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150</w:t>
            </w:r>
          </w:p>
        </w:tc>
      </w:tr>
    </w:tbl>
    <w:p>
      <w:pPr>
        <w:pStyle w:val="8"/>
        <w:spacing w:after="0" w:line="360" w:lineRule="auto"/>
        <w:ind w:left="0"/>
        <w:jc w:val="center"/>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br w:type="page"/>
      </w:r>
    </w:p>
    <w:p>
      <w:pPr>
        <w:pStyle w:val="38"/>
        <w:spacing w:line="360" w:lineRule="auto"/>
        <w:ind w:left="-210" w:leftChars="-100" w:firstLine="0" w:firstLineChars="0"/>
        <w:jc w:val="center"/>
        <w:outlineLvl w:val="0"/>
        <w:rPr>
          <w:rFonts w:hint="default" w:ascii="Times New Roman" w:hAnsi="Times New Roman" w:eastAsia="宋体" w:cs="Times New Roman"/>
          <w:b/>
          <w:sz w:val="32"/>
          <w:szCs w:val="32"/>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38"/>
        <w:spacing w:line="360" w:lineRule="auto"/>
        <w:ind w:left="-210" w:leftChars="-100" w:firstLine="0" w:firstLineChars="0"/>
        <w:jc w:val="both"/>
        <w:outlineLvl w:val="0"/>
        <w:rPr>
          <w:rFonts w:hint="default" w:ascii="Times New Roman" w:hAnsi="Times New Roman" w:eastAsia="宋体" w:cs="Times New Roman"/>
          <w:b/>
          <w:sz w:val="32"/>
          <w:szCs w:val="32"/>
        </w:rPr>
      </w:pPr>
      <w:bookmarkStart w:id="39" w:name="_Toc14215"/>
      <w:r>
        <w:rPr>
          <w:rFonts w:hint="default" w:ascii="Times New Roman" w:hAnsi="Times New Roman" w:eastAsia="宋体" w:cs="Times New Roman"/>
          <w:b/>
          <w:sz w:val="32"/>
          <w:szCs w:val="32"/>
        </w:rPr>
        <w:t>5、建设项目环评报告表的主要结论与建议及审批部门审批决定</w:t>
      </w:r>
      <w:bookmarkEnd w:id="39"/>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40" w:name="_Toc13588"/>
      <w:r>
        <w:rPr>
          <w:rFonts w:hint="default" w:ascii="Times New Roman" w:hAnsi="Times New Roman" w:eastAsia="宋体" w:cs="Times New Roman"/>
          <w:b/>
          <w:sz w:val="28"/>
          <w:szCs w:val="32"/>
        </w:rPr>
        <w:t>5.1建设项目环评报告书表的主要结论与建议</w:t>
      </w:r>
      <w:bookmarkEnd w:id="40"/>
    </w:p>
    <w:p>
      <w:pPr>
        <w:adjustRightInd w:val="0"/>
        <w:spacing w:line="360" w:lineRule="auto"/>
        <w:ind w:firstLine="480" w:firstLineChars="200"/>
        <w:rPr>
          <w:rFonts w:hint="default" w:ascii="Times New Roman" w:hAnsi="Times New Roman" w:eastAsia="宋体" w:cs="Times New Roman"/>
          <w:color w:val="000000"/>
          <w:sz w:val="24"/>
        </w:rPr>
      </w:pPr>
      <w:r>
        <w:rPr>
          <w:rFonts w:hint="eastAsia" w:ascii="Times New Roman" w:hAnsi="Times New Roman" w:eastAsia="宋体" w:cs="Times New Roman"/>
          <w:color w:val="000000"/>
          <w:sz w:val="24"/>
          <w:lang w:val="en-US" w:eastAsia="zh-CN"/>
        </w:rPr>
        <w:t>1</w:t>
      </w:r>
      <w:r>
        <w:rPr>
          <w:rFonts w:hint="default" w:ascii="Times New Roman" w:hAnsi="Times New Roman" w:eastAsia="宋体" w:cs="Times New Roman"/>
          <w:color w:val="000000"/>
          <w:sz w:val="24"/>
        </w:rPr>
        <w:t>、综合结论</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该项目性质与周边环境功能区划相符，符合规划布局要求，选址合理可行。项目所在区域水环境质量现状一般，因此建设项目应认真执行环保“三同时”管理规定，把项目对环境的影响控制在最低限度。在切实落实本次评价提出的各项有关环保措施，并确保各种治理设施正常运转的前提下，项目对周围环境质量的影响不大，对周边环境敏感点不会带来影响，故项目的选址及建设从环境保护角度分析是可行的。在上述前提条件下，该项目的建设不致会对拟选址所在区域的环境造成大的影响。从环境保护角度分析，该项目的建设是可行的。</w:t>
      </w:r>
    </w:p>
    <w:p>
      <w:pPr>
        <w:adjustRightInd w:val="0"/>
        <w:spacing w:line="360" w:lineRule="auto"/>
        <w:ind w:firstLine="480" w:firstLineChars="200"/>
        <w:rPr>
          <w:rFonts w:hint="eastAsia" w:ascii="Times New Roman" w:hAnsi="Times New Roman" w:eastAsia="宋体" w:cs="Times New Roman"/>
          <w:color w:val="000000"/>
          <w:sz w:val="24"/>
          <w:lang w:eastAsia="zh-CN"/>
        </w:rPr>
      </w:pPr>
      <w:r>
        <w:rPr>
          <w:rFonts w:hint="default" w:ascii="Times New Roman" w:hAnsi="Times New Roman" w:eastAsia="宋体" w:cs="Times New Roman"/>
          <w:color w:val="000000"/>
          <w:sz w:val="24"/>
        </w:rPr>
        <w:t>措施与建议</w:t>
      </w:r>
      <w:r>
        <w:rPr>
          <w:rFonts w:hint="eastAsia" w:ascii="Times New Roman" w:hAnsi="Times New Roman" w:eastAsia="宋体" w:cs="Times New Roman"/>
          <w:color w:val="000000"/>
          <w:sz w:val="24"/>
          <w:lang w:eastAsia="zh-CN"/>
        </w:rPr>
        <w:t>：</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该项目的运营对环境造成影响的大小，很大程度上取决于建设单位的环境管理，尤其是环保设施运行的管理、维护保养制度的执行情况。为此，根据调查与评价结果，对该项目的环境治理与管理建议如下：</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(1)制定相关制度并设立部门负责环保措施的正常运行，保证项目产生的污染物均处理达标排放。</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(2)项目运营过程中如材料和经营方案、人流量等发生变化，应及时向环保主管部门申报。</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(3)加强废气、废水处理设备的日常维护，确保其能有效运行，保证废气、废水绝大部分可收集。建议在项目周围厂界种植植物，进一步降低</w:t>
      </w:r>
      <w:r>
        <w:rPr>
          <w:rFonts w:hint="default" w:ascii="Times New Roman" w:hAnsi="Times New Roman" w:eastAsia="宋体" w:cs="Times New Roman"/>
          <w:color w:val="000000"/>
          <w:sz w:val="24"/>
          <w:lang w:val="en-US" w:eastAsia="zh-CN"/>
        </w:rPr>
        <w:t>废气</w:t>
      </w:r>
      <w:r>
        <w:rPr>
          <w:rFonts w:hint="default" w:ascii="Times New Roman" w:hAnsi="Times New Roman" w:eastAsia="宋体" w:cs="Times New Roman"/>
          <w:color w:val="000000"/>
          <w:sz w:val="24"/>
        </w:rPr>
        <w:t>对周围环境的影响。</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(4)项目建设单位对产生较大噪声的电器设备采取隔音和减振等措施，或选用低噪设备，并进行合理放置，将那些较高噪声设备放置在远离住厂区一侧，降低生产过程中产生的噪声污染。</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(5)制定并实施事故预防计划，明确管理组织、责任与责任范围、预防措施、宣传教育等内容。制定场内应急计划，明确管理组织、责任人与责任范围、事故报告制度、应急程序、应急措施等。配备足够的应急器材。对电器设备、应急照明等应定期检查与抽查，落实责任制。消防警报系统必须处于完好状态，以备应急使用。</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(6)加强管理，提高环保意识，节约能源、节约用水、减少“三废”排放，做好落实好废气、噪声治理措施，做到达标排放，避免对周围环境的影响。</w:t>
      </w:r>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项目的环保措施要与项目主体工程同时设计、同时施工、同时投产，确保各项防治措施落实到位，实现经济效益、社会效益与环境效益的统一与协调发展。</w:t>
      </w:r>
    </w:p>
    <w:p>
      <w:pPr>
        <w:spacing w:line="360" w:lineRule="auto"/>
        <w:ind w:firstLine="482" w:firstLineChars="200"/>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综上所述，该项目符合国家相关产业政策。项目可以满足规划要求，选址合理，污染治理措施可行，在认真落实各项环境污染治理和环境管理措施的前提下，能实现达标排放且环境影响较小。因此，从环境保护的角度分析该项目建设可行。</w:t>
      </w:r>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41" w:name="_Toc21908"/>
      <w:r>
        <w:rPr>
          <w:rFonts w:hint="default" w:ascii="Times New Roman" w:hAnsi="Times New Roman" w:eastAsia="宋体" w:cs="Times New Roman"/>
          <w:b/>
          <w:sz w:val="28"/>
          <w:szCs w:val="32"/>
        </w:rPr>
        <w:t>5.2审批部门审批决定</w:t>
      </w:r>
      <w:bookmarkEnd w:id="41"/>
    </w:p>
    <w:p>
      <w:pPr>
        <w:adjustRightInd w:val="0"/>
        <w:spacing w:line="360" w:lineRule="auto"/>
        <w:ind w:firstLine="480" w:firstLineChars="200"/>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一、项目基本情况</w:t>
      </w:r>
    </w:p>
    <w:p>
      <w:pPr>
        <w:adjustRightInd w:val="0"/>
        <w:spacing w:line="360" w:lineRule="auto"/>
        <w:ind w:firstLine="480" w:firstLineChars="200"/>
        <w:rPr>
          <w:rFonts w:hint="default" w:ascii="Times New Roman" w:hAnsi="Times New Roman" w:eastAsia="宋体" w:cs="Times New Roman"/>
          <w:color w:val="000000"/>
          <w:sz w:val="24"/>
          <w:lang w:val="en-US" w:eastAsia="zh-CN"/>
        </w:rPr>
      </w:pPr>
      <w:r>
        <w:rPr>
          <w:rFonts w:hint="default" w:ascii="Times New Roman" w:hAnsi="Times New Roman" w:eastAsia="宋体" w:cs="Times New Roman"/>
          <w:color w:val="000000"/>
          <w:sz w:val="24"/>
          <w:lang w:val="en-US" w:eastAsia="zh-CN"/>
        </w:rPr>
        <w:t>该项目为新建项目，项目位于山东省菏泽市高新区北环路2999号，项目依托厂区内现有闲置车间进行改造，其余车间均在厂区空地上新建。本项目占地面积76170.6m。项目总投资120000万元，其中环保投资500万元。本项目原辅材料均外购，厂内进行制剂的混合分装，生产各类制剂产品。项目建成后，年产大容量(软袋)注射剂产品(左氧氟沙星氯化钠注射液、</w:t>
      </w:r>
      <w:r>
        <w:rPr>
          <w:rFonts w:hint="eastAsia" w:ascii="Times New Roman" w:hAnsi="Times New Roman" w:eastAsia="宋体" w:cs="Times New Roman"/>
          <w:color w:val="000000"/>
          <w:sz w:val="24"/>
          <w:lang w:val="en-US" w:eastAsia="zh-CN"/>
        </w:rPr>
        <w:t>氟康</w:t>
      </w:r>
      <w:r>
        <w:rPr>
          <w:rFonts w:hint="default" w:ascii="Times New Roman" w:hAnsi="Times New Roman" w:eastAsia="宋体" w:cs="Times New Roman"/>
          <w:color w:val="000000"/>
          <w:sz w:val="24"/>
          <w:lang w:val="en-US" w:eastAsia="zh-CN"/>
        </w:rPr>
        <w:t>唑氯化钠注射液</w:t>
      </w:r>
      <w:r>
        <w:rPr>
          <w:rFonts w:hint="eastAsia" w:ascii="Times New Roman" w:hAnsi="Times New Roman" w:eastAsia="宋体" w:cs="Times New Roman"/>
          <w:color w:val="000000"/>
          <w:sz w:val="24"/>
          <w:lang w:val="en-US" w:eastAsia="zh-CN"/>
        </w:rPr>
        <w:t>、</w:t>
      </w:r>
      <w:r>
        <w:rPr>
          <w:rFonts w:hint="default" w:ascii="Times New Roman" w:hAnsi="Times New Roman" w:eastAsia="宋体" w:cs="Times New Roman"/>
          <w:color w:val="000000"/>
          <w:sz w:val="24"/>
          <w:lang w:val="en-US" w:eastAsia="zh-CN"/>
        </w:rPr>
        <w:t>米力农葡萄糖注射液、复方氨基酸注射液(18AA-SF))共计4314万袋</w:t>
      </w:r>
      <w:r>
        <w:rPr>
          <w:rFonts w:hint="eastAsia" w:ascii="Times New Roman" w:hAnsi="Times New Roman" w:eastAsia="宋体" w:cs="Times New Roman"/>
          <w:color w:val="000000"/>
          <w:sz w:val="24"/>
          <w:lang w:val="en-US" w:eastAsia="zh-CN"/>
        </w:rPr>
        <w:t>；</w:t>
      </w:r>
      <w:r>
        <w:rPr>
          <w:rFonts w:hint="default" w:ascii="Times New Roman" w:hAnsi="Times New Roman" w:eastAsia="宋体" w:cs="Times New Roman"/>
          <w:color w:val="000000"/>
          <w:sz w:val="24"/>
          <w:lang w:val="en-US" w:eastAsia="zh-CN"/>
        </w:rPr>
        <w:t>大容量(玻璃瓶)注射剂产品(丙氨酷谷氨酷胺注射液、复方氨基酸注射液(18AA)、复方氨基酸注射液(18AA--VII)、复方氨基酸注射液(14AA)、复方氨基酸注射液(14AA-SF))共计 2500万瓶</w:t>
      </w:r>
      <w:r>
        <w:rPr>
          <w:rFonts w:hint="eastAsia" w:ascii="Times New Roman" w:hAnsi="Times New Roman" w:eastAsia="宋体" w:cs="Times New Roman"/>
          <w:color w:val="000000"/>
          <w:sz w:val="24"/>
          <w:lang w:val="en-US" w:eastAsia="zh-CN"/>
        </w:rPr>
        <w:t>；</w:t>
      </w:r>
      <w:r>
        <w:rPr>
          <w:rFonts w:hint="default" w:ascii="Times New Roman" w:hAnsi="Times New Roman" w:eastAsia="宋体" w:cs="Times New Roman"/>
          <w:color w:val="000000"/>
          <w:sz w:val="24"/>
          <w:lang w:val="en-US" w:eastAsia="zh-CN"/>
        </w:rPr>
        <w:t>小容量(安瓿瓶)注射剂产品(氨甲环酸注射液、胞磷胆碱钠注射液、维生素C注射液、维生素B6注射液、钠钾镁钙注射用浓溶液)共计2.23亿支</w:t>
      </w:r>
      <w:r>
        <w:rPr>
          <w:rFonts w:hint="eastAsia" w:ascii="Times New Roman" w:hAnsi="Times New Roman" w:eastAsia="宋体" w:cs="Times New Roman"/>
          <w:color w:val="000000"/>
          <w:sz w:val="24"/>
          <w:lang w:val="en-US" w:eastAsia="zh-CN"/>
        </w:rPr>
        <w:t>；</w:t>
      </w:r>
      <w:r>
        <w:rPr>
          <w:rFonts w:hint="default" w:ascii="Times New Roman" w:hAnsi="Times New Roman" w:eastAsia="宋体" w:cs="Times New Roman"/>
          <w:color w:val="000000"/>
          <w:sz w:val="24"/>
          <w:lang w:val="en-US" w:eastAsia="zh-CN"/>
        </w:rPr>
        <w:t>小容量(西林瓶)冻干注射剂产品(注射用奥美拉哗钠、注射用盐酸罗沙替丁醋酸醋、注射用地尔硫卓)共计1600万支。</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项目已完成备案(2110-371772-04-01-171339)，符合产业政策经审查，在落实该报告表提出的污染防治措施后，可满足污染物达标排放要求，从环保角度同意项目建设。</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二、项目在设计、建设和运营过程中要严格落实报告表和本批复要求。</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1、</w:t>
      </w:r>
      <w:r>
        <w:rPr>
          <w:rFonts w:hint="default" w:ascii="Times New Roman" w:hAnsi="Times New Roman" w:eastAsia="宋体" w:cs="Times New Roman"/>
          <w:sz w:val="24"/>
          <w:szCs w:val="24"/>
          <w:lang w:val="en-US" w:eastAsia="zh-CN"/>
        </w:rPr>
        <w:t>落实施工期的各项环保措施。按照《山东省扬尘污染防治管理办法》、菏泽市建筑工地扬尘管理“7个100%”做好扬尘防治工作。施工期生活污水经化粪池收集后回用于农田；施工废水沉淀后回用。合理安排施工时间，严格执行《建筑施工场界环境噪声排放标准》(GB12523-2011)要求，禁止夜间(22:00至次日 6:00)施工，合理安排施工时间，防止噪声扰民。对施工期产生的各类固废要分类及时妥善处理</w:t>
      </w:r>
      <w:r>
        <w:rPr>
          <w:rFonts w:hint="default" w:ascii="Times New Roman" w:hAnsi="Times New Roman" w:eastAsia="宋体" w:cs="Times New Roman"/>
          <w:color w:val="000000"/>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lang w:val="en-US" w:eastAsia="zh-CN"/>
        </w:rPr>
        <w:t>2、</w:t>
      </w:r>
      <w:r>
        <w:rPr>
          <w:rFonts w:hint="default" w:ascii="Times New Roman" w:hAnsi="Times New Roman" w:eastAsia="宋体" w:cs="Times New Roman"/>
          <w:sz w:val="24"/>
          <w:szCs w:val="24"/>
        </w:rPr>
        <w:t>园区采取“雨污分流”原则，设计、建设给排水系统。运营期废水为擦拭、冲洗废水、纯化水制备浓水、包装容器清洗废水、注射水制备浓水、循环冷却废水、车间地面清洁废水、化验中心仪器清洗废水、水浴灭菌箱废水以及职工生活用水。厂区建一处污水处理站，处理工艺为“机械格栅+调节池+厌氧池+缺氧池+好氧池+沉淀池”，处理能力为95m/d。化验中心废液委托有资质单位处理</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生活污水经化粪池处理后定期掏运用作农肥，不得外排</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生产废水经厂区污水处理站处理后经污水管网排放至菏泽众兴牡丹水环境有限公司进行深度处理。污水排放须满足《污水综合排放标准》(GB8978-1996)表2三级标准、《混装制剂类制药工业水污染物排放标准》 (GB21908-2008)中表2标准及菏泽众兴牡丹水环境有限公司接管标准要求，建设规范化的污水排污口。</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sz w:val="24"/>
          <w:szCs w:val="24"/>
          <w:lang w:eastAsia="zh-CN"/>
        </w:rPr>
        <w:t>地下水保护与污染防治按照“源头控制、分区防治、污染监控应急响应”的原则，按照有关设计规范和技术规定，对化粪池、污水处理站、危废暂存间等采取严格防渗措施，防止污染地下水和士壤</w:t>
      </w:r>
      <w:r>
        <w:rPr>
          <w:rFonts w:hint="default" w:ascii="Times New Roman" w:hAnsi="Times New Roman" w:eastAsia="宋体" w:cs="Times New Roman"/>
          <w:color w:val="000000"/>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3、项目运营期废气主要为注射剂生产车间配制废气、化验中心废气以及污水处理站产生的恶臭。</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污水处理站恶臭经引风机收集后经“二级活性炭吸附装置”处理后通过15m高排气筒DA01排放；化验中心密闭，化验废气经通风柜收集后通过“碱液喷淋塔+二级活性炭吸附装置”处理后通过19m 高排气筒 DA002 排放。VOCs排放须满足山东省《挥发性有机物排放标准第7部分：其他行业》 (DB37/2801.7-2019)表1标准要求、污水处理站恶臭气体排放须满足《恶臭污染物排放标准》(GB14554-93)表2标准要求。排气简上设置规范的永久性测试孔采样平台和排污口标志。</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sz w:val="24"/>
          <w:szCs w:val="24"/>
          <w:lang w:val="en-US" w:eastAsia="zh-CN"/>
        </w:rPr>
        <w:t>未被收集处理的VOCs、氨、硫化氢等无组织排放，氨、硫化氢臭气浓度排放须满足《恶臭污染物排放标准》 (GB14554-93)表1排放标准要求；VOCs 排放须满足山东省《挥发性有机物排放标准 第7部分：其他行业》(DB37/2801.7-2019)表2标准要求。公司须加强无组织废气管控，强化环保设施运行管理，落实非正常工况废气收集处理措施</w:t>
      </w:r>
      <w:r>
        <w:rPr>
          <w:rFonts w:hint="default" w:ascii="Times New Roman" w:hAnsi="Times New Roman" w:eastAsia="宋体" w:cs="Times New Roman"/>
          <w:color w:val="000000"/>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color w:val="000000"/>
          <w:sz w:val="24"/>
          <w:szCs w:val="24"/>
          <w:lang w:val="en-US" w:eastAsia="zh-CN"/>
        </w:rPr>
        <w:t>4、</w:t>
      </w:r>
      <w:r>
        <w:rPr>
          <w:rFonts w:hint="default" w:ascii="Times New Roman" w:hAnsi="Times New Roman" w:eastAsia="宋体" w:cs="Times New Roman"/>
          <w:sz w:val="24"/>
          <w:szCs w:val="24"/>
          <w:lang w:val="en-US" w:eastAsia="zh-CN"/>
        </w:rPr>
        <w:t>固体废物按照“资源化、减量化、无害化”的处置原则了，落实各类固体废物的收集、处理，污水处理站污泥、报废药品、危化品包装材料、化验中心危废废活性炭滤芯、废空气滤芯、废活性炭等危险废物暂存危废间，委托有资质单位处理，收集和暂存须满足《危险废物贮存污染控制标准》(GB18597-2023)标准要求。</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sz w:val="24"/>
          <w:szCs w:val="24"/>
          <w:lang w:val="en-US" w:eastAsia="zh-CN"/>
        </w:rPr>
        <w:t>废外包材料、集中收集后外售;纯水制备过程中的废石英砂废活性炭、废反渗透膜由厂家更换回收；生活垃圾交由环卫部门定期清运处理，一般固废的收集和贮存须满足《一般工业固体废物贮存和填埋污染控制标准》 (GB18599-2020)要求</w:t>
      </w:r>
      <w:r>
        <w:rPr>
          <w:rFonts w:hint="default" w:ascii="Times New Roman" w:hAnsi="Times New Roman" w:eastAsia="宋体" w:cs="Times New Roman"/>
          <w:color w:val="000000"/>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5、</w:t>
      </w:r>
      <w:r>
        <w:rPr>
          <w:rFonts w:hint="default" w:ascii="Times New Roman" w:hAnsi="Times New Roman" w:eastAsia="宋体" w:cs="Times New Roman"/>
          <w:sz w:val="24"/>
          <w:szCs w:val="24"/>
          <w:lang w:val="en-US" w:eastAsia="zh-CN"/>
        </w:rPr>
        <w:t>项目运营期采用低噪声设备，采取设备减震、风机安装消音机、合理布局等措施，噪声须满足《工业企业厂界环境噪声排放标准》(GB12348-2008)2类标准要求。</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6、</w:t>
      </w:r>
      <w:r>
        <w:rPr>
          <w:rFonts w:hint="default" w:ascii="Times New Roman" w:hAnsi="Times New Roman" w:eastAsia="宋体" w:cs="Times New Roman"/>
          <w:sz w:val="24"/>
          <w:szCs w:val="24"/>
          <w:lang w:val="en-US" w:eastAsia="zh-CN"/>
        </w:rPr>
        <w:t>报告表须按照《环境影响评价技术导则大气环境》 (HJ2.2-2018)、《环境空气质量标准》 (GB3095-2012)相关标准要求设置大气环境防护距离</w:t>
      </w:r>
      <w:r>
        <w:rPr>
          <w:rFonts w:hint="default" w:ascii="Times New Roman" w:hAnsi="Times New Roman" w:eastAsia="宋体" w:cs="Times New Roman"/>
          <w:color w:val="000000"/>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color w:val="000000"/>
          <w:sz w:val="24"/>
          <w:szCs w:val="24"/>
          <w:lang w:val="en-US" w:eastAsia="zh-CN"/>
        </w:rPr>
        <w:t>7、</w:t>
      </w:r>
      <w:r>
        <w:rPr>
          <w:rFonts w:hint="default" w:ascii="Times New Roman" w:hAnsi="Times New Roman" w:eastAsia="宋体" w:cs="Times New Roman"/>
          <w:sz w:val="24"/>
          <w:szCs w:val="24"/>
          <w:lang w:val="en-US" w:eastAsia="zh-CN"/>
        </w:rPr>
        <w:t>运行期需申请污染物排放总量的项目，须严格执行区域污染物排放总量控制要求，确保各类污染物排放总量控制在核定指标内。需申请排污许可证的项目，投产前须依法取得排污许可。</w:t>
      </w:r>
    </w:p>
    <w:p>
      <w:pPr>
        <w:pStyle w:val="2"/>
        <w:keepNext w:val="0"/>
        <w:keepLines w:val="0"/>
        <w:pageBreakBefore w:val="0"/>
        <w:widowControl w:val="0"/>
        <w:kinsoku/>
        <w:wordWrap/>
        <w:overflowPunct/>
        <w:topLinePunct w:val="0"/>
        <w:autoSpaceDE/>
        <w:autoSpaceDN/>
        <w:bidi w:val="0"/>
        <w:snapToGrid/>
        <w:spacing w:after="0"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8、严格落实报告表提出的环境风险防范措施和应急预案要求，落实各类污染物排放、噪声等监测计划。配备必要的应急设备，并定期演练，防止污染事故发生。</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三、</w:t>
      </w:r>
      <w:r>
        <w:rPr>
          <w:rFonts w:hint="default" w:ascii="Times New Roman" w:hAnsi="Times New Roman" w:eastAsia="宋体" w:cs="Times New Roman"/>
          <w:sz w:val="24"/>
          <w:szCs w:val="24"/>
          <w:lang w:val="en-US" w:eastAsia="zh-CN"/>
        </w:rPr>
        <w:t>请菏泽市生态环境局高新区分局做好项目施工期和运营期环境保护措施落实情况的监督检查</w:t>
      </w:r>
      <w:r>
        <w:rPr>
          <w:rFonts w:hint="default" w:ascii="Times New Roman" w:hAnsi="Times New Roman" w:eastAsia="宋体" w:cs="Times New Roman"/>
          <w:color w:val="000000"/>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四、</w:t>
      </w:r>
      <w:r>
        <w:rPr>
          <w:rFonts w:hint="default" w:ascii="Times New Roman" w:hAnsi="Times New Roman" w:eastAsia="宋体" w:cs="Times New Roman"/>
          <w:sz w:val="24"/>
          <w:szCs w:val="24"/>
          <w:lang w:val="en-US" w:eastAsia="zh-CN"/>
        </w:rPr>
        <w:t>你单位须对环保设施和项目开展安全风险辨识管理，健全内部管理责任制度，严格依据标准规范建设环保设施和项目</w:t>
      </w:r>
      <w:r>
        <w:rPr>
          <w:rFonts w:hint="default" w:ascii="Times New Roman" w:hAnsi="Times New Roman" w:eastAsia="宋体" w:cs="Times New Roman"/>
          <w:color w:val="000000"/>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五、</w:t>
      </w:r>
      <w:r>
        <w:rPr>
          <w:rFonts w:hint="default" w:ascii="Times New Roman" w:hAnsi="Times New Roman" w:eastAsia="宋体" w:cs="Times New Roman"/>
          <w:sz w:val="24"/>
          <w:szCs w:val="24"/>
          <w:lang w:val="en-US" w:eastAsia="zh-CN"/>
        </w:rPr>
        <w:t>在工程施工和运营过程中，应建立畅通的公众参与平台及时解决公众提出的环境问题，满足公众合理的环境保护要求，并主动接受社会监督。</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color w:val="000000"/>
          <w:sz w:val="24"/>
          <w:szCs w:val="24"/>
          <w:lang w:val="en-US" w:eastAsia="zh-CN"/>
        </w:rPr>
        <w:t>六、</w:t>
      </w:r>
      <w:r>
        <w:rPr>
          <w:rFonts w:hint="default" w:ascii="Times New Roman" w:hAnsi="Times New Roman" w:eastAsia="宋体" w:cs="Times New Roman"/>
          <w:sz w:val="24"/>
          <w:szCs w:val="24"/>
          <w:lang w:val="en-US" w:eastAsia="zh-CN"/>
        </w:rPr>
        <w:t>你单位必须严格执行配套建设的环境保护设施与主体工程同时设计、同时施工、同时投入使用的“三同时”制度。项目竣工后，你单位须按程序申领排污许可证及进行竣工环境保护验收，经验收合格方可投产。</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七、严格执行生态环境部办公厅《关于印发污染影响类建设项目重大变动清单(试行)的通知》 (环办环评函[2020]688号)规定，若该建设项目发生清单中所列重大变动的，应按照法律法规的规定，重新报批环评文件。该项目自批准之日起超过五年开工建设的，须重新向我局报批环境影响评价文件。国家和省、市有新规定的，从其规定。</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sz w:val="24"/>
          <w:szCs w:val="24"/>
          <w:lang w:val="en-US" w:eastAsia="zh-CN"/>
        </w:rPr>
        <w:t>八、你单位自收到本批复10日内，将批准后的环境影响报告表及本批复送至菏泽市生态环境局高新区分局，并按规定接受生态环境部门的监督检查。</w:t>
      </w:r>
    </w:p>
    <w:p>
      <w:pPr>
        <w:pStyle w:val="8"/>
        <w:spacing w:after="0" w:line="360" w:lineRule="auto"/>
        <w:ind w:left="0" w:firstLine="480" w:firstLineChars="200"/>
        <w:rPr>
          <w:rFonts w:hint="default" w:ascii="Times New Roman" w:hAnsi="Times New Roman" w:eastAsia="宋体" w:cs="Times New Roman"/>
          <w:color w:val="000000"/>
          <w:sz w:val="24"/>
          <w:szCs w:val="28"/>
        </w:rPr>
        <w:sectPr>
          <w:footerReference r:id="rId10"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38"/>
        <w:spacing w:line="360" w:lineRule="auto"/>
        <w:ind w:left="-210" w:leftChars="-100" w:firstLine="0" w:firstLineChars="0"/>
        <w:jc w:val="center"/>
        <w:outlineLvl w:val="0"/>
        <w:rPr>
          <w:rFonts w:hint="default" w:ascii="Times New Roman" w:hAnsi="Times New Roman" w:eastAsia="宋体" w:cs="Times New Roman"/>
          <w:b/>
          <w:sz w:val="32"/>
          <w:szCs w:val="32"/>
        </w:rPr>
      </w:pPr>
      <w:bookmarkStart w:id="42" w:name="_Toc28619"/>
      <w:r>
        <w:rPr>
          <w:rFonts w:hint="default" w:ascii="Times New Roman" w:hAnsi="Times New Roman" w:eastAsia="宋体" w:cs="Times New Roman"/>
          <w:b/>
          <w:sz w:val="32"/>
          <w:szCs w:val="32"/>
        </w:rPr>
        <w:t>6、验收执行标准</w:t>
      </w:r>
      <w:bookmarkEnd w:id="42"/>
    </w:p>
    <w:p>
      <w:pPr>
        <w:pStyle w:val="8"/>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受</w:t>
      </w:r>
      <w:r>
        <w:rPr>
          <w:rFonts w:hint="eastAsia" w:ascii="Times New Roman" w:hAnsi="Times New Roman" w:eastAsia="宋体" w:cs="Times New Roman"/>
          <w:color w:val="000000"/>
          <w:sz w:val="24"/>
          <w:szCs w:val="28"/>
          <w:lang w:val="en-US" w:eastAsia="zh-CN"/>
        </w:rPr>
        <w:t>山东豪瑞恩制药有限公司</w:t>
      </w:r>
      <w:r>
        <w:rPr>
          <w:rFonts w:hint="default" w:ascii="Times New Roman" w:hAnsi="Times New Roman" w:eastAsia="宋体" w:cs="Times New Roman"/>
          <w:color w:val="000000"/>
          <w:sz w:val="24"/>
          <w:szCs w:val="28"/>
        </w:rPr>
        <w:t>委托，根据</w:t>
      </w:r>
      <w:r>
        <w:rPr>
          <w:rFonts w:hint="default" w:ascii="Times New Roman" w:hAnsi="Times New Roman" w:eastAsia="宋体" w:cs="Times New Roman"/>
          <w:color w:val="000000"/>
          <w:sz w:val="24"/>
          <w:szCs w:val="28"/>
          <w:lang w:eastAsia="zh-CN"/>
        </w:rPr>
        <w:t>菏泽市</w:t>
      </w:r>
      <w:r>
        <w:rPr>
          <w:rFonts w:hint="eastAsia" w:ascii="Times New Roman" w:hAnsi="Times New Roman" w:eastAsia="宋体" w:cs="Times New Roman"/>
          <w:color w:val="000000"/>
          <w:sz w:val="24"/>
          <w:szCs w:val="28"/>
          <w:lang w:val="en-US" w:eastAsia="zh-CN"/>
        </w:rPr>
        <w:t>鲁西新区行政审批服务局</w:t>
      </w:r>
      <w:r>
        <w:rPr>
          <w:rFonts w:hint="default" w:ascii="Times New Roman" w:hAnsi="Times New Roman" w:eastAsia="宋体" w:cs="Times New Roman"/>
          <w:color w:val="000000"/>
          <w:sz w:val="24"/>
          <w:szCs w:val="28"/>
        </w:rPr>
        <w:t>对该项目的审批意见《关于</w:t>
      </w:r>
      <w:r>
        <w:rPr>
          <w:rFonts w:hint="eastAsia" w:ascii="Times New Roman" w:hAnsi="Times New Roman" w:eastAsia="宋体" w:cs="Times New Roman"/>
          <w:color w:val="000000"/>
          <w:sz w:val="24"/>
          <w:szCs w:val="28"/>
          <w:lang w:val="en-US" w:eastAsia="zh-CN"/>
        </w:rPr>
        <w:t>山东豪瑞恩全球高端制剂项目</w:t>
      </w:r>
      <w:r>
        <w:rPr>
          <w:rFonts w:hint="default" w:ascii="Times New Roman" w:hAnsi="Times New Roman" w:eastAsia="宋体" w:cs="Times New Roman"/>
          <w:color w:val="000000"/>
          <w:sz w:val="24"/>
          <w:szCs w:val="28"/>
        </w:rPr>
        <w:t>环境影响报告表环境影响报告表的批复》（</w:t>
      </w:r>
      <w:r>
        <w:rPr>
          <w:rFonts w:hint="eastAsia" w:ascii="Times New Roman" w:hAnsi="Times New Roman" w:eastAsia="宋体" w:cs="Times New Roman"/>
          <w:color w:val="000000"/>
          <w:sz w:val="24"/>
          <w:szCs w:val="28"/>
          <w:lang w:val="en-US" w:eastAsia="zh-CN"/>
        </w:rPr>
        <w:t>菏新行</w:t>
      </w:r>
      <w:r>
        <w:rPr>
          <w:rFonts w:hint="default" w:ascii="Times New Roman" w:hAnsi="Times New Roman" w:eastAsia="宋体" w:cs="Times New Roman"/>
          <w:color w:val="000000"/>
          <w:sz w:val="24"/>
          <w:szCs w:val="28"/>
          <w:lang w:eastAsia="zh-CN"/>
        </w:rPr>
        <w:t>审【202</w:t>
      </w:r>
      <w:r>
        <w:rPr>
          <w:rFonts w:hint="eastAsia" w:ascii="Times New Roman" w:hAnsi="Times New Roman" w:eastAsia="宋体" w:cs="Times New Roman"/>
          <w:color w:val="000000"/>
          <w:sz w:val="24"/>
          <w:szCs w:val="28"/>
          <w:lang w:val="en-US" w:eastAsia="zh-CN"/>
        </w:rPr>
        <w:t>3</w:t>
      </w:r>
      <w:r>
        <w:rPr>
          <w:rFonts w:hint="default" w:ascii="Times New Roman" w:hAnsi="Times New Roman" w:eastAsia="宋体" w:cs="Times New Roman"/>
          <w:color w:val="000000"/>
          <w:sz w:val="24"/>
          <w:szCs w:val="28"/>
          <w:lang w:eastAsia="zh-CN"/>
        </w:rPr>
        <w:t>】</w:t>
      </w:r>
      <w:r>
        <w:rPr>
          <w:rFonts w:hint="eastAsia" w:ascii="Times New Roman" w:hAnsi="Times New Roman" w:eastAsia="宋体" w:cs="Times New Roman"/>
          <w:color w:val="000000"/>
          <w:sz w:val="24"/>
          <w:szCs w:val="28"/>
          <w:lang w:val="en-US" w:eastAsia="zh-CN"/>
        </w:rPr>
        <w:t>22</w:t>
      </w:r>
      <w:r>
        <w:rPr>
          <w:rFonts w:hint="default" w:ascii="Times New Roman" w:hAnsi="Times New Roman" w:eastAsia="宋体" w:cs="Times New Roman"/>
          <w:color w:val="000000"/>
          <w:sz w:val="24"/>
          <w:szCs w:val="28"/>
          <w:lang w:eastAsia="zh-CN"/>
        </w:rPr>
        <w:t>号</w:t>
      </w:r>
      <w:r>
        <w:rPr>
          <w:rFonts w:hint="eastAsia"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rPr>
        <w:t>20</w:t>
      </w:r>
      <w:r>
        <w:rPr>
          <w:rFonts w:hint="default" w:ascii="Times New Roman" w:hAnsi="Times New Roman" w:eastAsia="宋体" w:cs="Times New Roman"/>
          <w:color w:val="000000"/>
          <w:sz w:val="24"/>
          <w:szCs w:val="28"/>
          <w:lang w:val="en-US" w:eastAsia="zh-CN"/>
        </w:rPr>
        <w:t>2</w:t>
      </w:r>
      <w:r>
        <w:rPr>
          <w:rFonts w:hint="eastAsia" w:ascii="Times New Roman" w:hAnsi="Times New Roman" w:eastAsia="宋体" w:cs="Times New Roman"/>
          <w:color w:val="000000"/>
          <w:sz w:val="24"/>
          <w:szCs w:val="28"/>
          <w:lang w:val="en-US" w:eastAsia="zh-CN"/>
        </w:rPr>
        <w:t>3</w:t>
      </w:r>
      <w:r>
        <w:rPr>
          <w:rFonts w:hint="default" w:ascii="Times New Roman" w:hAnsi="Times New Roman" w:eastAsia="宋体" w:cs="Times New Roman"/>
          <w:color w:val="000000"/>
          <w:sz w:val="24"/>
          <w:szCs w:val="28"/>
        </w:rPr>
        <w:t>年</w:t>
      </w:r>
      <w:r>
        <w:rPr>
          <w:rFonts w:hint="eastAsia" w:ascii="Times New Roman" w:hAnsi="Times New Roman" w:eastAsia="宋体" w:cs="Times New Roman"/>
          <w:color w:val="000000"/>
          <w:sz w:val="24"/>
          <w:szCs w:val="28"/>
          <w:lang w:val="en-US" w:eastAsia="zh-CN"/>
        </w:rPr>
        <w:t>11</w:t>
      </w:r>
      <w:r>
        <w:rPr>
          <w:rFonts w:hint="default" w:ascii="Times New Roman" w:hAnsi="Times New Roman" w:eastAsia="宋体" w:cs="Times New Roman"/>
          <w:color w:val="000000"/>
          <w:sz w:val="24"/>
          <w:szCs w:val="28"/>
        </w:rPr>
        <w:t>月</w:t>
      </w:r>
      <w:r>
        <w:rPr>
          <w:rFonts w:hint="eastAsia" w:ascii="Times New Roman" w:hAnsi="Times New Roman" w:eastAsia="宋体" w:cs="Times New Roman"/>
          <w:color w:val="000000"/>
          <w:sz w:val="24"/>
          <w:szCs w:val="28"/>
          <w:lang w:val="en-US" w:eastAsia="zh-CN"/>
        </w:rPr>
        <w:t>17</w:t>
      </w:r>
      <w:r>
        <w:rPr>
          <w:rFonts w:hint="default" w:ascii="Times New Roman" w:hAnsi="Times New Roman" w:eastAsia="宋体" w:cs="Times New Roman"/>
          <w:color w:val="000000"/>
          <w:sz w:val="24"/>
          <w:szCs w:val="28"/>
        </w:rPr>
        <w:t>日）的要求，</w:t>
      </w:r>
      <w:r>
        <w:rPr>
          <w:rFonts w:hint="eastAsia" w:ascii="Times New Roman" w:hAnsi="Times New Roman" w:eastAsia="宋体" w:cs="Times New Roman"/>
          <w:color w:val="000000"/>
          <w:sz w:val="24"/>
          <w:szCs w:val="28"/>
          <w:lang w:val="en-US" w:eastAsia="zh-CN"/>
        </w:rPr>
        <w:t>山东汇成</w:t>
      </w:r>
      <w:r>
        <w:rPr>
          <w:rFonts w:hint="eastAsia" w:ascii="Times New Roman" w:hAnsi="Times New Roman" w:eastAsia="宋体" w:cs="Times New Roman"/>
          <w:color w:val="000000"/>
          <w:sz w:val="24"/>
          <w:szCs w:val="28"/>
        </w:rPr>
        <w:t>检测</w:t>
      </w:r>
      <w:r>
        <w:rPr>
          <w:rFonts w:hint="eastAsia" w:ascii="Times New Roman" w:hAnsi="Times New Roman" w:eastAsia="宋体" w:cs="Times New Roman"/>
          <w:color w:val="000000"/>
          <w:sz w:val="24"/>
          <w:szCs w:val="28"/>
          <w:lang w:val="en-US" w:eastAsia="zh-CN"/>
        </w:rPr>
        <w:t>科技</w:t>
      </w:r>
      <w:r>
        <w:rPr>
          <w:rFonts w:hint="eastAsia" w:ascii="Times New Roman" w:hAnsi="Times New Roman" w:eastAsia="宋体" w:cs="Times New Roman"/>
          <w:color w:val="000000"/>
          <w:sz w:val="24"/>
          <w:szCs w:val="28"/>
        </w:rPr>
        <w:t>有限公司</w:t>
      </w:r>
      <w:r>
        <w:rPr>
          <w:rFonts w:hint="default" w:ascii="Times New Roman" w:hAnsi="Times New Roman" w:eastAsia="宋体" w:cs="Times New Roman"/>
          <w:color w:val="000000"/>
          <w:sz w:val="24"/>
          <w:szCs w:val="28"/>
        </w:rPr>
        <w:t>分别对该项目废气</w:t>
      </w:r>
      <w:r>
        <w:rPr>
          <w:rFonts w:hint="eastAsia" w:cs="Times New Roman"/>
          <w:color w:val="000000"/>
          <w:sz w:val="24"/>
          <w:szCs w:val="28"/>
          <w:lang w:eastAsia="zh-CN"/>
        </w:rPr>
        <w:t>、</w:t>
      </w:r>
      <w:r>
        <w:rPr>
          <w:rFonts w:hint="eastAsia" w:cs="Times New Roman"/>
          <w:color w:val="000000"/>
          <w:sz w:val="24"/>
          <w:szCs w:val="28"/>
          <w:lang w:val="en-US" w:eastAsia="zh-CN"/>
        </w:rPr>
        <w:t>废水</w:t>
      </w:r>
      <w:r>
        <w:rPr>
          <w:rFonts w:hint="default" w:ascii="Times New Roman" w:hAnsi="Times New Roman" w:eastAsia="宋体" w:cs="Times New Roman"/>
          <w:color w:val="000000"/>
          <w:sz w:val="24"/>
          <w:szCs w:val="28"/>
        </w:rPr>
        <w:t>和厂界噪声进行现场监测，项目处于正常运行状态，环保设施运行正常。具体见表6-1。</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表6-1  监测项目执行标准及限值</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0"/>
        <w:gridCol w:w="899"/>
        <w:gridCol w:w="1042"/>
        <w:gridCol w:w="2776"/>
        <w:gridCol w:w="1844"/>
        <w:gridCol w:w="1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序号</w:t>
            </w:r>
          </w:p>
        </w:tc>
        <w:tc>
          <w:tcPr>
            <w:tcW w:w="527" w:type="pct"/>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监测类别</w:t>
            </w:r>
          </w:p>
        </w:tc>
        <w:tc>
          <w:tcPr>
            <w:tcW w:w="611" w:type="pct"/>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监测项目</w:t>
            </w:r>
          </w:p>
        </w:tc>
        <w:tc>
          <w:tcPr>
            <w:tcW w:w="1628" w:type="pct"/>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执行标准</w:t>
            </w:r>
          </w:p>
        </w:tc>
        <w:tc>
          <w:tcPr>
            <w:tcW w:w="1081" w:type="pct"/>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标准号</w:t>
            </w:r>
          </w:p>
        </w:tc>
        <w:tc>
          <w:tcPr>
            <w:tcW w:w="845" w:type="pct"/>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Merge w:val="restart"/>
            <w:vAlign w:val="center"/>
          </w:tcPr>
          <w:p>
            <w:pPr>
              <w:spacing w:line="30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527" w:type="pct"/>
            <w:vMerge w:val="restart"/>
            <w:vAlign w:val="center"/>
          </w:tcPr>
          <w:p>
            <w:pPr>
              <w:spacing w:line="30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有组织废气</w:t>
            </w:r>
          </w:p>
        </w:tc>
        <w:tc>
          <w:tcPr>
            <w:tcW w:w="611"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2"/>
                <w:sz w:val="21"/>
                <w:szCs w:val="21"/>
                <w:lang w:val="en-US" w:eastAsia="zh-CN" w:bidi="ar-SA"/>
              </w:rPr>
            </w:pPr>
            <w:r>
              <w:rPr>
                <w:rFonts w:ascii="Times New Roman" w:hAnsi="Times New Roman" w:eastAsia="宋体" w:cs="Times New Roman"/>
                <w:b w:val="0"/>
                <w:bCs/>
                <w:sz w:val="21"/>
                <w:szCs w:val="21"/>
              </w:rPr>
              <w:t>NH</w:t>
            </w:r>
            <w:r>
              <w:rPr>
                <w:rFonts w:ascii="Times New Roman" w:hAnsi="Times New Roman" w:eastAsia="宋体" w:cs="Times New Roman"/>
                <w:b w:val="0"/>
                <w:bCs/>
                <w:sz w:val="21"/>
                <w:szCs w:val="21"/>
                <w:vertAlign w:val="subscript"/>
              </w:rPr>
              <w:t>3</w:t>
            </w:r>
          </w:p>
        </w:tc>
        <w:tc>
          <w:tcPr>
            <w:tcW w:w="1628" w:type="pct"/>
            <w:vMerge w:val="restart"/>
            <w:vAlign w:val="center"/>
          </w:tcPr>
          <w:p>
            <w:pPr>
              <w:keepNext w:val="0"/>
              <w:keepLines w:val="0"/>
              <w:widowControl/>
              <w:suppressLineNumbers w:val="0"/>
              <w:jc w:val="both"/>
              <w:rPr>
                <w:rFonts w:hint="default" w:ascii="Times New Roman" w:hAnsi="Times New Roman" w:eastAsia="宋体" w:cs="Times New Roman"/>
                <w:sz w:val="21"/>
                <w:szCs w:val="21"/>
              </w:rPr>
            </w:pPr>
            <w:r>
              <w:rPr>
                <w:rFonts w:ascii="Times New Roman" w:hAnsi="Times New Roman" w:eastAsia="宋体" w:cs="Times New Roman"/>
                <w:b w:val="0"/>
                <w:bCs/>
                <w:sz w:val="21"/>
                <w:szCs w:val="21"/>
              </w:rPr>
              <w:t>《恶臭污染物排放标准》（GB14554-93）表2标准</w:t>
            </w:r>
          </w:p>
        </w:tc>
        <w:tc>
          <w:tcPr>
            <w:tcW w:w="1081" w:type="pct"/>
            <w:vMerge w:val="restart"/>
            <w:vAlign w:val="center"/>
          </w:tcPr>
          <w:p>
            <w:pPr>
              <w:spacing w:line="300" w:lineRule="exact"/>
              <w:jc w:val="center"/>
              <w:rPr>
                <w:rFonts w:hint="default" w:ascii="Times New Roman" w:hAnsi="Times New Roman" w:eastAsia="宋体" w:cs="Times New Roman"/>
                <w:color w:val="auto"/>
                <w:sz w:val="21"/>
                <w:szCs w:val="21"/>
              </w:rPr>
            </w:pPr>
            <w:r>
              <w:rPr>
                <w:rFonts w:ascii="Times New Roman" w:hAnsi="Times New Roman" w:eastAsia="宋体" w:cs="Times New Roman"/>
                <w:b w:val="0"/>
                <w:bCs/>
                <w:sz w:val="21"/>
                <w:szCs w:val="21"/>
              </w:rPr>
              <w:t>GB14554-93</w:t>
            </w:r>
          </w:p>
        </w:tc>
        <w:tc>
          <w:tcPr>
            <w:tcW w:w="845"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2"/>
                <w:sz w:val="21"/>
                <w:szCs w:val="21"/>
                <w:lang w:val="en-US" w:eastAsia="zh-CN" w:bidi="ar-SA"/>
              </w:rPr>
            </w:pPr>
            <w:r>
              <w:rPr>
                <w:rFonts w:ascii="Times New Roman" w:hAnsi="Times New Roman" w:eastAsia="宋体" w:cs="Times New Roman"/>
                <w:b w:val="0"/>
                <w:bCs/>
                <w:sz w:val="21"/>
                <w:szCs w:val="21"/>
              </w:rPr>
              <w:t>4.9kg/h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Merge w:val="continue"/>
            <w:vAlign w:val="center"/>
          </w:tcPr>
          <w:p>
            <w:pPr>
              <w:spacing w:line="300" w:lineRule="exact"/>
              <w:jc w:val="center"/>
              <w:rPr>
                <w:rFonts w:hint="default" w:ascii="Times New Roman" w:hAnsi="Times New Roman" w:eastAsia="宋体" w:cs="Times New Roman"/>
                <w:sz w:val="21"/>
                <w:szCs w:val="21"/>
              </w:rPr>
            </w:pPr>
          </w:p>
        </w:tc>
        <w:tc>
          <w:tcPr>
            <w:tcW w:w="527" w:type="pct"/>
            <w:vMerge w:val="continue"/>
            <w:vAlign w:val="center"/>
          </w:tcPr>
          <w:p>
            <w:pPr>
              <w:spacing w:line="300" w:lineRule="exact"/>
              <w:jc w:val="center"/>
              <w:rPr>
                <w:rFonts w:hint="default" w:ascii="Times New Roman" w:hAnsi="Times New Roman" w:eastAsia="宋体" w:cs="Times New Roman"/>
                <w:sz w:val="21"/>
                <w:szCs w:val="21"/>
              </w:rPr>
            </w:pPr>
          </w:p>
        </w:tc>
        <w:tc>
          <w:tcPr>
            <w:tcW w:w="611"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2"/>
                <w:sz w:val="21"/>
                <w:szCs w:val="21"/>
                <w:lang w:val="en-US" w:eastAsia="zh-CN" w:bidi="ar-SA"/>
              </w:rPr>
            </w:pPr>
            <w:r>
              <w:rPr>
                <w:rFonts w:ascii="Times New Roman" w:hAnsi="Times New Roman" w:eastAsia="宋体" w:cs="Times New Roman"/>
                <w:b w:val="0"/>
                <w:bCs/>
                <w:sz w:val="21"/>
                <w:szCs w:val="21"/>
              </w:rPr>
              <w:t>H</w:t>
            </w:r>
            <w:r>
              <w:rPr>
                <w:rFonts w:ascii="Times New Roman" w:hAnsi="Times New Roman" w:eastAsia="宋体" w:cs="Times New Roman"/>
                <w:b w:val="0"/>
                <w:bCs/>
                <w:sz w:val="21"/>
                <w:szCs w:val="21"/>
                <w:vertAlign w:val="subscript"/>
              </w:rPr>
              <w:t>2</w:t>
            </w:r>
            <w:r>
              <w:rPr>
                <w:rFonts w:ascii="Times New Roman" w:hAnsi="Times New Roman" w:eastAsia="宋体" w:cs="Times New Roman"/>
                <w:b w:val="0"/>
                <w:bCs/>
                <w:sz w:val="21"/>
                <w:szCs w:val="21"/>
              </w:rPr>
              <w:t>S</w:t>
            </w:r>
          </w:p>
        </w:tc>
        <w:tc>
          <w:tcPr>
            <w:tcW w:w="1628" w:type="pct"/>
            <w:vMerge w:val="continue"/>
            <w:vAlign w:val="center"/>
          </w:tcPr>
          <w:p>
            <w:pPr>
              <w:keepNext w:val="0"/>
              <w:keepLines w:val="0"/>
              <w:widowControl/>
              <w:suppressLineNumbers w:val="0"/>
              <w:jc w:val="both"/>
              <w:rPr>
                <w:rFonts w:hint="default" w:ascii="Times New Roman" w:hAnsi="Times New Roman" w:eastAsia="宋体" w:cs="Times New Roman"/>
                <w:sz w:val="21"/>
                <w:szCs w:val="21"/>
              </w:rPr>
            </w:pPr>
          </w:p>
        </w:tc>
        <w:tc>
          <w:tcPr>
            <w:tcW w:w="1081" w:type="pct"/>
            <w:vMerge w:val="continue"/>
            <w:vAlign w:val="center"/>
          </w:tcPr>
          <w:p>
            <w:pPr>
              <w:spacing w:line="300" w:lineRule="exact"/>
              <w:jc w:val="center"/>
              <w:rPr>
                <w:rFonts w:hint="default" w:ascii="Times New Roman" w:hAnsi="Times New Roman" w:eastAsia="宋体" w:cs="Times New Roman"/>
                <w:color w:val="000000"/>
                <w:sz w:val="21"/>
                <w:szCs w:val="21"/>
              </w:rPr>
            </w:pPr>
          </w:p>
        </w:tc>
        <w:tc>
          <w:tcPr>
            <w:tcW w:w="845"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2"/>
                <w:sz w:val="21"/>
                <w:szCs w:val="21"/>
                <w:lang w:val="en-US" w:eastAsia="zh-CN" w:bidi="ar-SA"/>
              </w:rPr>
            </w:pPr>
            <w:r>
              <w:rPr>
                <w:rFonts w:ascii="Times New Roman" w:hAnsi="Times New Roman" w:eastAsia="宋体" w:cs="Times New Roman"/>
                <w:b w:val="0"/>
                <w:bCs/>
                <w:sz w:val="21"/>
                <w:szCs w:val="21"/>
              </w:rPr>
              <w:t>0.33kg/h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Merge w:val="continue"/>
            <w:vAlign w:val="center"/>
          </w:tcPr>
          <w:p>
            <w:pPr>
              <w:spacing w:line="300" w:lineRule="exact"/>
              <w:jc w:val="center"/>
              <w:rPr>
                <w:rFonts w:hint="default" w:ascii="Times New Roman" w:hAnsi="Times New Roman" w:eastAsia="宋体" w:cs="Times New Roman"/>
                <w:sz w:val="21"/>
                <w:szCs w:val="21"/>
              </w:rPr>
            </w:pPr>
          </w:p>
        </w:tc>
        <w:tc>
          <w:tcPr>
            <w:tcW w:w="527" w:type="pct"/>
            <w:vMerge w:val="continue"/>
            <w:vAlign w:val="center"/>
          </w:tcPr>
          <w:p>
            <w:pPr>
              <w:spacing w:line="300" w:lineRule="exact"/>
              <w:jc w:val="center"/>
              <w:rPr>
                <w:rFonts w:hint="default" w:ascii="Times New Roman" w:hAnsi="Times New Roman" w:eastAsia="宋体" w:cs="Times New Roman"/>
                <w:sz w:val="21"/>
                <w:szCs w:val="21"/>
              </w:rPr>
            </w:pPr>
          </w:p>
        </w:tc>
        <w:tc>
          <w:tcPr>
            <w:tcW w:w="611"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2"/>
                <w:sz w:val="21"/>
                <w:szCs w:val="21"/>
                <w:lang w:val="en-US" w:eastAsia="zh-CN" w:bidi="ar-SA"/>
              </w:rPr>
            </w:pPr>
            <w:r>
              <w:rPr>
                <w:rFonts w:ascii="Times New Roman" w:hAnsi="Times New Roman" w:eastAsia="宋体" w:cs="Times New Roman"/>
                <w:b w:val="0"/>
                <w:bCs/>
                <w:sz w:val="21"/>
                <w:szCs w:val="21"/>
              </w:rPr>
              <w:t>臭气浓度</w:t>
            </w:r>
          </w:p>
        </w:tc>
        <w:tc>
          <w:tcPr>
            <w:tcW w:w="1628" w:type="pct"/>
            <w:vMerge w:val="continue"/>
            <w:vAlign w:val="center"/>
          </w:tcPr>
          <w:p>
            <w:pPr>
              <w:keepNext w:val="0"/>
              <w:keepLines w:val="0"/>
              <w:widowControl/>
              <w:suppressLineNumbers w:val="0"/>
              <w:jc w:val="both"/>
              <w:rPr>
                <w:rFonts w:hint="default" w:ascii="Times New Roman" w:hAnsi="Times New Roman" w:eastAsia="宋体" w:cs="Times New Roman"/>
                <w:color w:val="auto"/>
                <w:sz w:val="21"/>
                <w:szCs w:val="21"/>
              </w:rPr>
            </w:pPr>
          </w:p>
        </w:tc>
        <w:tc>
          <w:tcPr>
            <w:tcW w:w="1081" w:type="pct"/>
            <w:vMerge w:val="continue"/>
            <w:vAlign w:val="center"/>
          </w:tcPr>
          <w:p>
            <w:pPr>
              <w:spacing w:line="300" w:lineRule="exact"/>
              <w:jc w:val="center"/>
              <w:rPr>
                <w:rFonts w:hint="default" w:ascii="Times New Roman" w:hAnsi="Times New Roman" w:eastAsia="宋体" w:cs="Times New Roman"/>
                <w:color w:val="auto"/>
                <w:sz w:val="21"/>
                <w:szCs w:val="21"/>
              </w:rPr>
            </w:pPr>
          </w:p>
        </w:tc>
        <w:tc>
          <w:tcPr>
            <w:tcW w:w="845"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kern w:val="2"/>
                <w:sz w:val="21"/>
                <w:szCs w:val="21"/>
                <w:lang w:val="en-US" w:eastAsia="zh-CN" w:bidi="ar-SA"/>
              </w:rPr>
            </w:pPr>
            <w:r>
              <w:rPr>
                <w:rFonts w:ascii="Times New Roman" w:hAnsi="Times New Roman" w:eastAsia="宋体" w:cs="Times New Roman"/>
                <w:b w:val="0"/>
                <w:bCs/>
                <w:sz w:val="21"/>
                <w:szCs w:val="21"/>
              </w:rPr>
              <w:t>2000（无量纲）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Merge w:val="continue"/>
            <w:vAlign w:val="center"/>
          </w:tcPr>
          <w:p>
            <w:pPr>
              <w:spacing w:line="300" w:lineRule="exact"/>
              <w:jc w:val="center"/>
              <w:rPr>
                <w:rFonts w:hint="default" w:ascii="Times New Roman" w:hAnsi="Times New Roman" w:eastAsia="宋体" w:cs="Times New Roman"/>
                <w:sz w:val="21"/>
                <w:szCs w:val="21"/>
              </w:rPr>
            </w:pPr>
          </w:p>
        </w:tc>
        <w:tc>
          <w:tcPr>
            <w:tcW w:w="527" w:type="pct"/>
            <w:vMerge w:val="continue"/>
            <w:vAlign w:val="center"/>
          </w:tcPr>
          <w:p>
            <w:pPr>
              <w:spacing w:line="300" w:lineRule="exact"/>
              <w:jc w:val="center"/>
              <w:rPr>
                <w:rFonts w:hint="default" w:ascii="Times New Roman" w:hAnsi="Times New Roman" w:eastAsia="宋体" w:cs="Times New Roman"/>
                <w:sz w:val="21"/>
                <w:szCs w:val="21"/>
              </w:rPr>
            </w:pPr>
          </w:p>
        </w:tc>
        <w:tc>
          <w:tcPr>
            <w:tcW w:w="611" w:type="pct"/>
            <w:vMerge w:val="restar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2"/>
                <w:sz w:val="21"/>
                <w:szCs w:val="21"/>
                <w:lang w:val="en-US" w:eastAsia="zh-CN" w:bidi="ar-SA"/>
              </w:rPr>
            </w:pPr>
            <w:r>
              <w:rPr>
                <w:rFonts w:hint="default" w:ascii="Times New Roman" w:hAnsi="Times New Roman" w:eastAsia="宋体" w:cs="Times New Roman"/>
                <w:b w:val="0"/>
                <w:bCs/>
                <w:sz w:val="21"/>
                <w:szCs w:val="21"/>
                <w:highlight w:val="none"/>
                <w:lang w:val="en-US" w:eastAsia="zh-CN"/>
              </w:rPr>
              <w:t>VOCs</w:t>
            </w:r>
          </w:p>
        </w:tc>
        <w:tc>
          <w:tcPr>
            <w:tcW w:w="1628" w:type="pct"/>
            <w:vMerge w:val="restart"/>
            <w:vAlign w:val="center"/>
          </w:tcPr>
          <w:p>
            <w:pPr>
              <w:keepNext w:val="0"/>
              <w:keepLines w:val="0"/>
              <w:widowControl/>
              <w:suppressLineNumbers w:val="0"/>
              <w:jc w:val="both"/>
              <w:rPr>
                <w:rFonts w:hint="default" w:ascii="Times New Roman" w:hAnsi="Times New Roman" w:eastAsia="宋体" w:cs="Times New Roman"/>
                <w:color w:val="auto"/>
                <w:sz w:val="21"/>
                <w:szCs w:val="21"/>
              </w:rPr>
            </w:pPr>
            <w:r>
              <w:rPr>
                <w:rFonts w:hint="default" w:ascii="Times New Roman" w:hAnsi="Times New Roman" w:eastAsia="宋体" w:cs="Times New Roman"/>
                <w:b w:val="0"/>
                <w:bCs/>
                <w:sz w:val="21"/>
                <w:szCs w:val="21"/>
                <w:highlight w:val="none"/>
                <w:lang w:val="en-US" w:eastAsia="zh-CN"/>
              </w:rPr>
              <w:t>《挥发性有机物排放标准 第7部分：其他行业》（DB37/2801.7-2019）表1“非重点行业”</w:t>
            </w:r>
            <w:r>
              <w:rPr>
                <w:rFonts w:hint="default" w:ascii="Times New Roman" w:hAnsi="Times New Roman" w:eastAsia="宋体" w:cs="Times New Roman"/>
                <w:b w:val="0"/>
                <w:bCs/>
                <w:sz w:val="21"/>
                <w:szCs w:val="21"/>
                <w:highlight w:val="none"/>
                <w:lang w:val="en-US" w:eastAsia="zh-CN"/>
              </w:rPr>
              <w:fldChar w:fldCharType="begin"/>
            </w:r>
            <w:r>
              <w:rPr>
                <w:rFonts w:hint="default" w:ascii="Times New Roman" w:hAnsi="Times New Roman" w:eastAsia="宋体" w:cs="Times New Roman"/>
                <w:b w:val="0"/>
                <w:bCs/>
                <w:sz w:val="21"/>
                <w:szCs w:val="21"/>
                <w:highlight w:val="none"/>
                <w:lang w:val="en-US" w:eastAsia="zh-CN"/>
              </w:rPr>
              <w:instrText xml:space="preserve"> = 2 \* ROMAN \* MERGEFORMAT </w:instrText>
            </w:r>
            <w:r>
              <w:rPr>
                <w:rFonts w:hint="default" w:ascii="Times New Roman" w:hAnsi="Times New Roman" w:eastAsia="宋体" w:cs="Times New Roman"/>
                <w:b w:val="0"/>
                <w:bCs/>
                <w:sz w:val="21"/>
                <w:szCs w:val="21"/>
                <w:highlight w:val="none"/>
                <w:lang w:val="en-US" w:eastAsia="zh-CN"/>
              </w:rPr>
              <w:fldChar w:fldCharType="separate"/>
            </w:r>
            <w:r>
              <w:rPr>
                <w:rFonts w:hint="default" w:ascii="Times New Roman" w:hAnsi="Times New Roman" w:eastAsia="宋体" w:cs="Times New Roman"/>
                <w:b w:val="0"/>
                <w:bCs/>
                <w:sz w:val="21"/>
                <w:szCs w:val="21"/>
                <w:highlight w:val="none"/>
              </w:rPr>
              <w:t>II</w:t>
            </w:r>
            <w:r>
              <w:rPr>
                <w:rFonts w:hint="default" w:ascii="Times New Roman" w:hAnsi="Times New Roman" w:eastAsia="宋体" w:cs="Times New Roman"/>
                <w:b w:val="0"/>
                <w:bCs/>
                <w:sz w:val="21"/>
                <w:szCs w:val="21"/>
                <w:highlight w:val="none"/>
                <w:lang w:val="en-US" w:eastAsia="zh-CN"/>
              </w:rPr>
              <w:fldChar w:fldCharType="end"/>
            </w:r>
            <w:r>
              <w:rPr>
                <w:rFonts w:hint="default" w:ascii="Times New Roman" w:hAnsi="Times New Roman" w:eastAsia="宋体" w:cs="Times New Roman"/>
                <w:b w:val="0"/>
                <w:bCs/>
                <w:sz w:val="21"/>
                <w:szCs w:val="21"/>
                <w:highlight w:val="none"/>
                <w:lang w:val="en-US" w:eastAsia="zh-CN"/>
              </w:rPr>
              <w:t>时段排放限值标准</w:t>
            </w:r>
          </w:p>
        </w:tc>
        <w:tc>
          <w:tcPr>
            <w:tcW w:w="1081" w:type="pct"/>
            <w:vMerge w:val="restart"/>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bCs/>
                <w:sz w:val="21"/>
                <w:szCs w:val="21"/>
                <w:highlight w:val="none"/>
                <w:lang w:val="en-US" w:eastAsia="zh-CN"/>
              </w:rPr>
              <w:t>DB37/2801.7-2019</w:t>
            </w:r>
          </w:p>
        </w:tc>
        <w:tc>
          <w:tcPr>
            <w:tcW w:w="845" w:type="pct"/>
            <w:vAlign w:val="center"/>
          </w:tcPr>
          <w:p>
            <w:pPr>
              <w:spacing w:line="300" w:lineRule="exact"/>
              <w:jc w:val="center"/>
              <w:rPr>
                <w:rFonts w:hint="eastAsia"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b w:val="0"/>
                <w:bCs/>
                <w:sz w:val="21"/>
                <w:szCs w:val="21"/>
                <w:lang w:val="en-US" w:eastAsia="zh-CN"/>
              </w:rPr>
              <w:t>60</w:t>
            </w:r>
            <w:r>
              <w:rPr>
                <w:rFonts w:hint="default" w:ascii="Times New Roman" w:hAnsi="Times New Roman" w:eastAsia="宋体" w:cs="Times New Roman"/>
                <w:b w:val="0"/>
                <w:bCs/>
                <w:snapToGrid w:val="0"/>
                <w:color w:val="000000"/>
                <w:kern w:val="0"/>
                <w:sz w:val="21"/>
                <w:szCs w:val="21"/>
              </w:rPr>
              <w:t>mg/m</w:t>
            </w:r>
            <w:r>
              <w:rPr>
                <w:rFonts w:hint="default" w:ascii="Times New Roman" w:hAnsi="Times New Roman" w:eastAsia="宋体" w:cs="Times New Roman"/>
                <w:b w:val="0"/>
                <w:bCs/>
                <w:snapToGrid w:val="0"/>
                <w:color w:val="000000"/>
                <w:kern w:val="0"/>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Merge w:val="continue"/>
            <w:vAlign w:val="center"/>
          </w:tcPr>
          <w:p>
            <w:pPr>
              <w:spacing w:line="300" w:lineRule="exact"/>
              <w:jc w:val="center"/>
              <w:rPr>
                <w:rFonts w:hint="default" w:ascii="Times New Roman" w:hAnsi="Times New Roman" w:eastAsia="宋体" w:cs="Times New Roman"/>
                <w:sz w:val="21"/>
                <w:szCs w:val="21"/>
              </w:rPr>
            </w:pPr>
          </w:p>
        </w:tc>
        <w:tc>
          <w:tcPr>
            <w:tcW w:w="527" w:type="pct"/>
            <w:vMerge w:val="continue"/>
            <w:vAlign w:val="center"/>
          </w:tcPr>
          <w:p>
            <w:pPr>
              <w:spacing w:line="300" w:lineRule="exact"/>
              <w:jc w:val="center"/>
              <w:rPr>
                <w:rFonts w:hint="default" w:ascii="Times New Roman" w:hAnsi="Times New Roman" w:eastAsia="宋体" w:cs="Times New Roman"/>
                <w:sz w:val="21"/>
                <w:szCs w:val="21"/>
              </w:rPr>
            </w:pPr>
          </w:p>
        </w:tc>
        <w:tc>
          <w:tcPr>
            <w:tcW w:w="611" w:type="pct"/>
            <w:vMerge w:val="continue"/>
            <w:vAlign w:val="center"/>
          </w:tcPr>
          <w:p>
            <w:pPr>
              <w:spacing w:line="300" w:lineRule="exact"/>
              <w:jc w:val="center"/>
              <w:rPr>
                <w:rFonts w:hint="default" w:ascii="Times New Roman" w:hAnsi="Times New Roman" w:eastAsia="宋体" w:cs="Times New Roman"/>
                <w:color w:val="auto"/>
                <w:sz w:val="21"/>
                <w:szCs w:val="21"/>
              </w:rPr>
            </w:pPr>
          </w:p>
        </w:tc>
        <w:tc>
          <w:tcPr>
            <w:tcW w:w="1628" w:type="pct"/>
            <w:vMerge w:val="continue"/>
            <w:vAlign w:val="center"/>
          </w:tcPr>
          <w:p>
            <w:pPr>
              <w:keepNext w:val="0"/>
              <w:keepLines w:val="0"/>
              <w:widowControl/>
              <w:suppressLineNumbers w:val="0"/>
              <w:jc w:val="both"/>
              <w:rPr>
                <w:rFonts w:hint="default" w:ascii="Times New Roman" w:hAnsi="Times New Roman" w:eastAsia="宋体" w:cs="Times New Roman"/>
                <w:color w:val="auto"/>
                <w:sz w:val="21"/>
                <w:szCs w:val="21"/>
              </w:rPr>
            </w:pPr>
          </w:p>
        </w:tc>
        <w:tc>
          <w:tcPr>
            <w:tcW w:w="1081" w:type="pct"/>
            <w:vMerge w:val="continue"/>
            <w:vAlign w:val="center"/>
          </w:tcPr>
          <w:p>
            <w:pPr>
              <w:spacing w:line="300" w:lineRule="exact"/>
              <w:jc w:val="center"/>
              <w:rPr>
                <w:rFonts w:hint="default" w:ascii="Times New Roman" w:hAnsi="Times New Roman" w:eastAsia="宋体" w:cs="Times New Roman"/>
                <w:color w:val="auto"/>
                <w:sz w:val="21"/>
                <w:szCs w:val="21"/>
              </w:rPr>
            </w:pPr>
          </w:p>
        </w:tc>
        <w:tc>
          <w:tcPr>
            <w:tcW w:w="845" w:type="pct"/>
            <w:vAlign w:val="center"/>
          </w:tcPr>
          <w:p>
            <w:pPr>
              <w:spacing w:line="300" w:lineRule="exact"/>
              <w:jc w:val="center"/>
              <w:rPr>
                <w:rFonts w:hint="eastAsia"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b w:val="0"/>
                <w:bCs/>
                <w:sz w:val="21"/>
                <w:szCs w:val="21"/>
                <w:lang w:val="en-US" w:eastAsia="zh-CN"/>
              </w:rPr>
              <w:t>6</w:t>
            </w:r>
            <w:r>
              <w:rPr>
                <w:rFonts w:hint="default" w:ascii="Times New Roman" w:hAnsi="Times New Roman" w:eastAsia="宋体" w:cs="Times New Roman"/>
                <w:b w:val="0"/>
                <w:bCs/>
                <w:color w:val="000000"/>
                <w:sz w:val="21"/>
                <w:szCs w:val="21"/>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Merge w:val="restart"/>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527" w:type="pct"/>
            <w:vMerge w:val="restart"/>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无组织废气</w:t>
            </w:r>
          </w:p>
        </w:tc>
        <w:tc>
          <w:tcPr>
            <w:tcW w:w="611"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2"/>
                <w:sz w:val="21"/>
                <w:szCs w:val="21"/>
                <w:lang w:val="en-US" w:eastAsia="zh-CN" w:bidi="ar-SA"/>
              </w:rPr>
            </w:pPr>
            <w:r>
              <w:rPr>
                <w:rFonts w:ascii="Times New Roman" w:hAnsi="Times New Roman" w:eastAsia="宋体" w:cs="Times New Roman"/>
                <w:b w:val="0"/>
                <w:bCs/>
                <w:sz w:val="21"/>
                <w:szCs w:val="21"/>
              </w:rPr>
              <w:t>NH</w:t>
            </w:r>
            <w:r>
              <w:rPr>
                <w:rFonts w:ascii="Times New Roman" w:hAnsi="Times New Roman" w:eastAsia="宋体" w:cs="Times New Roman"/>
                <w:b w:val="0"/>
                <w:bCs/>
                <w:sz w:val="21"/>
                <w:szCs w:val="21"/>
                <w:vertAlign w:val="subscript"/>
              </w:rPr>
              <w:t>3</w:t>
            </w:r>
          </w:p>
        </w:tc>
        <w:tc>
          <w:tcPr>
            <w:tcW w:w="1628" w:type="pct"/>
            <w:vMerge w:val="restart"/>
            <w:vAlign w:val="center"/>
          </w:tcPr>
          <w:p>
            <w:pPr>
              <w:spacing w:line="300" w:lineRule="exact"/>
              <w:jc w:val="both"/>
              <w:rPr>
                <w:rFonts w:hint="default" w:ascii="Times New Roman" w:hAnsi="Times New Roman" w:eastAsia="宋体" w:cs="Times New Roman"/>
                <w:sz w:val="21"/>
                <w:szCs w:val="21"/>
              </w:rPr>
            </w:pPr>
            <w:r>
              <w:rPr>
                <w:rFonts w:ascii="Times New Roman" w:hAnsi="Times New Roman" w:eastAsia="宋体" w:cs="Times New Roman"/>
                <w:b w:val="0"/>
                <w:bCs/>
                <w:sz w:val="21"/>
                <w:szCs w:val="21"/>
              </w:rPr>
              <w:t>《恶臭污染物排放标准》（GB14554-93）表1标准</w:t>
            </w:r>
          </w:p>
        </w:tc>
        <w:tc>
          <w:tcPr>
            <w:tcW w:w="1081" w:type="pct"/>
            <w:vMerge w:val="restart"/>
            <w:vAlign w:val="center"/>
          </w:tcPr>
          <w:p>
            <w:pPr>
              <w:spacing w:line="300" w:lineRule="exact"/>
              <w:jc w:val="center"/>
              <w:rPr>
                <w:rFonts w:hint="default" w:ascii="Times New Roman" w:hAnsi="Times New Roman" w:eastAsia="宋体" w:cs="Times New Roman"/>
                <w:color w:val="000000"/>
                <w:sz w:val="21"/>
                <w:szCs w:val="21"/>
              </w:rPr>
            </w:pPr>
            <w:r>
              <w:rPr>
                <w:rFonts w:ascii="Times New Roman" w:hAnsi="Times New Roman" w:eastAsia="宋体" w:cs="Times New Roman"/>
                <w:b w:val="0"/>
                <w:bCs/>
                <w:sz w:val="21"/>
                <w:szCs w:val="21"/>
              </w:rPr>
              <w:t>GB14554-93</w:t>
            </w:r>
          </w:p>
        </w:tc>
        <w:tc>
          <w:tcPr>
            <w:tcW w:w="845"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kern w:val="2"/>
                <w:sz w:val="21"/>
                <w:szCs w:val="21"/>
                <w:lang w:val="en-US" w:eastAsia="zh-CN" w:bidi="ar-SA"/>
              </w:rPr>
            </w:pPr>
            <w:r>
              <w:rPr>
                <w:rFonts w:ascii="Times New Roman" w:hAnsi="Times New Roman" w:eastAsia="宋体" w:cs="Times New Roman"/>
                <w:b w:val="0"/>
                <w:bCs/>
                <w:sz w:val="21"/>
                <w:szCs w:val="21"/>
              </w:rPr>
              <w:t>1.5mg/m</w:t>
            </w:r>
            <w:r>
              <w:rPr>
                <w:rFonts w:ascii="Times New Roman" w:hAnsi="Times New Roman" w:eastAsia="宋体" w:cs="Times New Roman"/>
                <w:b w:val="0"/>
                <w:bCs/>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Merge w:val="continue"/>
            <w:vAlign w:val="center"/>
          </w:tcPr>
          <w:p>
            <w:pPr>
              <w:spacing w:line="300" w:lineRule="exact"/>
              <w:jc w:val="center"/>
              <w:rPr>
                <w:rFonts w:hint="default" w:ascii="Times New Roman" w:hAnsi="Times New Roman" w:eastAsia="宋体" w:cs="Times New Roman"/>
                <w:sz w:val="21"/>
                <w:szCs w:val="21"/>
                <w:lang w:val="en-US" w:eastAsia="zh-CN"/>
              </w:rPr>
            </w:pPr>
          </w:p>
        </w:tc>
        <w:tc>
          <w:tcPr>
            <w:tcW w:w="527" w:type="pct"/>
            <w:vMerge w:val="continue"/>
            <w:vAlign w:val="center"/>
          </w:tcPr>
          <w:p>
            <w:pPr>
              <w:spacing w:line="300" w:lineRule="exact"/>
              <w:jc w:val="center"/>
              <w:rPr>
                <w:rFonts w:hint="default" w:ascii="Times New Roman" w:hAnsi="Times New Roman" w:eastAsia="宋体" w:cs="Times New Roman"/>
                <w:sz w:val="21"/>
                <w:szCs w:val="21"/>
                <w:lang w:val="en-US" w:eastAsia="zh-CN"/>
              </w:rPr>
            </w:pPr>
          </w:p>
        </w:tc>
        <w:tc>
          <w:tcPr>
            <w:tcW w:w="611"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2"/>
                <w:sz w:val="21"/>
                <w:szCs w:val="21"/>
                <w:lang w:val="en-US" w:eastAsia="zh-CN" w:bidi="ar-SA"/>
              </w:rPr>
            </w:pPr>
            <w:r>
              <w:rPr>
                <w:rFonts w:ascii="Times New Roman" w:hAnsi="Times New Roman" w:eastAsia="宋体" w:cs="Times New Roman"/>
                <w:b w:val="0"/>
                <w:bCs/>
                <w:sz w:val="21"/>
                <w:szCs w:val="21"/>
              </w:rPr>
              <w:t>H</w:t>
            </w:r>
            <w:r>
              <w:rPr>
                <w:rFonts w:ascii="Times New Roman" w:hAnsi="Times New Roman" w:eastAsia="宋体" w:cs="Times New Roman"/>
                <w:b w:val="0"/>
                <w:bCs/>
                <w:sz w:val="21"/>
                <w:szCs w:val="21"/>
                <w:vertAlign w:val="subscript"/>
              </w:rPr>
              <w:t>2</w:t>
            </w:r>
            <w:r>
              <w:rPr>
                <w:rFonts w:ascii="Times New Roman" w:hAnsi="Times New Roman" w:eastAsia="宋体" w:cs="Times New Roman"/>
                <w:b w:val="0"/>
                <w:bCs/>
                <w:sz w:val="21"/>
                <w:szCs w:val="21"/>
              </w:rPr>
              <w:t>S</w:t>
            </w:r>
          </w:p>
        </w:tc>
        <w:tc>
          <w:tcPr>
            <w:tcW w:w="1628" w:type="pct"/>
            <w:vMerge w:val="continue"/>
            <w:vAlign w:val="center"/>
          </w:tcPr>
          <w:p>
            <w:pPr>
              <w:keepNext w:val="0"/>
              <w:keepLines w:val="0"/>
              <w:widowControl/>
              <w:suppressLineNumbers w:val="0"/>
              <w:jc w:val="both"/>
              <w:rPr>
                <w:rFonts w:hint="default" w:ascii="Times New Roman" w:hAnsi="Times New Roman" w:eastAsia="宋体" w:cs="Times New Roman"/>
                <w:sz w:val="21"/>
                <w:szCs w:val="21"/>
              </w:rPr>
            </w:pPr>
          </w:p>
        </w:tc>
        <w:tc>
          <w:tcPr>
            <w:tcW w:w="1081" w:type="pct"/>
            <w:vMerge w:val="continue"/>
            <w:vAlign w:val="center"/>
          </w:tcPr>
          <w:p>
            <w:pPr>
              <w:spacing w:line="300" w:lineRule="exact"/>
              <w:jc w:val="center"/>
              <w:rPr>
                <w:rFonts w:hint="default" w:ascii="Times New Roman" w:hAnsi="Times New Roman" w:eastAsia="宋体" w:cs="Times New Roman"/>
                <w:color w:val="000000"/>
                <w:sz w:val="21"/>
                <w:szCs w:val="21"/>
              </w:rPr>
            </w:pPr>
          </w:p>
        </w:tc>
        <w:tc>
          <w:tcPr>
            <w:tcW w:w="845"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2"/>
                <w:sz w:val="21"/>
                <w:szCs w:val="21"/>
                <w:lang w:val="en-US" w:eastAsia="zh-CN" w:bidi="ar-SA"/>
              </w:rPr>
            </w:pPr>
            <w:r>
              <w:rPr>
                <w:rFonts w:ascii="Times New Roman" w:hAnsi="Times New Roman" w:eastAsia="宋体" w:cs="Times New Roman"/>
                <w:b w:val="0"/>
                <w:bCs/>
                <w:sz w:val="21"/>
                <w:szCs w:val="21"/>
              </w:rPr>
              <w:t>0.06mg/m</w:t>
            </w:r>
            <w:r>
              <w:rPr>
                <w:rFonts w:ascii="Times New Roman" w:hAnsi="Times New Roman" w:eastAsia="宋体" w:cs="Times New Roman"/>
                <w:b w:val="0"/>
                <w:bCs/>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Merge w:val="continue"/>
            <w:vAlign w:val="center"/>
          </w:tcPr>
          <w:p>
            <w:pPr>
              <w:spacing w:line="300" w:lineRule="exact"/>
              <w:jc w:val="center"/>
              <w:rPr>
                <w:rFonts w:hint="default" w:ascii="Times New Roman" w:hAnsi="Times New Roman" w:eastAsia="宋体" w:cs="Times New Roman"/>
                <w:sz w:val="21"/>
                <w:szCs w:val="21"/>
              </w:rPr>
            </w:pPr>
          </w:p>
        </w:tc>
        <w:tc>
          <w:tcPr>
            <w:tcW w:w="527" w:type="pct"/>
            <w:vMerge w:val="continue"/>
            <w:vAlign w:val="center"/>
          </w:tcPr>
          <w:p>
            <w:pPr>
              <w:spacing w:line="300" w:lineRule="exact"/>
              <w:jc w:val="center"/>
              <w:rPr>
                <w:rFonts w:hint="default" w:ascii="Times New Roman" w:hAnsi="Times New Roman" w:eastAsia="宋体" w:cs="Times New Roman"/>
                <w:sz w:val="21"/>
                <w:szCs w:val="21"/>
              </w:rPr>
            </w:pPr>
          </w:p>
        </w:tc>
        <w:tc>
          <w:tcPr>
            <w:tcW w:w="611"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2"/>
                <w:sz w:val="21"/>
                <w:szCs w:val="21"/>
                <w:lang w:val="en-US" w:eastAsia="zh-CN" w:bidi="ar-SA"/>
              </w:rPr>
            </w:pPr>
            <w:r>
              <w:rPr>
                <w:rFonts w:ascii="Times New Roman" w:hAnsi="Times New Roman" w:eastAsia="宋体" w:cs="Times New Roman"/>
                <w:b w:val="0"/>
                <w:bCs/>
                <w:sz w:val="21"/>
                <w:szCs w:val="21"/>
              </w:rPr>
              <w:t>臭气浓度</w:t>
            </w:r>
          </w:p>
        </w:tc>
        <w:tc>
          <w:tcPr>
            <w:tcW w:w="1628" w:type="pct"/>
            <w:vMerge w:val="continue"/>
            <w:vAlign w:val="center"/>
          </w:tcPr>
          <w:p>
            <w:pPr>
              <w:spacing w:line="300" w:lineRule="exact"/>
              <w:jc w:val="both"/>
              <w:rPr>
                <w:rFonts w:hint="default" w:ascii="Times New Roman" w:hAnsi="Times New Roman" w:eastAsia="宋体" w:cs="Times New Roman"/>
                <w:sz w:val="21"/>
                <w:szCs w:val="21"/>
              </w:rPr>
            </w:pPr>
          </w:p>
        </w:tc>
        <w:tc>
          <w:tcPr>
            <w:tcW w:w="1081" w:type="pct"/>
            <w:vMerge w:val="continue"/>
            <w:vAlign w:val="center"/>
          </w:tcPr>
          <w:p>
            <w:pPr>
              <w:spacing w:line="300" w:lineRule="exact"/>
              <w:jc w:val="center"/>
              <w:rPr>
                <w:rFonts w:hint="default" w:ascii="Times New Roman" w:hAnsi="Times New Roman" w:eastAsia="宋体" w:cs="Times New Roman"/>
                <w:color w:val="000000"/>
                <w:sz w:val="21"/>
                <w:szCs w:val="21"/>
              </w:rPr>
            </w:pPr>
          </w:p>
        </w:tc>
        <w:tc>
          <w:tcPr>
            <w:tcW w:w="845"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kern w:val="2"/>
                <w:sz w:val="21"/>
                <w:szCs w:val="21"/>
                <w:lang w:val="en-US" w:eastAsia="zh-CN" w:bidi="ar-SA"/>
              </w:rPr>
            </w:pPr>
            <w:r>
              <w:rPr>
                <w:rFonts w:ascii="Times New Roman" w:hAnsi="Times New Roman" w:eastAsia="宋体" w:cs="Times New Roman"/>
                <w:b w:val="0"/>
                <w:bCs/>
                <w:sz w:val="21"/>
                <w:szCs w:val="21"/>
              </w:rPr>
              <w:t>20（无量纲）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Merge w:val="continue"/>
            <w:vAlign w:val="center"/>
          </w:tcPr>
          <w:p>
            <w:pPr>
              <w:spacing w:line="300" w:lineRule="exact"/>
              <w:jc w:val="center"/>
              <w:rPr>
                <w:rFonts w:hint="default" w:ascii="Times New Roman" w:hAnsi="Times New Roman" w:eastAsia="宋体" w:cs="Times New Roman"/>
                <w:sz w:val="21"/>
                <w:szCs w:val="21"/>
              </w:rPr>
            </w:pPr>
          </w:p>
        </w:tc>
        <w:tc>
          <w:tcPr>
            <w:tcW w:w="527" w:type="pct"/>
            <w:vMerge w:val="continue"/>
            <w:vAlign w:val="center"/>
          </w:tcPr>
          <w:p>
            <w:pPr>
              <w:spacing w:line="300" w:lineRule="exact"/>
              <w:jc w:val="center"/>
              <w:rPr>
                <w:rFonts w:hint="default" w:ascii="Times New Roman" w:hAnsi="Times New Roman" w:eastAsia="宋体" w:cs="Times New Roman"/>
                <w:sz w:val="21"/>
                <w:szCs w:val="21"/>
              </w:rPr>
            </w:pPr>
          </w:p>
        </w:tc>
        <w:tc>
          <w:tcPr>
            <w:tcW w:w="611" w:type="pct"/>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bCs/>
                <w:sz w:val="21"/>
                <w:szCs w:val="21"/>
                <w:highlight w:val="none"/>
                <w:lang w:val="en-US" w:eastAsia="zh-CN"/>
              </w:rPr>
              <w:t>VOCs</w:t>
            </w:r>
          </w:p>
        </w:tc>
        <w:tc>
          <w:tcPr>
            <w:tcW w:w="1628" w:type="pct"/>
            <w:vAlign w:val="center"/>
          </w:tcPr>
          <w:p>
            <w:pPr>
              <w:spacing w:line="300" w:lineRule="exact"/>
              <w:jc w:val="both"/>
              <w:rPr>
                <w:rFonts w:hint="default" w:ascii="Times New Roman" w:hAnsi="Times New Roman" w:eastAsia="宋体" w:cs="Times New Roman"/>
                <w:color w:val="auto"/>
                <w:sz w:val="21"/>
                <w:szCs w:val="21"/>
              </w:rPr>
            </w:pPr>
            <w:r>
              <w:rPr>
                <w:rFonts w:hint="default" w:ascii="Times New Roman" w:hAnsi="Times New Roman" w:eastAsia="宋体" w:cs="Times New Roman"/>
                <w:b w:val="0"/>
                <w:bCs/>
                <w:sz w:val="21"/>
                <w:szCs w:val="21"/>
                <w:lang w:val="en-US" w:eastAsia="zh-CN"/>
              </w:rPr>
              <w:t>《挥发性有机物排放标准 第7部分：其他行业》（DB37/2801.7-2019）表2厂界监控点浓度限值标准</w:t>
            </w:r>
          </w:p>
        </w:tc>
        <w:tc>
          <w:tcPr>
            <w:tcW w:w="1081" w:type="pct"/>
            <w:vAlign w:val="center"/>
          </w:tcPr>
          <w:p>
            <w:pPr>
              <w:spacing w:line="30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 w:val="0"/>
                <w:bCs/>
                <w:sz w:val="21"/>
                <w:szCs w:val="21"/>
                <w:lang w:val="en-US" w:eastAsia="zh-CN"/>
              </w:rPr>
              <w:t>DB37/2801.7-2019</w:t>
            </w:r>
          </w:p>
        </w:tc>
        <w:tc>
          <w:tcPr>
            <w:tcW w:w="845" w:type="pct"/>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b w:val="0"/>
                <w:bCs/>
                <w:sz w:val="21"/>
                <w:szCs w:val="21"/>
              </w:rPr>
            </w:pPr>
            <w:r>
              <w:rPr>
                <w:rFonts w:hint="default" w:ascii="Times New Roman" w:hAnsi="Times New Roman" w:eastAsia="宋体" w:cs="Times New Roman"/>
                <w:b w:val="0"/>
                <w:bCs/>
                <w:color w:val="000000"/>
                <w:sz w:val="21"/>
                <w:szCs w:val="21"/>
                <w:lang w:val="en-US" w:eastAsia="zh-CN"/>
              </w:rPr>
              <w:t>2.0</w:t>
            </w:r>
            <w:r>
              <w:rPr>
                <w:rFonts w:ascii="Times New Roman" w:hAnsi="Times New Roman" w:eastAsia="宋体" w:cs="Times New Roman"/>
                <w:b w:val="0"/>
                <w:bCs/>
                <w:sz w:val="21"/>
                <w:szCs w:val="21"/>
              </w:rPr>
              <w:t>mg/m</w:t>
            </w:r>
            <w:r>
              <w:rPr>
                <w:rFonts w:ascii="Times New Roman" w:hAnsi="Times New Roman" w:eastAsia="宋体" w:cs="Times New Roman"/>
                <w:b w:val="0"/>
                <w:bCs/>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Merge w:val="restart"/>
            <w:vAlign w:val="center"/>
          </w:tcPr>
          <w:p>
            <w:pPr>
              <w:spacing w:line="300" w:lineRule="exact"/>
              <w:jc w:val="center"/>
              <w:rPr>
                <w:rFonts w:hint="eastAsia" w:ascii="Times New Roman" w:hAnsi="Times New Roman" w:eastAsia="宋体" w:cs="Times New Roman"/>
                <w:b w:val="0"/>
                <w:bCs/>
                <w:sz w:val="21"/>
                <w:szCs w:val="21"/>
                <w:highlight w:val="none"/>
                <w:lang w:val="en-US" w:eastAsia="zh-CN"/>
              </w:rPr>
            </w:pPr>
            <w:r>
              <w:rPr>
                <w:rFonts w:hint="eastAsia" w:ascii="Times New Roman" w:hAnsi="Times New Roman" w:eastAsia="宋体" w:cs="Times New Roman"/>
                <w:b w:val="0"/>
                <w:bCs/>
                <w:sz w:val="21"/>
                <w:szCs w:val="21"/>
                <w:highlight w:val="none"/>
                <w:lang w:val="en-US" w:eastAsia="zh-CN"/>
              </w:rPr>
              <w:t>3</w:t>
            </w:r>
          </w:p>
        </w:tc>
        <w:tc>
          <w:tcPr>
            <w:tcW w:w="527" w:type="pct"/>
            <w:vMerge w:val="restart"/>
            <w:vAlign w:val="center"/>
          </w:tcPr>
          <w:p>
            <w:pPr>
              <w:spacing w:line="300" w:lineRule="exact"/>
              <w:jc w:val="center"/>
              <w:rPr>
                <w:rFonts w:hint="eastAsia" w:ascii="Times New Roman" w:hAnsi="Times New Roman" w:eastAsia="宋体" w:cs="Times New Roman"/>
                <w:b w:val="0"/>
                <w:bCs/>
                <w:sz w:val="21"/>
                <w:szCs w:val="21"/>
                <w:highlight w:val="none"/>
                <w:lang w:val="en-US" w:eastAsia="zh-CN"/>
              </w:rPr>
            </w:pPr>
            <w:r>
              <w:rPr>
                <w:rFonts w:hint="eastAsia" w:ascii="Times New Roman" w:hAnsi="Times New Roman" w:eastAsia="宋体" w:cs="Times New Roman"/>
                <w:b w:val="0"/>
                <w:bCs/>
                <w:sz w:val="21"/>
                <w:szCs w:val="21"/>
                <w:highlight w:val="none"/>
                <w:lang w:val="en-US" w:eastAsia="zh-CN"/>
              </w:rPr>
              <w:t>废水</w:t>
            </w:r>
          </w:p>
        </w:tc>
        <w:tc>
          <w:tcPr>
            <w:tcW w:w="611" w:type="pct"/>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pH</w:t>
            </w:r>
          </w:p>
        </w:tc>
        <w:tc>
          <w:tcPr>
            <w:tcW w:w="1628" w:type="pct"/>
            <w:vMerge w:val="restart"/>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r>
              <w:rPr>
                <w:rFonts w:hint="eastAsia" w:ascii="Times New Roman" w:hAnsi="Times New Roman" w:eastAsia="宋体" w:cs="Times New Roman"/>
                <w:b w:val="0"/>
                <w:bCs/>
                <w:sz w:val="21"/>
                <w:szCs w:val="21"/>
                <w:highlight w:val="none"/>
                <w:lang w:val="en-US" w:eastAsia="zh-CN"/>
              </w:rPr>
              <w:t>《混装制剂类制药工业水污染物排放标准》（GB 21908-2008）中表2标准</w:t>
            </w:r>
          </w:p>
        </w:tc>
        <w:tc>
          <w:tcPr>
            <w:tcW w:w="1081" w:type="pct"/>
            <w:vMerge w:val="restart"/>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r>
              <w:rPr>
                <w:rFonts w:hint="eastAsia" w:ascii="Times New Roman" w:hAnsi="Times New Roman" w:eastAsia="宋体" w:cs="Times New Roman"/>
                <w:b w:val="0"/>
                <w:bCs/>
                <w:sz w:val="21"/>
                <w:szCs w:val="21"/>
                <w:highlight w:val="none"/>
                <w:lang w:val="en-US" w:eastAsia="zh-CN"/>
              </w:rPr>
              <w:t>GB 21908-2008</w:t>
            </w:r>
          </w:p>
        </w:tc>
        <w:tc>
          <w:tcPr>
            <w:tcW w:w="845" w:type="pct"/>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r>
              <w:rPr>
                <w:rFonts w:hint="eastAsia" w:ascii="Times New Roman" w:hAnsi="Times New Roman" w:eastAsia="宋体" w:cs="Times New Roman"/>
                <w:b w:val="0"/>
                <w:bCs/>
                <w:sz w:val="21"/>
                <w:szCs w:val="21"/>
                <w:highlight w:val="none"/>
                <w:lang w:val="en-US" w:eastAsia="zh-CN"/>
              </w:rPr>
              <w:t>6</w:t>
            </w:r>
            <w:r>
              <w:rPr>
                <w:rFonts w:hint="default" w:ascii="Times New Roman" w:hAnsi="Times New Roman" w:eastAsia="宋体" w:cs="Times New Roman"/>
                <w:b w:val="0"/>
                <w:bCs/>
                <w:sz w:val="21"/>
                <w:szCs w:val="21"/>
                <w:highlight w:val="none"/>
                <w:lang w:val="en-US" w:eastAsia="zh-CN"/>
              </w:rPr>
              <w:t>~</w:t>
            </w:r>
            <w:r>
              <w:rPr>
                <w:rFonts w:hint="eastAsia" w:ascii="Times New Roman" w:hAnsi="Times New Roman" w:eastAsia="宋体" w:cs="Times New Roman"/>
                <w:b w:val="0"/>
                <w:bCs/>
                <w:sz w:val="21"/>
                <w:szCs w:val="21"/>
                <w:highlight w:val="none"/>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Merge w:val="continue"/>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p>
        </w:tc>
        <w:tc>
          <w:tcPr>
            <w:tcW w:w="527" w:type="pct"/>
            <w:vMerge w:val="continue"/>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p>
        </w:tc>
        <w:tc>
          <w:tcPr>
            <w:tcW w:w="611" w:type="pct"/>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COD</w:t>
            </w:r>
          </w:p>
        </w:tc>
        <w:tc>
          <w:tcPr>
            <w:tcW w:w="1628" w:type="pct"/>
            <w:vMerge w:val="continue"/>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p>
        </w:tc>
        <w:tc>
          <w:tcPr>
            <w:tcW w:w="1081" w:type="pct"/>
            <w:vMerge w:val="continue"/>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p>
        </w:tc>
        <w:tc>
          <w:tcPr>
            <w:tcW w:w="845" w:type="pct"/>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r>
              <w:rPr>
                <w:rFonts w:hint="eastAsia" w:ascii="Times New Roman" w:hAnsi="Times New Roman" w:eastAsia="宋体" w:cs="Times New Roman"/>
                <w:b w:val="0"/>
                <w:bCs/>
                <w:sz w:val="21"/>
                <w:szCs w:val="21"/>
                <w:highlight w:val="none"/>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Merge w:val="continue"/>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p>
        </w:tc>
        <w:tc>
          <w:tcPr>
            <w:tcW w:w="527" w:type="pct"/>
            <w:vMerge w:val="continue"/>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p>
        </w:tc>
        <w:tc>
          <w:tcPr>
            <w:tcW w:w="611" w:type="pct"/>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BOD5</w:t>
            </w:r>
          </w:p>
        </w:tc>
        <w:tc>
          <w:tcPr>
            <w:tcW w:w="1628" w:type="pct"/>
            <w:vMerge w:val="continue"/>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p>
        </w:tc>
        <w:tc>
          <w:tcPr>
            <w:tcW w:w="1081" w:type="pct"/>
            <w:vMerge w:val="continue"/>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p>
        </w:tc>
        <w:tc>
          <w:tcPr>
            <w:tcW w:w="845" w:type="pct"/>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r>
              <w:rPr>
                <w:rFonts w:hint="eastAsia" w:ascii="Times New Roman" w:hAnsi="Times New Roman" w:eastAsia="宋体" w:cs="Times New Roman"/>
                <w:b w:val="0"/>
                <w:bCs/>
                <w:sz w:val="21"/>
                <w:szCs w:val="21"/>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Merge w:val="continue"/>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p>
        </w:tc>
        <w:tc>
          <w:tcPr>
            <w:tcW w:w="527" w:type="pct"/>
            <w:vMerge w:val="continue"/>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p>
        </w:tc>
        <w:tc>
          <w:tcPr>
            <w:tcW w:w="611" w:type="pct"/>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SS</w:t>
            </w:r>
          </w:p>
        </w:tc>
        <w:tc>
          <w:tcPr>
            <w:tcW w:w="1628" w:type="pct"/>
            <w:vMerge w:val="continue"/>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p>
        </w:tc>
        <w:tc>
          <w:tcPr>
            <w:tcW w:w="1081" w:type="pct"/>
            <w:vMerge w:val="continue"/>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p>
        </w:tc>
        <w:tc>
          <w:tcPr>
            <w:tcW w:w="845" w:type="pct"/>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r>
              <w:rPr>
                <w:rFonts w:hint="eastAsia" w:ascii="Times New Roman" w:hAnsi="Times New Roman" w:eastAsia="宋体" w:cs="Times New Roman"/>
                <w:b w:val="0"/>
                <w:bCs/>
                <w:sz w:val="21"/>
                <w:szCs w:val="21"/>
                <w:highlight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Merge w:val="continue"/>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p>
        </w:tc>
        <w:tc>
          <w:tcPr>
            <w:tcW w:w="527" w:type="pct"/>
            <w:vMerge w:val="continue"/>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p>
        </w:tc>
        <w:tc>
          <w:tcPr>
            <w:tcW w:w="611" w:type="pct"/>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r>
              <w:rPr>
                <w:rFonts w:hint="default" w:ascii="Times New Roman" w:hAnsi="Times New Roman" w:eastAsia="宋体" w:cs="Times New Roman"/>
                <w:b w:val="0"/>
                <w:bCs/>
                <w:sz w:val="21"/>
                <w:szCs w:val="21"/>
                <w:highlight w:val="none"/>
                <w:lang w:val="en-US" w:eastAsia="zh-CN"/>
              </w:rPr>
              <w:t>氨氮</w:t>
            </w:r>
          </w:p>
        </w:tc>
        <w:tc>
          <w:tcPr>
            <w:tcW w:w="1628" w:type="pct"/>
            <w:vMerge w:val="continue"/>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p>
        </w:tc>
        <w:tc>
          <w:tcPr>
            <w:tcW w:w="1081" w:type="pct"/>
            <w:vMerge w:val="continue"/>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p>
        </w:tc>
        <w:tc>
          <w:tcPr>
            <w:tcW w:w="845" w:type="pct"/>
            <w:vAlign w:val="center"/>
          </w:tcPr>
          <w:p>
            <w:pPr>
              <w:spacing w:line="300" w:lineRule="exact"/>
              <w:jc w:val="center"/>
              <w:rPr>
                <w:rFonts w:hint="default" w:ascii="Times New Roman" w:hAnsi="Times New Roman" w:eastAsia="宋体" w:cs="Times New Roman"/>
                <w:b w:val="0"/>
                <w:bCs/>
                <w:sz w:val="21"/>
                <w:szCs w:val="21"/>
                <w:highlight w:val="none"/>
                <w:lang w:val="en-US" w:eastAsia="zh-CN"/>
              </w:rPr>
            </w:pPr>
            <w:r>
              <w:rPr>
                <w:rFonts w:hint="eastAsia" w:ascii="Times New Roman" w:hAnsi="Times New Roman" w:eastAsia="宋体" w:cs="Times New Roman"/>
                <w:b w:val="0"/>
                <w:bCs/>
                <w:sz w:val="21"/>
                <w:szCs w:val="21"/>
                <w:highlight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5" w:type="pct"/>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4</w:t>
            </w:r>
          </w:p>
        </w:tc>
        <w:tc>
          <w:tcPr>
            <w:tcW w:w="527" w:type="pct"/>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厂界噪声</w:t>
            </w:r>
          </w:p>
        </w:tc>
        <w:tc>
          <w:tcPr>
            <w:tcW w:w="611" w:type="pct"/>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LAeq</w:t>
            </w:r>
          </w:p>
        </w:tc>
        <w:tc>
          <w:tcPr>
            <w:tcW w:w="1628" w:type="pct"/>
            <w:vAlign w:val="center"/>
          </w:tcPr>
          <w:p>
            <w:pPr>
              <w:spacing w:line="300" w:lineRule="exact"/>
              <w:jc w:val="both"/>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《工业企业厂界环境噪声排放标准》2级标准</w:t>
            </w:r>
          </w:p>
        </w:tc>
        <w:tc>
          <w:tcPr>
            <w:tcW w:w="1081" w:type="pct"/>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GB12348-2008</w:t>
            </w:r>
          </w:p>
        </w:tc>
        <w:tc>
          <w:tcPr>
            <w:tcW w:w="845" w:type="pct"/>
            <w:vAlign w:val="center"/>
          </w:tcPr>
          <w:p>
            <w:pPr>
              <w:spacing w:line="30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昼间：60dB</w:t>
            </w:r>
          </w:p>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夜间：50dB</w:t>
            </w:r>
          </w:p>
        </w:tc>
      </w:tr>
    </w:tbl>
    <w:p>
      <w:pPr>
        <w:widowControl/>
        <w:jc w:val="left"/>
        <w:rPr>
          <w:rFonts w:hint="default" w:ascii="Times New Roman" w:hAnsi="Times New Roman" w:eastAsia="宋体" w:cs="Times New Roman"/>
          <w:b/>
          <w:sz w:val="28"/>
          <w:szCs w:val="28"/>
        </w:rPr>
      </w:pPr>
      <w:r>
        <w:rPr>
          <w:rFonts w:hint="default" w:ascii="Times New Roman" w:hAnsi="Times New Roman" w:eastAsia="宋体" w:cs="Times New Roman"/>
          <w:b/>
          <w:sz w:val="28"/>
          <w:szCs w:val="28"/>
        </w:rPr>
        <w:br w:type="page"/>
      </w:r>
    </w:p>
    <w:p>
      <w:pPr>
        <w:pStyle w:val="38"/>
        <w:spacing w:line="360" w:lineRule="auto"/>
        <w:ind w:left="-210" w:leftChars="-100" w:firstLine="0" w:firstLineChars="0"/>
        <w:jc w:val="center"/>
        <w:outlineLvl w:val="0"/>
        <w:rPr>
          <w:rFonts w:hint="default" w:ascii="Times New Roman" w:hAnsi="Times New Roman" w:eastAsia="宋体" w:cs="Times New Roman"/>
          <w:b/>
          <w:color w:val="auto"/>
          <w:sz w:val="32"/>
          <w:szCs w:val="32"/>
        </w:rPr>
      </w:pPr>
      <w:bookmarkStart w:id="43" w:name="_Toc6256"/>
      <w:r>
        <w:rPr>
          <w:rFonts w:hint="default" w:ascii="Times New Roman" w:hAnsi="Times New Roman" w:eastAsia="宋体" w:cs="Times New Roman"/>
          <w:b/>
          <w:color w:val="auto"/>
          <w:sz w:val="32"/>
          <w:szCs w:val="32"/>
        </w:rPr>
        <w:t>7、验收监测内容</w:t>
      </w:r>
      <w:bookmarkEnd w:id="43"/>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44" w:name="_Toc14680"/>
      <w:bookmarkStart w:id="45" w:name="_Toc15397"/>
      <w:r>
        <w:rPr>
          <w:rFonts w:hint="default" w:ascii="Times New Roman" w:hAnsi="Times New Roman" w:eastAsia="宋体" w:cs="Times New Roman"/>
          <w:b/>
          <w:sz w:val="28"/>
          <w:szCs w:val="32"/>
        </w:rPr>
        <w:t>7.1环境保护设施调试效果</w:t>
      </w:r>
      <w:bookmarkEnd w:id="44"/>
      <w:bookmarkEnd w:id="45"/>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为核查该工程主要污染源和污染物及环保设施运转情况，确定本次验收主要监测内容为厂界噪声、</w:t>
      </w:r>
      <w:r>
        <w:rPr>
          <w:rFonts w:hint="eastAsia" w:cs="Times New Roman"/>
          <w:color w:val="000000"/>
          <w:sz w:val="24"/>
          <w:szCs w:val="28"/>
          <w:lang w:val="en-US" w:eastAsia="zh-CN"/>
        </w:rPr>
        <w:t>废水、</w:t>
      </w:r>
      <w:r>
        <w:rPr>
          <w:rFonts w:hint="default" w:ascii="Times New Roman" w:hAnsi="Times New Roman" w:eastAsia="宋体" w:cs="Times New Roman"/>
          <w:color w:val="000000"/>
          <w:sz w:val="24"/>
          <w:szCs w:val="28"/>
        </w:rPr>
        <w:t>有组织废气、无组织废气。</w:t>
      </w:r>
    </w:p>
    <w:p>
      <w:pPr>
        <w:pStyle w:val="38"/>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7.1.1废气</w:t>
      </w:r>
    </w:p>
    <w:p>
      <w:pPr>
        <w:pStyle w:val="38"/>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7.1.1.1有组织排放</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该项目产生的有组织废气</w:t>
      </w:r>
      <w:r>
        <w:rPr>
          <w:rFonts w:hint="eastAsia" w:ascii="Times New Roman" w:hAnsi="Times New Roman" w:eastAsia="宋体" w:cs="Times New Roman"/>
          <w:color w:val="000000"/>
          <w:sz w:val="24"/>
          <w:szCs w:val="28"/>
          <w:lang w:val="en-US" w:eastAsia="zh-CN"/>
        </w:rPr>
        <w:t>主要为</w:t>
      </w:r>
      <w:r>
        <w:rPr>
          <w:rFonts w:hint="default" w:ascii="Times New Roman" w:hAnsi="Times New Roman" w:eastAsia="宋体" w:cs="Times New Roman"/>
          <w:color w:val="000000"/>
          <w:sz w:val="24"/>
          <w:szCs w:val="28"/>
          <w:lang w:val="en-US" w:eastAsia="zh-CN"/>
        </w:rPr>
        <w:t>化验中心废气以及污水处理站产生的恶臭</w:t>
      </w:r>
      <w:r>
        <w:rPr>
          <w:rFonts w:hint="default" w:ascii="Times New Roman" w:hAnsi="Times New Roman" w:eastAsia="宋体" w:cs="Times New Roman"/>
          <w:color w:val="000000"/>
          <w:sz w:val="24"/>
          <w:szCs w:val="28"/>
        </w:rPr>
        <w:t>。</w:t>
      </w:r>
      <w:bookmarkStart w:id="46" w:name="_Hlk38723768"/>
    </w:p>
    <w:bookmarkEnd w:id="46"/>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1、监测点位</w:t>
      </w:r>
    </w:p>
    <w:p>
      <w:pPr>
        <w:pStyle w:val="8"/>
        <w:spacing w:after="0" w:line="360" w:lineRule="auto"/>
        <w:ind w:left="0" w:firstLine="480" w:firstLineChars="200"/>
        <w:rPr>
          <w:rFonts w:hint="default" w:ascii="Times New Roman" w:hAnsi="Times New Roman" w:eastAsia="宋体" w:cs="Times New Roman"/>
          <w:color w:val="000000"/>
          <w:sz w:val="24"/>
          <w:szCs w:val="28"/>
          <w:lang w:val="en-US" w:eastAsia="zh-CN"/>
        </w:rPr>
      </w:pPr>
      <w:bookmarkStart w:id="47" w:name="_Toc4253"/>
      <w:bookmarkStart w:id="48" w:name="_Toc27679"/>
      <w:r>
        <w:rPr>
          <w:rFonts w:hint="default" w:ascii="Times New Roman" w:hAnsi="Times New Roman" w:eastAsia="宋体" w:cs="Times New Roman"/>
          <w:color w:val="000000"/>
          <w:sz w:val="24"/>
          <w:szCs w:val="28"/>
          <w:lang w:val="en-US" w:eastAsia="zh-CN"/>
        </w:rPr>
        <w:t>监测点位：根据项目生产情况及环保设施设置情况，在废气排放筒处进出口</w:t>
      </w:r>
      <w:r>
        <w:rPr>
          <w:rFonts w:hint="eastAsia" w:ascii="Times New Roman" w:hAnsi="Times New Roman" w:eastAsia="宋体" w:cs="Times New Roman"/>
          <w:color w:val="000000"/>
          <w:sz w:val="24"/>
          <w:szCs w:val="28"/>
          <w:lang w:val="en-US" w:eastAsia="zh-CN"/>
        </w:rPr>
        <w:t>各</w:t>
      </w:r>
      <w:r>
        <w:rPr>
          <w:rFonts w:hint="default" w:ascii="Times New Roman" w:hAnsi="Times New Roman" w:eastAsia="宋体" w:cs="Times New Roman"/>
          <w:color w:val="000000"/>
          <w:sz w:val="24"/>
          <w:szCs w:val="28"/>
          <w:lang w:val="en-US" w:eastAsia="zh-CN"/>
        </w:rPr>
        <w:t>设置一个监测点位。</w:t>
      </w:r>
      <w:bookmarkEnd w:id="47"/>
      <w:bookmarkEnd w:id="48"/>
    </w:p>
    <w:p>
      <w:pPr>
        <w:pStyle w:val="8"/>
        <w:spacing w:after="0" w:line="360" w:lineRule="auto"/>
        <w:ind w:left="0" w:firstLine="480" w:firstLineChars="200"/>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2、监测时间与频次</w:t>
      </w:r>
    </w:p>
    <w:p>
      <w:pPr>
        <w:keepNext w:val="0"/>
        <w:keepLines w:val="0"/>
        <w:pageBreakBefore w:val="0"/>
        <w:widowControl/>
        <w:kinsoku/>
        <w:wordWrap/>
        <w:overflowPunct/>
        <w:topLinePunct w:val="0"/>
        <w:bidi w:val="0"/>
        <w:spacing w:line="360" w:lineRule="auto"/>
        <w:ind w:firstLine="480" w:firstLineChars="200"/>
        <w:jc w:val="left"/>
        <w:textAlignment w:val="auto"/>
        <w:rPr>
          <w:rFonts w:hint="default" w:ascii="Times New Roman" w:hAnsi="Times New Roman" w:eastAsia="宋体" w:cs="Times New Roman"/>
          <w:sz w:val="24"/>
        </w:rPr>
      </w:pPr>
      <w:bookmarkStart w:id="49" w:name="_Toc25091"/>
      <w:bookmarkStart w:id="50" w:name="_Toc23181"/>
      <w:r>
        <w:rPr>
          <w:rFonts w:hint="eastAsia" w:ascii="Times New Roman" w:hAnsi="Times New Roman" w:eastAsia="宋体" w:cs="Times New Roman"/>
          <w:color w:val="000000"/>
          <w:sz w:val="24"/>
          <w:szCs w:val="28"/>
          <w:lang w:val="en-US" w:eastAsia="zh-CN"/>
        </w:rPr>
        <w:t>正常工况、生产负荷达到75%以上，</w:t>
      </w:r>
      <w:r>
        <w:rPr>
          <w:rFonts w:hint="default" w:ascii="Times New Roman" w:hAnsi="Times New Roman" w:eastAsia="宋体" w:cs="Times New Roman"/>
          <w:color w:val="000000"/>
          <w:sz w:val="24"/>
          <w:szCs w:val="28"/>
          <w:lang w:val="en-US" w:eastAsia="zh-CN"/>
        </w:rPr>
        <w:t>202</w:t>
      </w:r>
      <w:r>
        <w:rPr>
          <w:rFonts w:hint="eastAsia" w:cs="Times New Roman"/>
          <w:color w:val="000000"/>
          <w:sz w:val="24"/>
          <w:szCs w:val="28"/>
          <w:lang w:val="en-US" w:eastAsia="zh-CN"/>
        </w:rPr>
        <w:t>4</w:t>
      </w:r>
      <w:r>
        <w:rPr>
          <w:rFonts w:hint="default" w:ascii="Times New Roman" w:hAnsi="Times New Roman" w:eastAsia="宋体" w:cs="Times New Roman"/>
          <w:color w:val="000000"/>
          <w:sz w:val="24"/>
          <w:szCs w:val="28"/>
          <w:lang w:val="en-US" w:eastAsia="zh-CN"/>
        </w:rPr>
        <w:t>年</w:t>
      </w:r>
      <w:r>
        <w:rPr>
          <w:rFonts w:hint="eastAsia" w:cs="Times New Roman"/>
          <w:color w:val="000000"/>
          <w:sz w:val="24"/>
          <w:szCs w:val="28"/>
          <w:lang w:val="en-US" w:eastAsia="zh-CN"/>
        </w:rPr>
        <w:t>01</w:t>
      </w:r>
      <w:r>
        <w:rPr>
          <w:rFonts w:hint="default" w:ascii="Times New Roman" w:hAnsi="Times New Roman" w:eastAsia="宋体" w:cs="Times New Roman"/>
          <w:color w:val="000000"/>
          <w:sz w:val="24"/>
          <w:szCs w:val="28"/>
          <w:lang w:val="en-US" w:eastAsia="zh-CN"/>
        </w:rPr>
        <w:t>月</w:t>
      </w:r>
      <w:r>
        <w:rPr>
          <w:rFonts w:hint="eastAsia" w:ascii="Times New Roman" w:hAnsi="Times New Roman" w:eastAsia="宋体" w:cs="Times New Roman"/>
          <w:color w:val="000000"/>
          <w:sz w:val="24"/>
          <w:szCs w:val="28"/>
          <w:lang w:val="en-US" w:eastAsia="zh-CN"/>
        </w:rPr>
        <w:t>04</w:t>
      </w:r>
      <w:r>
        <w:rPr>
          <w:rFonts w:hint="default" w:ascii="Times New Roman" w:hAnsi="Times New Roman" w:eastAsia="宋体" w:cs="Times New Roman"/>
          <w:color w:val="000000"/>
          <w:sz w:val="24"/>
          <w:szCs w:val="28"/>
          <w:lang w:val="en-US" w:eastAsia="zh-CN"/>
        </w:rPr>
        <w:t>日、</w:t>
      </w:r>
      <w:r>
        <w:rPr>
          <w:rFonts w:hint="eastAsia" w:cs="Times New Roman"/>
          <w:color w:val="000000"/>
          <w:sz w:val="24"/>
          <w:szCs w:val="28"/>
          <w:lang w:val="en-US" w:eastAsia="zh-CN"/>
        </w:rPr>
        <w:t>01</w:t>
      </w:r>
      <w:r>
        <w:rPr>
          <w:rFonts w:hint="default" w:ascii="Times New Roman" w:hAnsi="Times New Roman" w:eastAsia="宋体" w:cs="Times New Roman"/>
          <w:color w:val="000000"/>
          <w:sz w:val="24"/>
          <w:szCs w:val="28"/>
          <w:lang w:val="en-US" w:eastAsia="zh-CN"/>
        </w:rPr>
        <w:t>月</w:t>
      </w:r>
      <w:r>
        <w:rPr>
          <w:rFonts w:hint="eastAsia" w:ascii="Times New Roman" w:hAnsi="Times New Roman" w:eastAsia="宋体" w:cs="Times New Roman"/>
          <w:color w:val="000000"/>
          <w:sz w:val="24"/>
          <w:szCs w:val="28"/>
          <w:lang w:val="en-US" w:eastAsia="zh-CN"/>
        </w:rPr>
        <w:t>0</w:t>
      </w:r>
      <w:r>
        <w:rPr>
          <w:rFonts w:hint="eastAsia" w:cs="Times New Roman"/>
          <w:color w:val="000000"/>
          <w:sz w:val="24"/>
          <w:szCs w:val="28"/>
          <w:lang w:val="en-US" w:eastAsia="zh-CN"/>
        </w:rPr>
        <w:t>5</w:t>
      </w:r>
      <w:r>
        <w:rPr>
          <w:rFonts w:hint="default" w:ascii="Times New Roman" w:hAnsi="Times New Roman" w:eastAsia="宋体" w:cs="Times New Roman"/>
          <w:color w:val="000000"/>
          <w:sz w:val="24"/>
          <w:szCs w:val="28"/>
          <w:lang w:val="en-US" w:eastAsia="zh-CN"/>
        </w:rPr>
        <w:t>日监测2天，</w:t>
      </w:r>
      <w:r>
        <w:rPr>
          <w:rFonts w:hint="eastAsia" w:ascii="Times New Roman" w:hAnsi="Times New Roman" w:eastAsia="宋体" w:cs="Times New Roman"/>
          <w:color w:val="000000"/>
          <w:sz w:val="24"/>
          <w:szCs w:val="28"/>
          <w:lang w:val="en-US" w:eastAsia="zh-CN"/>
        </w:rPr>
        <w:t>每天采样3次，企业工作制为：</w:t>
      </w:r>
      <w:r>
        <w:rPr>
          <w:rFonts w:hint="default" w:ascii="Times New Roman" w:hAnsi="Times New Roman" w:eastAsia="宋体" w:cs="Times New Roman"/>
          <w:color w:val="000000"/>
          <w:sz w:val="24"/>
          <w:szCs w:val="28"/>
          <w:lang w:val="en-US" w:eastAsia="zh-CN"/>
        </w:rPr>
        <w:t>采用</w:t>
      </w:r>
      <w:r>
        <w:rPr>
          <w:rFonts w:hint="eastAsia" w:ascii="Times New Roman" w:hAnsi="Times New Roman" w:eastAsia="宋体" w:cs="Times New Roman"/>
          <w:color w:val="000000"/>
          <w:sz w:val="24"/>
          <w:szCs w:val="28"/>
          <w:lang w:val="en-US" w:eastAsia="zh-CN"/>
        </w:rPr>
        <w:t>四班三运转</w:t>
      </w:r>
      <w:r>
        <w:rPr>
          <w:rFonts w:hint="default" w:ascii="Times New Roman" w:hAnsi="Times New Roman" w:eastAsia="宋体" w:cs="Times New Roman"/>
          <w:color w:val="000000"/>
          <w:sz w:val="24"/>
          <w:szCs w:val="28"/>
          <w:lang w:val="en-US" w:eastAsia="zh-CN"/>
        </w:rPr>
        <w:t>制，每班工作8小时，年工作</w:t>
      </w:r>
      <w:r>
        <w:rPr>
          <w:rFonts w:hint="eastAsia" w:ascii="Times New Roman" w:hAnsi="Times New Roman" w:eastAsia="宋体" w:cs="Times New Roman"/>
          <w:color w:val="000000"/>
          <w:sz w:val="24"/>
          <w:szCs w:val="28"/>
          <w:lang w:val="en-US" w:eastAsia="zh-CN"/>
        </w:rPr>
        <w:t>7200</w:t>
      </w:r>
      <w:r>
        <w:rPr>
          <w:rFonts w:hint="default" w:ascii="Times New Roman" w:hAnsi="Times New Roman" w:eastAsia="宋体" w:cs="Times New Roman"/>
          <w:color w:val="000000"/>
          <w:sz w:val="24"/>
          <w:szCs w:val="28"/>
          <w:lang w:val="en-US" w:eastAsia="zh-CN"/>
        </w:rPr>
        <w:t>小时</w:t>
      </w:r>
      <w:r>
        <w:rPr>
          <w:rFonts w:hint="eastAsia" w:cs="Times New Roman"/>
          <w:color w:val="000000"/>
          <w:sz w:val="24"/>
          <w:szCs w:val="28"/>
          <w:lang w:val="en-US" w:eastAsia="zh-CN"/>
        </w:rPr>
        <w:t>，</w:t>
      </w:r>
      <w:r>
        <w:rPr>
          <w:rFonts w:hint="eastAsia" w:ascii="Times New Roman" w:hAnsi="Times New Roman" w:eastAsia="宋体" w:cs="Times New Roman"/>
          <w:color w:val="000000"/>
          <w:sz w:val="24"/>
          <w:szCs w:val="24"/>
          <w:lang w:val="en-US" w:eastAsia="zh-CN"/>
        </w:rPr>
        <w:t>其中化验中心年工作时间为100h</w:t>
      </w:r>
      <w:r>
        <w:rPr>
          <w:rFonts w:hint="default" w:ascii="Times New Roman" w:hAnsi="Times New Roman" w:eastAsia="宋体" w:cs="Times New Roman"/>
          <w:sz w:val="24"/>
          <w:lang w:val="en-US" w:eastAsia="zh-CN"/>
        </w:rPr>
        <w:t>。</w:t>
      </w:r>
    </w:p>
    <w:bookmarkEnd w:id="49"/>
    <w:bookmarkEnd w:id="50"/>
    <w:p>
      <w:pPr>
        <w:pStyle w:val="38"/>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7.1.1.2无组织废气监测</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该项目产生的无组织废气污染物主要为</w:t>
      </w:r>
      <w:r>
        <w:rPr>
          <w:rFonts w:hint="default" w:ascii="Times New Roman" w:hAnsi="Times New Roman" w:eastAsia="宋体" w:cs="Times New Roman"/>
          <w:color w:val="000000"/>
          <w:sz w:val="24"/>
          <w:szCs w:val="28"/>
          <w:lang w:val="en-US" w:eastAsia="zh-CN"/>
        </w:rPr>
        <w:t>注射剂生产车间配制废气、化验中心废气以及污水处理站产生的恶臭</w:t>
      </w:r>
      <w:r>
        <w:rPr>
          <w:rFonts w:hint="default" w:ascii="Times New Roman" w:hAnsi="Times New Roman" w:eastAsia="宋体" w:cs="Times New Roman"/>
          <w:color w:val="000000"/>
          <w:sz w:val="24"/>
          <w:szCs w:val="28"/>
        </w:rPr>
        <w:t>。</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1、监测点位</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根据监测期间气象条件设定，厂界上风向设置1个参照点，下风向3个监测点，项目厂界废气监测点位布置图7-1。</w:t>
      </w:r>
    </w:p>
    <w:p>
      <w:pPr>
        <w:pStyle w:val="8"/>
        <w:spacing w:after="0" w:line="360" w:lineRule="auto"/>
        <w:jc w:val="center"/>
        <w:rPr>
          <w:rFonts w:hint="eastAsia" w:ascii="Times New Roman" w:hAnsi="Times New Roman" w:eastAsia="宋体" w:cs="Times New Roman"/>
          <w:color w:val="000000"/>
          <w:sz w:val="24"/>
          <w:szCs w:val="28"/>
          <w:lang w:eastAsia="zh-CN"/>
        </w:rPr>
      </w:pPr>
      <w:r>
        <w:rPr>
          <w:rFonts w:hint="eastAsia" w:ascii="Times New Roman" w:hAnsi="Times New Roman" w:eastAsia="宋体" w:cs="Times New Roman"/>
          <w:color w:val="000000"/>
          <w:sz w:val="24"/>
          <w:szCs w:val="28"/>
          <w:lang w:eastAsia="zh-CN"/>
        </w:rPr>
        <w:drawing>
          <wp:inline distT="0" distB="0" distL="114300" distR="114300">
            <wp:extent cx="4181475" cy="2000250"/>
            <wp:effectExtent l="0" t="0" r="9525" b="0"/>
            <wp:docPr id="5" name="图片 5" descr="170536924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705369247392"/>
                    <pic:cNvPicPr>
                      <a:picLocks noChangeAspect="1"/>
                    </pic:cNvPicPr>
                  </pic:nvPicPr>
                  <pic:blipFill>
                    <a:blip r:embed="rId50"/>
                    <a:stretch>
                      <a:fillRect/>
                    </a:stretch>
                  </pic:blipFill>
                  <pic:spPr>
                    <a:xfrm>
                      <a:off x="0" y="0"/>
                      <a:ext cx="4181475" cy="2000250"/>
                    </a:xfrm>
                    <a:prstGeom prst="rect">
                      <a:avLst/>
                    </a:prstGeom>
                  </pic:spPr>
                </pic:pic>
              </a:graphicData>
            </a:graphic>
          </wp:inline>
        </w:drawing>
      </w:r>
    </w:p>
    <w:p>
      <w:pPr>
        <w:widowControl/>
        <w:jc w:val="center"/>
        <w:rPr>
          <w:rFonts w:hint="default" w:ascii="Times New Roman" w:hAnsi="Times New Roman" w:eastAsia="宋体" w:cs="Times New Roman"/>
          <w:color w:val="000000"/>
          <w:sz w:val="24"/>
          <w:szCs w:val="28"/>
        </w:rPr>
      </w:pPr>
      <w:r>
        <w:rPr>
          <w:rFonts w:hint="default" w:ascii="Times New Roman" w:hAnsi="Times New Roman" w:eastAsia="宋体" w:cs="Times New Roman"/>
        </w:rPr>
        <w:drawing>
          <wp:anchor distT="0" distB="0" distL="114300" distR="114300" simplePos="0" relativeHeight="251659264" behindDoc="0" locked="0" layoutInCell="1" allowOverlap="1">
            <wp:simplePos x="0" y="0"/>
            <wp:positionH relativeFrom="column">
              <wp:posOffset>3916045</wp:posOffset>
            </wp:positionH>
            <wp:positionV relativeFrom="paragraph">
              <wp:posOffset>4638675</wp:posOffset>
            </wp:positionV>
            <wp:extent cx="1171575" cy="171450"/>
            <wp:effectExtent l="0" t="0" r="0"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1171575" cy="171450"/>
                    </a:xfrm>
                    <a:prstGeom prst="rect">
                      <a:avLst/>
                    </a:prstGeom>
                  </pic:spPr>
                </pic:pic>
              </a:graphicData>
            </a:graphic>
          </wp:anchor>
        </w:drawing>
      </w:r>
      <w:r>
        <w:rPr>
          <w:rFonts w:hint="default" w:ascii="Times New Roman" w:hAnsi="Times New Roman" w:eastAsia="宋体" w:cs="Times New Roman"/>
          <w:color w:val="000000"/>
          <w:sz w:val="24"/>
          <w:szCs w:val="28"/>
        </w:rPr>
        <mc:AlternateContent>
          <mc:Choice Requires="wps">
            <w:drawing>
              <wp:anchor distT="0" distB="0" distL="114300" distR="114300" simplePos="0" relativeHeight="251660288" behindDoc="0" locked="0" layoutInCell="1" allowOverlap="1">
                <wp:simplePos x="0" y="0"/>
                <wp:positionH relativeFrom="margin">
                  <wp:posOffset>245745</wp:posOffset>
                </wp:positionH>
                <wp:positionV relativeFrom="paragraph">
                  <wp:posOffset>104775</wp:posOffset>
                </wp:positionV>
                <wp:extent cx="4658995" cy="352425"/>
                <wp:effectExtent l="0" t="0" r="0" b="0"/>
                <wp:wrapNone/>
                <wp:docPr id="2" name="矩形 95"/>
                <wp:cNvGraphicFramePr/>
                <a:graphic xmlns:a="http://schemas.openxmlformats.org/drawingml/2006/main">
                  <a:graphicData uri="http://schemas.microsoft.com/office/word/2010/wordprocessingShape">
                    <wps:wsp>
                      <wps:cNvSpPr/>
                      <wps:spPr>
                        <a:xfrm>
                          <a:off x="0" y="0"/>
                          <a:ext cx="4658995" cy="352425"/>
                        </a:xfrm>
                        <a:prstGeom prst="rect">
                          <a:avLst/>
                        </a:prstGeom>
                        <a:noFill/>
                        <a:ln>
                          <a:noFill/>
                        </a:ln>
                      </wps:spPr>
                      <wps:txbx>
                        <w:txbxContent>
                          <w:p>
                            <w:pPr>
                              <w:jc w:val="center"/>
                            </w:pPr>
                            <w:r>
                              <w:rPr>
                                <w:rFonts w:ascii="Times New Roman" w:hAnsi="Times New Roman" w:eastAsia="宋体" w:cs="Times New Roman"/>
                                <w:b/>
                                <w:sz w:val="22"/>
                                <w:szCs w:val="24"/>
                              </w:rPr>
                              <w:t>图</w:t>
                            </w:r>
                            <w:r>
                              <w:rPr>
                                <w:rFonts w:hint="eastAsia" w:ascii="Times New Roman" w:hAnsi="Times New Roman" w:eastAsia="宋体" w:cs="Times New Roman"/>
                                <w:b/>
                                <w:sz w:val="22"/>
                                <w:szCs w:val="24"/>
                              </w:rPr>
                              <w:t>7</w:t>
                            </w:r>
                            <w:r>
                              <w:rPr>
                                <w:rFonts w:ascii="Times New Roman" w:hAnsi="Times New Roman" w:eastAsia="宋体" w:cs="Times New Roman"/>
                                <w:b/>
                                <w:sz w:val="22"/>
                                <w:szCs w:val="24"/>
                              </w:rPr>
                              <w:t>-1</w:t>
                            </w:r>
                            <w:r>
                              <w:rPr>
                                <w:rFonts w:hint="eastAsia" w:ascii="Times New Roman" w:hAnsi="Times New Roman" w:eastAsia="宋体" w:cs="Times New Roman"/>
                                <w:b/>
                                <w:sz w:val="22"/>
                                <w:szCs w:val="24"/>
                              </w:rPr>
                              <w:t xml:space="preserve">  </w:t>
                            </w:r>
                            <w:r>
                              <w:rPr>
                                <w:rFonts w:ascii="Times New Roman" w:hAnsi="Times New Roman" w:eastAsia="宋体" w:cs="Times New Roman"/>
                                <w:b/>
                                <w:sz w:val="22"/>
                                <w:szCs w:val="24"/>
                              </w:rPr>
                              <w:t>无组织废气监测布点示意图</w:t>
                            </w:r>
                          </w:p>
                        </w:txbxContent>
                      </wps:txbx>
                      <wps:bodyPr upright="1"/>
                    </wps:wsp>
                  </a:graphicData>
                </a:graphic>
              </wp:anchor>
            </w:drawing>
          </mc:Choice>
          <mc:Fallback>
            <w:pict>
              <v:rect id="矩形 95" o:spid="_x0000_s1026" o:spt="1" style="position:absolute;left:0pt;margin-left:19.35pt;margin-top:8.25pt;height:27.75pt;width:366.85pt;mso-position-horizontal-relative:margin;z-index:251660288;mso-width-relative:page;mso-height-relative:page;" filled="f" stroked="f" coordsize="21600,21600" o:gfxdata="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JFD+ftkAAAAIAQAADwAA&#10;AAAAAAABACAAAAAiAAAAZHJzL2Rvd25yZXYueG1sUEsBAhQAFAAAAAgAh07iQNdCUIyjAQAAQgMA&#10;AA4AAAAAAAAAAQAgAAAAKAEAAGRycy9lMm9Eb2MueG1sUEsFBgAAAAAGAAYAWQEAAD0FAAAAAA==&#10;">
                <v:fill on="f" focussize="0,0"/>
                <v:stroke on="f"/>
                <v:imagedata o:title=""/>
                <o:lock v:ext="edit" aspectratio="f"/>
                <v:textbox>
                  <w:txbxContent>
                    <w:p>
                      <w:pPr>
                        <w:jc w:val="center"/>
                      </w:pPr>
                      <w:r>
                        <w:rPr>
                          <w:rFonts w:ascii="Times New Roman" w:hAnsi="Times New Roman" w:eastAsia="宋体" w:cs="Times New Roman"/>
                          <w:b/>
                          <w:sz w:val="22"/>
                          <w:szCs w:val="24"/>
                        </w:rPr>
                        <w:t>图</w:t>
                      </w:r>
                      <w:r>
                        <w:rPr>
                          <w:rFonts w:hint="eastAsia" w:ascii="Times New Roman" w:hAnsi="Times New Roman" w:eastAsia="宋体" w:cs="Times New Roman"/>
                          <w:b/>
                          <w:sz w:val="22"/>
                          <w:szCs w:val="24"/>
                        </w:rPr>
                        <w:t>7</w:t>
                      </w:r>
                      <w:r>
                        <w:rPr>
                          <w:rFonts w:ascii="Times New Roman" w:hAnsi="Times New Roman" w:eastAsia="宋体" w:cs="Times New Roman"/>
                          <w:b/>
                          <w:sz w:val="22"/>
                          <w:szCs w:val="24"/>
                        </w:rPr>
                        <w:t>-1</w:t>
                      </w:r>
                      <w:r>
                        <w:rPr>
                          <w:rFonts w:hint="eastAsia" w:ascii="Times New Roman" w:hAnsi="Times New Roman" w:eastAsia="宋体" w:cs="Times New Roman"/>
                          <w:b/>
                          <w:sz w:val="22"/>
                          <w:szCs w:val="24"/>
                        </w:rPr>
                        <w:t xml:space="preserve">  </w:t>
                      </w:r>
                      <w:r>
                        <w:rPr>
                          <w:rFonts w:ascii="Times New Roman" w:hAnsi="Times New Roman" w:eastAsia="宋体" w:cs="Times New Roman"/>
                          <w:b/>
                          <w:sz w:val="22"/>
                          <w:szCs w:val="24"/>
                        </w:rPr>
                        <w:t>无组织废气监测布点示意图</w:t>
                      </w:r>
                    </w:p>
                  </w:txbxContent>
                </v:textbox>
              </v:rect>
            </w:pict>
          </mc:Fallback>
        </mc:AlternateContent>
      </w:r>
    </w:p>
    <w:p>
      <w:pPr>
        <w:widowControl/>
        <w:jc w:val="center"/>
        <w:rPr>
          <w:rFonts w:hint="default" w:ascii="Times New Roman" w:hAnsi="Times New Roman" w:eastAsia="宋体" w:cs="Times New Roman"/>
          <w:color w:val="000000"/>
          <w:sz w:val="24"/>
          <w:szCs w:val="28"/>
        </w:rPr>
      </w:pPr>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eastAsia" w:ascii="Times New Roman" w:hAnsi="Times New Roman" w:eastAsia="宋体" w:cs="Times New Roman"/>
          <w:color w:val="000000"/>
          <w:kern w:val="2"/>
          <w:sz w:val="24"/>
          <w:szCs w:val="28"/>
          <w:lang w:val="en-US" w:eastAsia="zh-CN" w:bidi="ar-SA"/>
        </w:rPr>
        <w:t>2</w:t>
      </w:r>
      <w:r>
        <w:rPr>
          <w:rFonts w:hint="default" w:ascii="Times New Roman" w:hAnsi="Times New Roman" w:eastAsia="宋体" w:cs="Times New Roman"/>
          <w:color w:val="000000"/>
          <w:kern w:val="2"/>
          <w:sz w:val="24"/>
          <w:szCs w:val="28"/>
          <w:lang w:val="en-US" w:eastAsia="zh-CN" w:bidi="ar-SA"/>
        </w:rPr>
        <w:t>、监测时间与频次</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kern w:val="2"/>
          <w:sz w:val="24"/>
          <w:szCs w:val="28"/>
          <w:lang w:val="en-US" w:eastAsia="zh-CN" w:bidi="ar-SA"/>
        </w:rPr>
        <w:t>202</w:t>
      </w:r>
      <w:r>
        <w:rPr>
          <w:rFonts w:hint="eastAsia" w:cs="Times New Roman"/>
          <w:color w:val="000000"/>
          <w:kern w:val="2"/>
          <w:sz w:val="24"/>
          <w:szCs w:val="28"/>
          <w:lang w:val="en-US" w:eastAsia="zh-CN" w:bidi="ar-SA"/>
        </w:rPr>
        <w:t>4</w:t>
      </w:r>
      <w:r>
        <w:rPr>
          <w:rFonts w:hint="default" w:ascii="Times New Roman" w:hAnsi="Times New Roman" w:eastAsia="宋体" w:cs="Times New Roman"/>
          <w:color w:val="000000"/>
          <w:kern w:val="2"/>
          <w:sz w:val="24"/>
          <w:szCs w:val="28"/>
          <w:lang w:val="en-US" w:eastAsia="zh-CN" w:bidi="ar-SA"/>
        </w:rPr>
        <w:t>年</w:t>
      </w:r>
      <w:r>
        <w:rPr>
          <w:rFonts w:hint="eastAsia" w:cs="Times New Roman"/>
          <w:color w:val="000000"/>
          <w:kern w:val="2"/>
          <w:sz w:val="24"/>
          <w:szCs w:val="28"/>
          <w:lang w:val="en-US" w:eastAsia="zh-CN" w:bidi="ar-SA"/>
        </w:rPr>
        <w:t>0</w:t>
      </w:r>
      <w:r>
        <w:rPr>
          <w:rFonts w:hint="eastAsia" w:ascii="Times New Roman" w:hAnsi="Times New Roman" w:eastAsia="宋体" w:cs="Times New Roman"/>
          <w:color w:val="000000"/>
          <w:kern w:val="2"/>
          <w:sz w:val="24"/>
          <w:szCs w:val="28"/>
          <w:lang w:val="en-US" w:eastAsia="zh-CN" w:bidi="ar-SA"/>
        </w:rPr>
        <w:t>1</w:t>
      </w:r>
      <w:r>
        <w:rPr>
          <w:rFonts w:hint="default" w:ascii="Times New Roman" w:hAnsi="Times New Roman" w:eastAsia="宋体" w:cs="Times New Roman"/>
          <w:color w:val="000000"/>
          <w:kern w:val="2"/>
          <w:sz w:val="24"/>
          <w:szCs w:val="28"/>
          <w:lang w:val="en-US" w:eastAsia="zh-CN" w:bidi="ar-SA"/>
        </w:rPr>
        <w:t>月</w:t>
      </w:r>
      <w:r>
        <w:rPr>
          <w:rFonts w:hint="eastAsia" w:ascii="Times New Roman" w:hAnsi="Times New Roman" w:eastAsia="宋体" w:cs="Times New Roman"/>
          <w:color w:val="000000"/>
          <w:kern w:val="2"/>
          <w:sz w:val="24"/>
          <w:szCs w:val="28"/>
          <w:lang w:val="en-US" w:eastAsia="zh-CN" w:bidi="ar-SA"/>
        </w:rPr>
        <w:t>0</w:t>
      </w:r>
      <w:r>
        <w:rPr>
          <w:rFonts w:hint="eastAsia" w:cs="Times New Roman"/>
          <w:color w:val="000000"/>
          <w:kern w:val="2"/>
          <w:sz w:val="24"/>
          <w:szCs w:val="28"/>
          <w:lang w:val="en-US" w:eastAsia="zh-CN" w:bidi="ar-SA"/>
        </w:rPr>
        <w:t>4</w:t>
      </w:r>
      <w:r>
        <w:rPr>
          <w:rFonts w:hint="default" w:ascii="Times New Roman" w:hAnsi="Times New Roman" w:eastAsia="宋体" w:cs="Times New Roman"/>
          <w:color w:val="000000"/>
          <w:kern w:val="2"/>
          <w:sz w:val="24"/>
          <w:szCs w:val="28"/>
          <w:lang w:val="en-US" w:eastAsia="zh-CN" w:bidi="ar-SA"/>
        </w:rPr>
        <w:t>日、</w:t>
      </w:r>
      <w:r>
        <w:rPr>
          <w:rFonts w:hint="eastAsia" w:cs="Times New Roman"/>
          <w:color w:val="000000"/>
          <w:kern w:val="2"/>
          <w:sz w:val="24"/>
          <w:szCs w:val="28"/>
          <w:lang w:val="en-US" w:eastAsia="zh-CN" w:bidi="ar-SA"/>
        </w:rPr>
        <w:t>0</w:t>
      </w:r>
      <w:r>
        <w:rPr>
          <w:rFonts w:hint="eastAsia" w:ascii="Times New Roman" w:hAnsi="Times New Roman" w:eastAsia="宋体" w:cs="Times New Roman"/>
          <w:color w:val="000000"/>
          <w:kern w:val="2"/>
          <w:sz w:val="24"/>
          <w:szCs w:val="28"/>
          <w:lang w:val="en-US" w:eastAsia="zh-CN" w:bidi="ar-SA"/>
        </w:rPr>
        <w:t>1</w:t>
      </w:r>
      <w:r>
        <w:rPr>
          <w:rFonts w:hint="default" w:ascii="Times New Roman" w:hAnsi="Times New Roman" w:eastAsia="宋体" w:cs="Times New Roman"/>
          <w:color w:val="000000"/>
          <w:kern w:val="2"/>
          <w:sz w:val="24"/>
          <w:szCs w:val="28"/>
          <w:lang w:val="en-US" w:eastAsia="zh-CN" w:bidi="ar-SA"/>
        </w:rPr>
        <w:t>月</w:t>
      </w:r>
      <w:r>
        <w:rPr>
          <w:rFonts w:hint="eastAsia" w:ascii="Times New Roman" w:hAnsi="Times New Roman" w:eastAsia="宋体" w:cs="Times New Roman"/>
          <w:color w:val="000000"/>
          <w:kern w:val="2"/>
          <w:sz w:val="24"/>
          <w:szCs w:val="28"/>
          <w:lang w:val="en-US" w:eastAsia="zh-CN" w:bidi="ar-SA"/>
        </w:rPr>
        <w:t>0</w:t>
      </w:r>
      <w:r>
        <w:rPr>
          <w:rFonts w:hint="eastAsia" w:cs="Times New Roman"/>
          <w:color w:val="000000"/>
          <w:kern w:val="2"/>
          <w:sz w:val="24"/>
          <w:szCs w:val="28"/>
          <w:lang w:val="en-US" w:eastAsia="zh-CN" w:bidi="ar-SA"/>
        </w:rPr>
        <w:t>5</w:t>
      </w:r>
      <w:r>
        <w:rPr>
          <w:rFonts w:hint="default" w:ascii="Times New Roman" w:hAnsi="Times New Roman" w:eastAsia="宋体" w:cs="Times New Roman"/>
          <w:color w:val="000000"/>
          <w:kern w:val="2"/>
          <w:sz w:val="24"/>
          <w:szCs w:val="28"/>
          <w:lang w:val="en-US" w:eastAsia="zh-CN" w:bidi="ar-SA"/>
        </w:rPr>
        <w:t>日监测2天，</w:t>
      </w:r>
      <w:r>
        <w:rPr>
          <w:rFonts w:hint="eastAsia" w:ascii="Times New Roman" w:hAnsi="Times New Roman" w:eastAsia="宋体" w:cs="Times New Roman"/>
          <w:color w:val="000000"/>
          <w:sz w:val="24"/>
          <w:szCs w:val="28"/>
          <w:lang w:val="en-US" w:eastAsia="zh-CN"/>
        </w:rPr>
        <w:t>无组织废气</w:t>
      </w:r>
      <w:r>
        <w:rPr>
          <w:rFonts w:hint="default" w:ascii="Times New Roman" w:hAnsi="Times New Roman" w:eastAsia="宋体" w:cs="Times New Roman"/>
          <w:color w:val="000000"/>
          <w:sz w:val="24"/>
          <w:szCs w:val="28"/>
          <w:lang w:val="en-US" w:eastAsia="zh-CN"/>
        </w:rPr>
        <w:t>各监测</w:t>
      </w:r>
      <w:r>
        <w:rPr>
          <w:rFonts w:hint="eastAsia" w:cs="Times New Roman"/>
          <w:color w:val="000000"/>
          <w:sz w:val="24"/>
          <w:szCs w:val="28"/>
          <w:lang w:val="en-US" w:eastAsia="zh-CN"/>
        </w:rPr>
        <w:t>3</w:t>
      </w:r>
      <w:r>
        <w:rPr>
          <w:rFonts w:hint="default" w:ascii="Times New Roman" w:hAnsi="Times New Roman" w:eastAsia="宋体" w:cs="Times New Roman"/>
          <w:color w:val="000000"/>
          <w:sz w:val="24"/>
          <w:szCs w:val="28"/>
          <w:lang w:val="en-US" w:eastAsia="zh-CN"/>
        </w:rPr>
        <w:t>次</w:t>
      </w:r>
      <w:r>
        <w:rPr>
          <w:rFonts w:hint="default" w:ascii="Times New Roman" w:hAnsi="Times New Roman" w:eastAsia="宋体" w:cs="Times New Roman"/>
          <w:color w:val="000000"/>
          <w:sz w:val="24"/>
          <w:szCs w:val="28"/>
        </w:rPr>
        <w:t>。</w:t>
      </w:r>
    </w:p>
    <w:p>
      <w:pPr>
        <w:pStyle w:val="38"/>
        <w:spacing w:line="360" w:lineRule="auto"/>
        <w:ind w:firstLine="0" w:firstLineChars="0"/>
        <w:jc w:val="left"/>
        <w:rPr>
          <w:rFonts w:hint="default" w:ascii="Times New Roman" w:hAnsi="Times New Roman" w:eastAsia="宋体" w:cs="Times New Roman"/>
          <w:b/>
          <w:sz w:val="24"/>
          <w:szCs w:val="32"/>
        </w:rPr>
      </w:pPr>
      <w:r>
        <w:rPr>
          <w:rFonts w:hint="eastAsia" w:ascii="Times New Roman" w:hAnsi="Times New Roman" w:eastAsia="宋体" w:cs="Times New Roman"/>
          <w:b/>
          <w:sz w:val="24"/>
          <w:szCs w:val="32"/>
          <w:lang w:val="en-US" w:eastAsia="zh-CN"/>
        </w:rPr>
        <w:t>7.1.1.3</w:t>
      </w:r>
      <w:r>
        <w:rPr>
          <w:rFonts w:hint="default" w:ascii="Times New Roman" w:hAnsi="Times New Roman" w:eastAsia="宋体" w:cs="Times New Roman"/>
          <w:b/>
          <w:sz w:val="24"/>
          <w:szCs w:val="32"/>
        </w:rPr>
        <w:t>监测技术规范及监测方法</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eastAsia" w:cs="Times New Roman"/>
          <w:color w:val="000000"/>
          <w:sz w:val="24"/>
          <w:szCs w:val="28"/>
          <w:lang w:val="en-US" w:eastAsia="zh-CN"/>
        </w:rPr>
        <w:t>1、</w:t>
      </w:r>
      <w:r>
        <w:rPr>
          <w:rFonts w:hint="default" w:ascii="Times New Roman" w:hAnsi="Times New Roman" w:eastAsia="宋体" w:cs="Times New Roman"/>
          <w:color w:val="000000"/>
          <w:sz w:val="24"/>
          <w:szCs w:val="28"/>
        </w:rPr>
        <w:t>监测技术规范及方法</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表7</w:t>
      </w:r>
      <w:r>
        <w:rPr>
          <w:rFonts w:hint="eastAsia" w:ascii="Times New Roman" w:hAnsi="Times New Roman" w:eastAsia="宋体" w:cs="Times New Roman"/>
          <w:b/>
          <w:sz w:val="21"/>
          <w:szCs w:val="21"/>
          <w:lang w:val="en-US" w:eastAsia="zh-CN"/>
        </w:rPr>
        <w:t>-1</w:t>
      </w:r>
      <w:r>
        <w:rPr>
          <w:rFonts w:hint="default" w:ascii="Times New Roman" w:hAnsi="Times New Roman" w:eastAsia="宋体" w:cs="Times New Roman"/>
          <w:b/>
          <w:sz w:val="21"/>
          <w:szCs w:val="21"/>
          <w:lang w:val="en-US" w:eastAsia="zh-CN"/>
        </w:rPr>
        <w:t xml:space="preserve">  监测项目、方法一览表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3"/>
        <w:gridCol w:w="1341"/>
        <w:gridCol w:w="1755"/>
        <w:gridCol w:w="3557"/>
        <w:gridCol w:w="12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序号</w:t>
            </w:r>
          </w:p>
        </w:tc>
        <w:tc>
          <w:tcPr>
            <w:tcW w:w="7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color w:val="000000"/>
                <w:sz w:val="21"/>
                <w:szCs w:val="21"/>
                <w:lang w:bidi="ar"/>
              </w:rPr>
              <w:t>检测项目</w:t>
            </w:r>
          </w:p>
        </w:tc>
        <w:tc>
          <w:tcPr>
            <w:tcW w:w="10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color w:val="000000"/>
                <w:sz w:val="21"/>
                <w:szCs w:val="21"/>
                <w:lang w:bidi="ar"/>
              </w:rPr>
              <w:t>标准代号</w:t>
            </w:r>
          </w:p>
        </w:tc>
        <w:tc>
          <w:tcPr>
            <w:tcW w:w="20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color w:val="000000"/>
                <w:sz w:val="21"/>
                <w:szCs w:val="21"/>
                <w:lang w:val="en-US" w:eastAsia="zh-CN" w:bidi="ar"/>
              </w:rPr>
              <w:t>标准名称</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color w:val="000000"/>
                <w:sz w:val="21"/>
                <w:szCs w:val="21"/>
                <w:lang w:bidi="ar"/>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5" w:type="pct"/>
            <w:gridSpan w:val="2"/>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检测项目</w:t>
            </w:r>
          </w:p>
        </w:tc>
        <w:tc>
          <w:tcPr>
            <w:tcW w:w="3864"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有组织废气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7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color w:val="auto"/>
                <w:sz w:val="21"/>
                <w:szCs w:val="21"/>
                <w:lang w:bidi="ar"/>
              </w:rPr>
              <w:t>氨</w:t>
            </w:r>
          </w:p>
        </w:tc>
        <w:tc>
          <w:tcPr>
            <w:tcW w:w="10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bidi="ar"/>
              </w:rPr>
              <w:t>HJ 533-2009</w:t>
            </w:r>
          </w:p>
        </w:tc>
        <w:tc>
          <w:tcPr>
            <w:tcW w:w="20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bidi="ar"/>
              </w:rPr>
              <w:t>环境空气和废气  氨的测定  纳氏试剂分光光度法</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bidi="ar"/>
              </w:rPr>
              <w:t>0.01mg/m</w:t>
            </w:r>
            <w:r>
              <w:rPr>
                <w:rFonts w:hint="default" w:ascii="Times New Roman" w:hAnsi="Times New Roman" w:eastAsia="宋体" w:cs="Times New Roman"/>
                <w:color w:val="auto"/>
                <w:sz w:val="21"/>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7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bidi="ar"/>
              </w:rPr>
              <w:t>硫化氢</w:t>
            </w:r>
          </w:p>
        </w:tc>
        <w:tc>
          <w:tcPr>
            <w:tcW w:w="10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bidi="ar"/>
              </w:rPr>
              <w:t>国家环境保护总局（2003年）（第四版增补版）</w:t>
            </w:r>
          </w:p>
        </w:tc>
        <w:tc>
          <w:tcPr>
            <w:tcW w:w="20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bidi="ar"/>
              </w:rPr>
              <w:t>空气和废气监测分析方法第五篇第四章十（三）亚甲基蓝分光光度法</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bidi="ar"/>
              </w:rPr>
              <w:t>0.001mg/m</w:t>
            </w:r>
            <w:r>
              <w:rPr>
                <w:rFonts w:hint="default" w:ascii="Times New Roman" w:hAnsi="Times New Roman" w:eastAsia="宋体" w:cs="Times New Roman"/>
                <w:color w:val="auto"/>
                <w:sz w:val="21"/>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7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臭气浓度</w:t>
            </w:r>
          </w:p>
        </w:tc>
        <w:tc>
          <w:tcPr>
            <w:tcW w:w="10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HJ 1262-2022</w:t>
            </w:r>
          </w:p>
        </w:tc>
        <w:tc>
          <w:tcPr>
            <w:tcW w:w="20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环境空气和废气 臭气的测定  三点比较式臭袋法</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10（无量纲）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7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VOCs(以非甲烷总烃计）</w:t>
            </w:r>
          </w:p>
        </w:tc>
        <w:tc>
          <w:tcPr>
            <w:tcW w:w="1030"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 xml:space="preserve">HJ </w:t>
            </w:r>
            <w:r>
              <w:rPr>
                <w:rFonts w:hint="default" w:ascii="Times New Roman" w:hAnsi="Times New Roman" w:eastAsia="宋体" w:cs="Times New Roman"/>
                <w:sz w:val="21"/>
                <w:szCs w:val="21"/>
                <w:lang w:val="en-US" w:eastAsia="zh-CN"/>
              </w:rPr>
              <w:t>38</w:t>
            </w:r>
            <w:r>
              <w:rPr>
                <w:rFonts w:hint="default" w:ascii="Times New Roman" w:hAnsi="Times New Roman" w:eastAsia="宋体" w:cs="Times New Roman"/>
                <w:sz w:val="21"/>
                <w:szCs w:val="21"/>
              </w:rPr>
              <w:t>-2017</w:t>
            </w:r>
          </w:p>
        </w:tc>
        <w:tc>
          <w:tcPr>
            <w:tcW w:w="2087"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固定污染源废气 总烃、甲烷和非甲烷总烃的测定 气相色谱法</w:t>
            </w:r>
          </w:p>
        </w:tc>
        <w:tc>
          <w:tcPr>
            <w:tcW w:w="747"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0.07</w:t>
            </w:r>
            <w:r>
              <w:rPr>
                <w:rFonts w:hint="default" w:ascii="Times New Roman" w:hAnsi="Times New Roman" w:eastAsia="宋体" w:cs="Times New Roman"/>
                <w:sz w:val="21"/>
                <w:szCs w:val="21"/>
              </w:rPr>
              <w:t xml:space="preserve"> mg/m</w:t>
            </w:r>
            <w:r>
              <w:rPr>
                <w:rFonts w:hint="default" w:ascii="Times New Roman" w:hAnsi="Times New Roman" w:eastAsia="宋体" w:cs="Times New Roman"/>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5" w:type="pct"/>
            <w:gridSpan w:val="2"/>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检测项目</w:t>
            </w:r>
          </w:p>
        </w:tc>
        <w:tc>
          <w:tcPr>
            <w:tcW w:w="3864" w:type="pct"/>
            <w:gridSpan w:val="3"/>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无组织废气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w:t>
            </w:r>
          </w:p>
        </w:tc>
        <w:tc>
          <w:tcPr>
            <w:tcW w:w="7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VOCs(以非甲烷总烃计）</w:t>
            </w:r>
          </w:p>
        </w:tc>
        <w:tc>
          <w:tcPr>
            <w:tcW w:w="1030"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 xml:space="preserve">HJ </w:t>
            </w:r>
            <w:r>
              <w:rPr>
                <w:rFonts w:hint="default" w:ascii="Times New Roman" w:hAnsi="Times New Roman" w:eastAsia="宋体" w:cs="Times New Roman"/>
                <w:color w:val="auto"/>
                <w:sz w:val="21"/>
                <w:szCs w:val="21"/>
                <w:lang w:val="en-US" w:eastAsia="zh-CN"/>
              </w:rPr>
              <w:t>604</w:t>
            </w:r>
            <w:r>
              <w:rPr>
                <w:rFonts w:hint="default" w:ascii="Times New Roman" w:hAnsi="Times New Roman" w:eastAsia="宋体" w:cs="Times New Roman"/>
                <w:color w:val="auto"/>
                <w:sz w:val="21"/>
                <w:szCs w:val="21"/>
              </w:rPr>
              <w:t>-2017</w:t>
            </w:r>
          </w:p>
        </w:tc>
        <w:tc>
          <w:tcPr>
            <w:tcW w:w="2087"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环境空气 总烃、甲烷和非甲烷总烃的测定 直接进样-气相色谱法</w:t>
            </w:r>
          </w:p>
        </w:tc>
        <w:tc>
          <w:tcPr>
            <w:tcW w:w="747"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07</w:t>
            </w:r>
            <w:r>
              <w:rPr>
                <w:rFonts w:hint="default" w:ascii="Times New Roman" w:hAnsi="Times New Roman" w:eastAsia="宋体" w:cs="Times New Roman"/>
                <w:color w:val="auto"/>
                <w:sz w:val="21"/>
                <w:szCs w:val="21"/>
              </w:rPr>
              <w:t xml:space="preserve"> mg/m</w:t>
            </w:r>
            <w:r>
              <w:rPr>
                <w:rFonts w:hint="default" w:ascii="Times New Roman" w:hAnsi="Times New Roman" w:eastAsia="宋体" w:cs="Times New Roman"/>
                <w:color w:val="auto"/>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7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硫化氢</w:t>
            </w:r>
          </w:p>
        </w:tc>
        <w:tc>
          <w:tcPr>
            <w:tcW w:w="10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国家环境保护总局（2003年）（第四版增补版）</w:t>
            </w:r>
          </w:p>
        </w:tc>
        <w:tc>
          <w:tcPr>
            <w:tcW w:w="20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空气和废气监测分析方法 第三篇第一章十一（二）亚甲基蓝分光光度法</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0.001mg/m</w:t>
            </w:r>
            <w:r>
              <w:rPr>
                <w:rFonts w:hint="default" w:ascii="Times New Roman" w:hAnsi="Times New Roman" w:eastAsia="宋体" w:cs="Times New Roman"/>
                <w:color w:val="auto"/>
                <w:sz w:val="21"/>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7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bidi="ar"/>
              </w:rPr>
              <w:t>臭气浓度</w:t>
            </w:r>
          </w:p>
        </w:tc>
        <w:tc>
          <w:tcPr>
            <w:tcW w:w="10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HJ 1262-2022</w:t>
            </w:r>
          </w:p>
        </w:tc>
        <w:tc>
          <w:tcPr>
            <w:tcW w:w="20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环境空气和废气 臭气的测定  三点比较式臭袋法</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10（无量纲）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7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氨</w:t>
            </w:r>
          </w:p>
        </w:tc>
        <w:tc>
          <w:tcPr>
            <w:tcW w:w="103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HJ 533-2009</w:t>
            </w:r>
          </w:p>
        </w:tc>
        <w:tc>
          <w:tcPr>
            <w:tcW w:w="208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环境空气和废气  氨的测定  纳氏试剂分光光度法</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0.</w:t>
            </w:r>
            <w:r>
              <w:rPr>
                <w:rFonts w:hint="default" w:ascii="Times New Roman" w:hAnsi="Times New Roman" w:eastAsia="宋体" w:cs="Times New Roman"/>
                <w:color w:val="auto"/>
                <w:sz w:val="21"/>
                <w:szCs w:val="21"/>
                <w:lang w:val="en-US" w:eastAsia="zh-CN" w:bidi="ar"/>
              </w:rPr>
              <w:t>01</w:t>
            </w:r>
            <w:r>
              <w:rPr>
                <w:rFonts w:hint="default" w:ascii="Times New Roman" w:hAnsi="Times New Roman" w:eastAsia="宋体" w:cs="Times New Roman"/>
                <w:color w:val="auto"/>
                <w:sz w:val="21"/>
                <w:szCs w:val="21"/>
                <w:lang w:bidi="ar"/>
              </w:rPr>
              <w:t>mg/m</w:t>
            </w:r>
            <w:r>
              <w:rPr>
                <w:rFonts w:hint="default" w:ascii="Times New Roman" w:hAnsi="Times New Roman" w:eastAsia="宋体" w:cs="Times New Roman"/>
                <w:color w:val="auto"/>
                <w:sz w:val="21"/>
                <w:szCs w:val="21"/>
                <w:vertAlign w:val="superscript"/>
                <w:lang w:bidi="ar"/>
              </w:rPr>
              <w:t>3</w:t>
            </w:r>
          </w:p>
        </w:tc>
      </w:tr>
    </w:tbl>
    <w:p>
      <w:pPr>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jc w:val="both"/>
        <w:textAlignment w:val="auto"/>
        <w:rPr>
          <w:rFonts w:hint="default" w:ascii="Times New Roman" w:hAnsi="Times New Roman" w:eastAsia="宋体" w:cs="Times New Roman"/>
          <w:color w:val="000000"/>
          <w:kern w:val="2"/>
          <w:sz w:val="24"/>
          <w:szCs w:val="28"/>
          <w:lang w:val="en-US" w:eastAsia="zh-CN" w:bidi="ar-SA"/>
        </w:rPr>
      </w:pPr>
      <w:r>
        <w:rPr>
          <w:rFonts w:hint="eastAsia" w:ascii="Times New Roman" w:hAnsi="Times New Roman" w:eastAsia="宋体" w:cs="Times New Roman"/>
          <w:color w:val="000000"/>
          <w:kern w:val="2"/>
          <w:sz w:val="24"/>
          <w:szCs w:val="28"/>
          <w:lang w:val="en-US" w:eastAsia="zh-CN" w:bidi="ar-SA"/>
        </w:rPr>
        <w:t>2</w:t>
      </w:r>
      <w:r>
        <w:rPr>
          <w:rFonts w:hint="default" w:ascii="Times New Roman" w:hAnsi="Times New Roman" w:eastAsia="宋体" w:cs="Times New Roman"/>
          <w:color w:val="000000"/>
          <w:kern w:val="2"/>
          <w:sz w:val="24"/>
          <w:szCs w:val="28"/>
          <w:lang w:val="en-US" w:eastAsia="zh-CN" w:bidi="ar-SA"/>
        </w:rPr>
        <w:t>、监测期间</w:t>
      </w:r>
      <w:r>
        <w:rPr>
          <w:rFonts w:hint="eastAsia" w:ascii="Times New Roman" w:hAnsi="Times New Roman" w:eastAsia="宋体" w:cs="Times New Roman"/>
          <w:color w:val="000000"/>
          <w:kern w:val="2"/>
          <w:sz w:val="24"/>
          <w:szCs w:val="28"/>
          <w:lang w:val="en-US" w:eastAsia="zh-CN" w:bidi="ar-SA"/>
        </w:rPr>
        <w:t>主要检测设备</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表</w:t>
      </w:r>
      <w:r>
        <w:rPr>
          <w:rFonts w:hint="eastAsia" w:ascii="Times New Roman" w:hAnsi="Times New Roman" w:eastAsia="宋体" w:cs="Times New Roman"/>
          <w:b/>
          <w:sz w:val="21"/>
          <w:szCs w:val="21"/>
          <w:lang w:val="en-US" w:eastAsia="zh-CN"/>
        </w:rPr>
        <w:t>7-2  主要检测设备一览表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20"/>
        <w:gridCol w:w="1566"/>
        <w:gridCol w:w="2238"/>
        <w:gridCol w:w="1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71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设备名称</w:t>
            </w:r>
          </w:p>
        </w:tc>
        <w:tc>
          <w:tcPr>
            <w:tcW w:w="919"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设备型号</w:t>
            </w:r>
          </w:p>
        </w:tc>
        <w:tc>
          <w:tcPr>
            <w:tcW w:w="131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设备编号</w:t>
            </w:r>
          </w:p>
        </w:tc>
        <w:tc>
          <w:tcPr>
            <w:tcW w:w="105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仪器溯源有效期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电子天平（十万分之一）</w:t>
            </w:r>
          </w:p>
        </w:tc>
        <w:tc>
          <w:tcPr>
            <w:tcW w:w="919"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PX125DZH</w:t>
            </w:r>
          </w:p>
        </w:tc>
        <w:tc>
          <w:tcPr>
            <w:tcW w:w="131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highlight w:val="yellow"/>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SDHC-YQ001-2022</w:t>
            </w:r>
          </w:p>
        </w:tc>
        <w:tc>
          <w:tcPr>
            <w:tcW w:w="105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低浓度称量恒温恒湿设备</w:t>
            </w:r>
          </w:p>
        </w:tc>
        <w:tc>
          <w:tcPr>
            <w:tcW w:w="919"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HW-5500</w:t>
            </w:r>
          </w:p>
        </w:tc>
        <w:tc>
          <w:tcPr>
            <w:tcW w:w="131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SDHC-YQ012-2022</w:t>
            </w:r>
          </w:p>
        </w:tc>
        <w:tc>
          <w:tcPr>
            <w:tcW w:w="105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val="en-US" w:eastAsia="zh-CN" w:bidi="ar"/>
              </w:rPr>
              <w:t>无嗅空气净化装置（臭气浓度）</w:t>
            </w:r>
          </w:p>
        </w:tc>
        <w:tc>
          <w:tcPr>
            <w:tcW w:w="919"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val="en-US" w:eastAsia="zh-CN" w:bidi="ar"/>
              </w:rPr>
              <w:t>/</w:t>
            </w:r>
          </w:p>
        </w:tc>
        <w:tc>
          <w:tcPr>
            <w:tcW w:w="131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val="en-US" w:eastAsia="zh-CN" w:bidi="ar"/>
              </w:rPr>
              <w:t>SDHC-YQ026-2022</w:t>
            </w:r>
          </w:p>
        </w:tc>
        <w:tc>
          <w:tcPr>
            <w:tcW w:w="105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恒温恒流大气/颗粒物采样器</w:t>
            </w:r>
          </w:p>
        </w:tc>
        <w:tc>
          <w:tcPr>
            <w:tcW w:w="919"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MH1205</w:t>
            </w:r>
          </w:p>
        </w:tc>
        <w:tc>
          <w:tcPr>
            <w:tcW w:w="131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SDHC-YQ057-2022</w:t>
            </w:r>
          </w:p>
        </w:tc>
        <w:tc>
          <w:tcPr>
            <w:tcW w:w="105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恒温恒流大气/颗粒物采样器</w:t>
            </w:r>
          </w:p>
        </w:tc>
        <w:tc>
          <w:tcPr>
            <w:tcW w:w="919"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MH1205</w:t>
            </w:r>
          </w:p>
        </w:tc>
        <w:tc>
          <w:tcPr>
            <w:tcW w:w="131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SDHC-YQ058-2022</w:t>
            </w:r>
          </w:p>
        </w:tc>
        <w:tc>
          <w:tcPr>
            <w:tcW w:w="105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恒温恒流大气/颗粒物采样器</w:t>
            </w:r>
          </w:p>
        </w:tc>
        <w:tc>
          <w:tcPr>
            <w:tcW w:w="919"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MH1205</w:t>
            </w:r>
          </w:p>
        </w:tc>
        <w:tc>
          <w:tcPr>
            <w:tcW w:w="131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SDHC-YQ059-2022</w:t>
            </w:r>
          </w:p>
        </w:tc>
        <w:tc>
          <w:tcPr>
            <w:tcW w:w="105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恒温恒流大气/颗粒物采样器</w:t>
            </w:r>
          </w:p>
        </w:tc>
        <w:tc>
          <w:tcPr>
            <w:tcW w:w="919"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MH1205</w:t>
            </w:r>
          </w:p>
        </w:tc>
        <w:tc>
          <w:tcPr>
            <w:tcW w:w="131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SDHC-YQ060-2022</w:t>
            </w:r>
          </w:p>
        </w:tc>
        <w:tc>
          <w:tcPr>
            <w:tcW w:w="105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大流量烟尘（气）测试仪</w:t>
            </w:r>
          </w:p>
        </w:tc>
        <w:tc>
          <w:tcPr>
            <w:tcW w:w="919"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YQ3000-D</w:t>
            </w:r>
          </w:p>
        </w:tc>
        <w:tc>
          <w:tcPr>
            <w:tcW w:w="131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SDHC-YQ095-2022</w:t>
            </w:r>
          </w:p>
        </w:tc>
        <w:tc>
          <w:tcPr>
            <w:tcW w:w="105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2024.12.16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空盒气压表</w:t>
            </w:r>
          </w:p>
        </w:tc>
        <w:tc>
          <w:tcPr>
            <w:tcW w:w="919"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DYM</w:t>
            </w:r>
            <w:r>
              <w:rPr>
                <w:rFonts w:hint="default" w:ascii="Times New Roman" w:hAnsi="Times New Roman" w:eastAsia="宋体" w:cs="Times New Roman"/>
                <w:color w:val="auto"/>
                <w:sz w:val="21"/>
                <w:szCs w:val="21"/>
                <w:u w:val="none"/>
                <w:vertAlign w:val="subscript"/>
                <w:lang w:val="en-US" w:eastAsia="zh-CN" w:bidi="ar"/>
              </w:rPr>
              <w:t>3</w:t>
            </w:r>
          </w:p>
        </w:tc>
        <w:tc>
          <w:tcPr>
            <w:tcW w:w="131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SDHC-YQ043-2022</w:t>
            </w:r>
          </w:p>
        </w:tc>
        <w:tc>
          <w:tcPr>
            <w:tcW w:w="105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指针式温湿度计</w:t>
            </w:r>
          </w:p>
        </w:tc>
        <w:tc>
          <w:tcPr>
            <w:tcW w:w="919"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WS-A1</w:t>
            </w:r>
          </w:p>
        </w:tc>
        <w:tc>
          <w:tcPr>
            <w:tcW w:w="131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SDHC-YQ033-2022</w:t>
            </w:r>
          </w:p>
        </w:tc>
        <w:tc>
          <w:tcPr>
            <w:tcW w:w="105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便携式风向风速仪</w:t>
            </w:r>
          </w:p>
        </w:tc>
        <w:tc>
          <w:tcPr>
            <w:tcW w:w="919"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16026</w:t>
            </w:r>
          </w:p>
        </w:tc>
        <w:tc>
          <w:tcPr>
            <w:tcW w:w="131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SDHC-YQ044-2022</w:t>
            </w:r>
          </w:p>
        </w:tc>
        <w:tc>
          <w:tcPr>
            <w:tcW w:w="105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污染源真空采样器</w:t>
            </w:r>
          </w:p>
        </w:tc>
        <w:tc>
          <w:tcPr>
            <w:tcW w:w="919"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31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SDHC-YQ071-2022</w:t>
            </w:r>
          </w:p>
        </w:tc>
        <w:tc>
          <w:tcPr>
            <w:tcW w:w="1053" w:type="pct"/>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全自动烟气采样器</w:t>
            </w:r>
          </w:p>
        </w:tc>
        <w:tc>
          <w:tcPr>
            <w:tcW w:w="919"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MH3001</w:t>
            </w:r>
          </w:p>
        </w:tc>
        <w:tc>
          <w:tcPr>
            <w:tcW w:w="131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SDHC-YQ094-2022</w:t>
            </w:r>
          </w:p>
        </w:tc>
        <w:tc>
          <w:tcPr>
            <w:tcW w:w="105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2024.12.16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全自动烟气采样器</w:t>
            </w:r>
          </w:p>
        </w:tc>
        <w:tc>
          <w:tcPr>
            <w:tcW w:w="919"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MH3001</w:t>
            </w:r>
          </w:p>
        </w:tc>
        <w:tc>
          <w:tcPr>
            <w:tcW w:w="131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SDHC-YQ062-2022</w:t>
            </w:r>
          </w:p>
        </w:tc>
        <w:tc>
          <w:tcPr>
            <w:tcW w:w="1053" w:type="pct"/>
            <w:noWrap w:val="0"/>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2024.05.12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便携式PH计</w:t>
            </w:r>
          </w:p>
        </w:tc>
        <w:tc>
          <w:tcPr>
            <w:tcW w:w="919"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PHBJ-260</w:t>
            </w:r>
          </w:p>
        </w:tc>
        <w:tc>
          <w:tcPr>
            <w:tcW w:w="131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SDHC-YQ045-2022</w:t>
            </w:r>
          </w:p>
        </w:tc>
        <w:tc>
          <w:tcPr>
            <w:tcW w:w="105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COD恒温加热器</w:t>
            </w:r>
          </w:p>
        </w:tc>
        <w:tc>
          <w:tcPr>
            <w:tcW w:w="919"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JC-101</w:t>
            </w:r>
          </w:p>
        </w:tc>
        <w:tc>
          <w:tcPr>
            <w:tcW w:w="131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SDHC-YQ015-2022</w:t>
            </w:r>
          </w:p>
        </w:tc>
        <w:tc>
          <w:tcPr>
            <w:tcW w:w="105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紫外可见分光光度计</w:t>
            </w:r>
          </w:p>
        </w:tc>
        <w:tc>
          <w:tcPr>
            <w:tcW w:w="919"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UV752</w:t>
            </w:r>
          </w:p>
        </w:tc>
        <w:tc>
          <w:tcPr>
            <w:tcW w:w="131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SDHC-YQ010-2022</w:t>
            </w:r>
          </w:p>
        </w:tc>
        <w:tc>
          <w:tcPr>
            <w:tcW w:w="105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手提式蒸汽灭菌器</w:t>
            </w:r>
          </w:p>
        </w:tc>
        <w:tc>
          <w:tcPr>
            <w:tcW w:w="919"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DSX-18-1</w:t>
            </w:r>
          </w:p>
        </w:tc>
        <w:tc>
          <w:tcPr>
            <w:tcW w:w="131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SDHC-YQ016-2022</w:t>
            </w:r>
          </w:p>
        </w:tc>
        <w:tc>
          <w:tcPr>
            <w:tcW w:w="1053" w:type="pct"/>
            <w:noWrap w:val="0"/>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双光束紫外分光光度计</w:t>
            </w:r>
          </w:p>
        </w:tc>
        <w:tc>
          <w:tcPr>
            <w:tcW w:w="919"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TUV1900</w:t>
            </w:r>
          </w:p>
        </w:tc>
        <w:tc>
          <w:tcPr>
            <w:tcW w:w="131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SDHC-YQ011-2022</w:t>
            </w:r>
          </w:p>
        </w:tc>
        <w:tc>
          <w:tcPr>
            <w:tcW w:w="105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电子天平（万分之一）</w:t>
            </w:r>
          </w:p>
        </w:tc>
        <w:tc>
          <w:tcPr>
            <w:tcW w:w="919"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PX224ZH/E</w:t>
            </w:r>
          </w:p>
        </w:tc>
        <w:tc>
          <w:tcPr>
            <w:tcW w:w="131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SDHC-YQ002-2022</w:t>
            </w:r>
          </w:p>
        </w:tc>
        <w:tc>
          <w:tcPr>
            <w:tcW w:w="105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氟离子计</w:t>
            </w:r>
          </w:p>
        </w:tc>
        <w:tc>
          <w:tcPr>
            <w:tcW w:w="919"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PXSJ-270F</w:t>
            </w:r>
          </w:p>
        </w:tc>
        <w:tc>
          <w:tcPr>
            <w:tcW w:w="131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SDHC-YQ019-2022</w:t>
            </w:r>
          </w:p>
        </w:tc>
        <w:tc>
          <w:tcPr>
            <w:tcW w:w="1053"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71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生化培养箱</w:t>
            </w:r>
          </w:p>
        </w:tc>
        <w:tc>
          <w:tcPr>
            <w:tcW w:w="919"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SPX-250BIII</w:t>
            </w:r>
          </w:p>
        </w:tc>
        <w:tc>
          <w:tcPr>
            <w:tcW w:w="1313" w:type="pct"/>
            <w:vAlign w:val="center"/>
          </w:tcPr>
          <w:p>
            <w:pPr>
              <w:keepNext w:val="0"/>
              <w:keepLines w:val="0"/>
              <w:pageBreakBefore w:val="0"/>
              <w:widowControl/>
              <w:kinsoku/>
              <w:wordWrap/>
              <w:overflowPunct/>
              <w:topLinePunct w:val="0"/>
              <w:autoSpaceDE/>
              <w:autoSpaceDN/>
              <w:bidi w:val="0"/>
              <w:adjustRightInd/>
              <w:snapToGrid/>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SDHC-YQ004-2022</w:t>
            </w:r>
          </w:p>
        </w:tc>
        <w:tc>
          <w:tcPr>
            <w:tcW w:w="1053" w:type="pct"/>
            <w:vAlign w:val="center"/>
          </w:tcPr>
          <w:p>
            <w:pPr>
              <w:keepNext w:val="0"/>
              <w:keepLines w:val="0"/>
              <w:pageBreakBefore w:val="0"/>
              <w:kinsoku/>
              <w:wordWrap/>
              <w:overflowPunct/>
              <w:topLinePunct w:val="0"/>
              <w:autoSpaceDE/>
              <w:autoSpaceDN/>
              <w:bidi w:val="0"/>
              <w:adjustRightInd/>
              <w:snapToGrid/>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2024.06.13</w:t>
            </w:r>
          </w:p>
        </w:tc>
      </w:tr>
    </w:tbl>
    <w:p>
      <w:pPr>
        <w:pStyle w:val="8"/>
        <w:keepNext w:val="0"/>
        <w:keepLines w:val="0"/>
        <w:pageBreakBefore w:val="0"/>
        <w:widowControl w:val="0"/>
        <w:kinsoku/>
        <w:wordWrap/>
        <w:overflowPunct/>
        <w:topLinePunct w:val="0"/>
        <w:autoSpaceDE/>
        <w:autoSpaceDN/>
        <w:bidi w:val="0"/>
        <w:adjustRightInd/>
        <w:snapToGrid/>
        <w:spacing w:after="0" w:line="360" w:lineRule="auto"/>
        <w:ind w:left="0" w:firstLine="480" w:firstLineChars="200"/>
        <w:textAlignment w:val="auto"/>
        <w:rPr>
          <w:rFonts w:hint="default" w:ascii="Times New Roman" w:hAnsi="Times New Roman" w:eastAsia="宋体" w:cs="Times New Roman"/>
          <w:color w:val="000000"/>
          <w:sz w:val="24"/>
          <w:szCs w:val="28"/>
        </w:rPr>
      </w:pPr>
      <w:r>
        <w:rPr>
          <w:rFonts w:hint="eastAsia" w:cs="Times New Roman"/>
          <w:color w:val="000000"/>
          <w:sz w:val="24"/>
          <w:szCs w:val="28"/>
          <w:lang w:val="en-US" w:eastAsia="zh-CN"/>
        </w:rPr>
        <w:t>3</w:t>
      </w:r>
      <w:r>
        <w:rPr>
          <w:rFonts w:hint="default" w:ascii="Times New Roman" w:hAnsi="Times New Roman" w:eastAsia="宋体" w:cs="Times New Roman"/>
          <w:color w:val="000000"/>
          <w:sz w:val="24"/>
          <w:szCs w:val="28"/>
        </w:rPr>
        <w:t>、监测期间气象参数汇总</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表7-</w:t>
      </w:r>
      <w:r>
        <w:rPr>
          <w:rFonts w:hint="eastAsia" w:cs="Times New Roman"/>
          <w:b/>
          <w:sz w:val="21"/>
          <w:szCs w:val="21"/>
          <w:lang w:val="en-US" w:eastAsia="zh-CN"/>
        </w:rPr>
        <w:t>3</w:t>
      </w:r>
      <w:r>
        <w:rPr>
          <w:rFonts w:hint="default" w:ascii="Times New Roman" w:hAnsi="Times New Roman" w:eastAsia="宋体" w:cs="Times New Roman"/>
          <w:b/>
          <w:sz w:val="21"/>
          <w:szCs w:val="21"/>
          <w:lang w:val="en-US" w:eastAsia="zh-CN"/>
        </w:rPr>
        <w:t xml:space="preserve">  监测期间气象参数汇总</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810"/>
        <w:gridCol w:w="865"/>
        <w:gridCol w:w="1163"/>
        <w:gridCol w:w="988"/>
        <w:gridCol w:w="671"/>
        <w:gridCol w:w="641"/>
        <w:gridCol w:w="656"/>
        <w:gridCol w:w="656"/>
        <w:gridCol w:w="9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jc w:val="center"/>
        </w:trPr>
        <w:tc>
          <w:tcPr>
            <w:tcW w:w="68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采样日期</w:t>
            </w:r>
          </w:p>
        </w:tc>
        <w:tc>
          <w:tcPr>
            <w:tcW w:w="59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采样时间</w:t>
            </w:r>
          </w:p>
        </w:tc>
        <w:tc>
          <w:tcPr>
            <w:tcW w:w="40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温</w:t>
            </w:r>
            <w:r>
              <w:rPr>
                <w:rFonts w:hint="default" w:ascii="Times New Roman" w:hAnsi="Times New Roman" w:eastAsia="宋体" w:cs="Times New Roman"/>
                <w:b/>
                <w:bCs/>
                <w:color w:val="auto"/>
                <w:sz w:val="21"/>
                <w:szCs w:val="21"/>
                <w:lang w:val="en-US" w:eastAsia="zh-CN"/>
              </w:rPr>
              <w:t>度</w:t>
            </w:r>
            <w:r>
              <w:rPr>
                <w:rFonts w:hint="default" w:ascii="Times New Roman" w:hAnsi="Times New Roman" w:eastAsia="宋体" w:cs="Times New Roman"/>
                <w:b/>
                <w:bCs/>
                <w:color w:val="auto"/>
                <w:sz w:val="21"/>
                <w:szCs w:val="21"/>
              </w:rPr>
              <w:t>（℃）</w:t>
            </w:r>
          </w:p>
        </w:tc>
        <w:tc>
          <w:tcPr>
            <w:tcW w:w="5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湿度（%</w:t>
            </w:r>
            <w:r>
              <w:rPr>
                <w:rFonts w:hint="default" w:ascii="Times New Roman" w:hAnsi="Times New Roman" w:eastAsia="宋体" w:cs="Times New Roman"/>
                <w:b/>
                <w:bCs/>
                <w:color w:val="auto"/>
                <w:sz w:val="21"/>
                <w:szCs w:val="21"/>
                <w:lang w:val="en-US" w:eastAsia="zh-CN"/>
              </w:rPr>
              <w:t>RH</w:t>
            </w:r>
            <w:r>
              <w:rPr>
                <w:rFonts w:hint="default" w:ascii="Times New Roman" w:hAnsi="Times New Roman" w:eastAsia="宋体" w:cs="Times New Roman"/>
                <w:b/>
                <w:bCs/>
                <w:color w:val="auto"/>
                <w:sz w:val="21"/>
                <w:szCs w:val="21"/>
              </w:rPr>
              <w:t>）</w:t>
            </w:r>
          </w:p>
        </w:tc>
        <w:tc>
          <w:tcPr>
            <w:tcW w:w="41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气压（kPa）</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风速(m/s)</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风向</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总云</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低云</w:t>
            </w:r>
          </w:p>
        </w:tc>
        <w:tc>
          <w:tcPr>
            <w:tcW w:w="59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天气状况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blHeader/>
          <w:jc w:val="center"/>
        </w:trPr>
        <w:tc>
          <w:tcPr>
            <w:tcW w:w="683" w:type="pct"/>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tabs>
                <w:tab w:val="left" w:pos="7020"/>
              </w:tabs>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2024.01.04</w:t>
            </w:r>
          </w:p>
        </w:tc>
        <w:tc>
          <w:tcPr>
            <w:tcW w:w="59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10:15</w:t>
            </w:r>
          </w:p>
        </w:tc>
        <w:tc>
          <w:tcPr>
            <w:tcW w:w="40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4.2</w:t>
            </w:r>
          </w:p>
        </w:tc>
        <w:tc>
          <w:tcPr>
            <w:tcW w:w="5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64</w:t>
            </w:r>
          </w:p>
        </w:tc>
        <w:tc>
          <w:tcPr>
            <w:tcW w:w="41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101.4</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0.8</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59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blHeader/>
          <w:jc w:val="center"/>
        </w:trPr>
        <w:tc>
          <w:tcPr>
            <w:tcW w:w="683" w:type="pct"/>
            <w:vMerge w:val="continue"/>
            <w:tcBorders>
              <w:left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59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11:40</w:t>
            </w:r>
          </w:p>
        </w:tc>
        <w:tc>
          <w:tcPr>
            <w:tcW w:w="40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4.9</w:t>
            </w:r>
          </w:p>
        </w:tc>
        <w:tc>
          <w:tcPr>
            <w:tcW w:w="5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64</w:t>
            </w:r>
          </w:p>
        </w:tc>
        <w:tc>
          <w:tcPr>
            <w:tcW w:w="41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101.4</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0.7</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59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blHeader/>
          <w:jc w:val="center"/>
        </w:trPr>
        <w:tc>
          <w:tcPr>
            <w:tcW w:w="683" w:type="pct"/>
            <w:vMerge w:val="continue"/>
            <w:tcBorders>
              <w:left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59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14:00</w:t>
            </w:r>
          </w:p>
        </w:tc>
        <w:tc>
          <w:tcPr>
            <w:tcW w:w="40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6.1</w:t>
            </w:r>
          </w:p>
        </w:tc>
        <w:tc>
          <w:tcPr>
            <w:tcW w:w="5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63</w:t>
            </w:r>
          </w:p>
        </w:tc>
        <w:tc>
          <w:tcPr>
            <w:tcW w:w="41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101.3</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0.8</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S</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w:t>
            </w:r>
          </w:p>
        </w:tc>
        <w:tc>
          <w:tcPr>
            <w:tcW w:w="59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blHeader/>
          <w:jc w:val="center"/>
        </w:trPr>
        <w:tc>
          <w:tcPr>
            <w:tcW w:w="683" w:type="pct"/>
            <w:vMerge w:val="restart"/>
            <w:tcBorders>
              <w:left w:val="single" w:color="auto" w:sz="4" w:space="0"/>
              <w:right w:val="single" w:color="auto" w:sz="4" w:space="0"/>
            </w:tcBorders>
            <w:noWrap w:val="0"/>
            <w:vAlign w:val="center"/>
          </w:tcPr>
          <w:p>
            <w:pPr>
              <w:keepNext w:val="0"/>
              <w:keepLines w:val="0"/>
              <w:pageBreakBefore w:val="0"/>
              <w:widowControl w:val="0"/>
              <w:tabs>
                <w:tab w:val="left" w:pos="7020"/>
              </w:tabs>
              <w:kinsoku/>
              <w:wordWrap/>
              <w:overflowPunct/>
              <w:topLinePunct w:val="0"/>
              <w:autoSpaceDE/>
              <w:autoSpaceDN/>
              <w:bidi w:val="0"/>
              <w:spacing w:after="0"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2024.01.05</w:t>
            </w:r>
          </w:p>
        </w:tc>
        <w:tc>
          <w:tcPr>
            <w:tcW w:w="59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09:30</w:t>
            </w:r>
          </w:p>
        </w:tc>
        <w:tc>
          <w:tcPr>
            <w:tcW w:w="40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4.2</w:t>
            </w:r>
          </w:p>
        </w:tc>
        <w:tc>
          <w:tcPr>
            <w:tcW w:w="5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60</w:t>
            </w:r>
          </w:p>
        </w:tc>
        <w:tc>
          <w:tcPr>
            <w:tcW w:w="41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101.9</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0.8</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S</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59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blHeader/>
          <w:jc w:val="center"/>
        </w:trPr>
        <w:tc>
          <w:tcPr>
            <w:tcW w:w="683" w:type="pct"/>
            <w:vMerge w:val="continue"/>
            <w:tcBorders>
              <w:left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59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11:00</w:t>
            </w:r>
          </w:p>
        </w:tc>
        <w:tc>
          <w:tcPr>
            <w:tcW w:w="40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w:t>
            </w:r>
          </w:p>
        </w:tc>
        <w:tc>
          <w:tcPr>
            <w:tcW w:w="5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57</w:t>
            </w:r>
          </w:p>
        </w:tc>
        <w:tc>
          <w:tcPr>
            <w:tcW w:w="41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101.8</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0.6</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S</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0</w:t>
            </w:r>
          </w:p>
        </w:tc>
        <w:tc>
          <w:tcPr>
            <w:tcW w:w="59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blHeader/>
          <w:jc w:val="center"/>
        </w:trPr>
        <w:tc>
          <w:tcPr>
            <w:tcW w:w="683" w:type="pct"/>
            <w:vMerge w:val="continue"/>
            <w:tcBorders>
              <w:left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rPr>
            </w:pPr>
          </w:p>
        </w:tc>
        <w:tc>
          <w:tcPr>
            <w:tcW w:w="59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12:35</w:t>
            </w:r>
          </w:p>
        </w:tc>
        <w:tc>
          <w:tcPr>
            <w:tcW w:w="40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tabs>
                <w:tab w:val="right" w:pos="9258"/>
              </w:tabs>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6.8</w:t>
            </w:r>
          </w:p>
        </w:tc>
        <w:tc>
          <w:tcPr>
            <w:tcW w:w="5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57</w:t>
            </w:r>
          </w:p>
        </w:tc>
        <w:tc>
          <w:tcPr>
            <w:tcW w:w="41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101.8</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0.6</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S</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3</w:t>
            </w:r>
          </w:p>
        </w:tc>
        <w:tc>
          <w:tcPr>
            <w:tcW w:w="44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w:t>
            </w:r>
          </w:p>
        </w:tc>
        <w:tc>
          <w:tcPr>
            <w:tcW w:w="59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晴</w:t>
            </w:r>
          </w:p>
        </w:tc>
      </w:tr>
    </w:tbl>
    <w:p>
      <w:pPr>
        <w:pStyle w:val="38"/>
        <w:spacing w:before="240"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7.1.2噪声监测</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1、监测点位</w:t>
      </w:r>
    </w:p>
    <w:p>
      <w:pPr>
        <w:pStyle w:val="8"/>
        <w:spacing w:after="0" w:line="360" w:lineRule="auto"/>
        <w:ind w:left="0" w:firstLine="480" w:firstLineChars="200"/>
        <w:rPr>
          <w:rFonts w:hint="default" w:ascii="Times New Roman" w:hAnsi="Times New Roman" w:eastAsia="宋体" w:cs="Times New Roman"/>
          <w:sz w:val="24"/>
          <w:szCs w:val="28"/>
        </w:rPr>
      </w:pPr>
      <w:r>
        <w:rPr>
          <w:rFonts w:hint="default" w:ascii="Times New Roman" w:hAnsi="Times New Roman" w:eastAsia="宋体" w:cs="Times New Roman"/>
          <w:sz w:val="24"/>
          <w:szCs w:val="28"/>
        </w:rPr>
        <w:t>在项目区厂界最大噪声处各布设4个厂界噪声监测点位，监测点位图见图7-2。</w:t>
      </w:r>
    </w:p>
    <w:p>
      <w:pPr>
        <w:widowControl/>
        <w:jc w:val="center"/>
        <w:rPr>
          <w:rFonts w:hint="eastAsia" w:ascii="Times New Roman" w:hAnsi="Times New Roman" w:eastAsia="宋体" w:cs="Times New Roman"/>
          <w:kern w:val="0"/>
          <w:sz w:val="24"/>
          <w:szCs w:val="24"/>
          <w:lang w:eastAsia="zh-CN"/>
        </w:rPr>
      </w:pPr>
      <w:r>
        <w:rPr>
          <w:rFonts w:hint="eastAsia" w:ascii="Times New Roman" w:hAnsi="Times New Roman" w:eastAsia="宋体" w:cs="Times New Roman"/>
          <w:kern w:val="0"/>
          <w:sz w:val="24"/>
          <w:szCs w:val="24"/>
          <w:lang w:eastAsia="zh-CN"/>
        </w:rPr>
        <w:drawing>
          <wp:inline distT="0" distB="0" distL="114300" distR="114300">
            <wp:extent cx="3990975" cy="2190750"/>
            <wp:effectExtent l="0" t="0" r="9525" b="0"/>
            <wp:docPr id="6" name="图片 6" descr="170536958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705369585399"/>
                    <pic:cNvPicPr>
                      <a:picLocks noChangeAspect="1"/>
                    </pic:cNvPicPr>
                  </pic:nvPicPr>
                  <pic:blipFill>
                    <a:blip r:embed="rId52"/>
                    <a:stretch>
                      <a:fillRect/>
                    </a:stretch>
                  </pic:blipFill>
                  <pic:spPr>
                    <a:xfrm>
                      <a:off x="0" y="0"/>
                      <a:ext cx="3990975" cy="2190750"/>
                    </a:xfrm>
                    <a:prstGeom prst="rect">
                      <a:avLst/>
                    </a:prstGeom>
                  </pic:spPr>
                </pic:pic>
              </a:graphicData>
            </a:graphic>
          </wp:inline>
        </w:drawing>
      </w:r>
    </w:p>
    <w:p>
      <w:pPr>
        <w:jc w:val="center"/>
        <w:rPr>
          <w:rFonts w:ascii="Times New Roman" w:hAnsi="Times New Roman" w:eastAsia="宋体" w:cs="Times New Roman"/>
          <w:b/>
          <w:sz w:val="22"/>
          <w:szCs w:val="24"/>
        </w:rPr>
      </w:pPr>
      <w:r>
        <w:rPr>
          <w:rFonts w:ascii="Times New Roman" w:hAnsi="Times New Roman" w:eastAsia="宋体" w:cs="Times New Roman"/>
          <w:b/>
          <w:sz w:val="22"/>
          <w:szCs w:val="24"/>
        </w:rPr>
        <w:t>图</w:t>
      </w:r>
      <w:r>
        <w:rPr>
          <w:rFonts w:hint="eastAsia" w:ascii="Times New Roman" w:hAnsi="Times New Roman" w:eastAsia="宋体" w:cs="Times New Roman"/>
          <w:b/>
          <w:sz w:val="22"/>
          <w:szCs w:val="24"/>
        </w:rPr>
        <w:t>7</w:t>
      </w:r>
      <w:r>
        <w:rPr>
          <w:rFonts w:ascii="Times New Roman" w:hAnsi="Times New Roman" w:eastAsia="宋体" w:cs="Times New Roman"/>
          <w:b/>
          <w:sz w:val="22"/>
          <w:szCs w:val="24"/>
        </w:rPr>
        <w:t>-</w:t>
      </w:r>
      <w:r>
        <w:rPr>
          <w:rFonts w:hint="eastAsia" w:ascii="Times New Roman" w:hAnsi="Times New Roman" w:eastAsia="宋体" w:cs="Times New Roman"/>
          <w:b/>
          <w:sz w:val="22"/>
          <w:szCs w:val="24"/>
        </w:rPr>
        <w:t xml:space="preserve">2  </w:t>
      </w:r>
      <w:r>
        <w:rPr>
          <w:rFonts w:ascii="Times New Roman" w:hAnsi="Times New Roman" w:eastAsia="宋体" w:cs="Times New Roman"/>
          <w:b/>
          <w:sz w:val="22"/>
          <w:szCs w:val="24"/>
        </w:rPr>
        <w:t>噪声监测布点图</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2、监测技术规范及使用仪器</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监测技术规范及使用仪器见表7-</w:t>
      </w:r>
      <w:r>
        <w:rPr>
          <w:rFonts w:hint="eastAsia" w:cs="Times New Roman"/>
          <w:color w:val="000000"/>
          <w:sz w:val="24"/>
          <w:szCs w:val="28"/>
          <w:lang w:val="en-US" w:eastAsia="zh-CN"/>
        </w:rPr>
        <w:t>4</w:t>
      </w:r>
      <w:r>
        <w:rPr>
          <w:rFonts w:hint="default" w:ascii="Times New Roman" w:hAnsi="Times New Roman" w:eastAsia="宋体" w:cs="Times New Roman"/>
          <w:color w:val="000000"/>
          <w:sz w:val="24"/>
          <w:szCs w:val="28"/>
        </w:rPr>
        <w:t>。</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表7-</w:t>
      </w:r>
      <w:r>
        <w:rPr>
          <w:rFonts w:hint="eastAsia" w:cs="Times New Roman"/>
          <w:b/>
          <w:sz w:val="21"/>
          <w:szCs w:val="21"/>
          <w:lang w:val="en-US" w:eastAsia="zh-CN"/>
        </w:rPr>
        <w:t>4</w:t>
      </w:r>
      <w:r>
        <w:rPr>
          <w:rFonts w:hint="default" w:ascii="Times New Roman" w:hAnsi="Times New Roman" w:eastAsia="宋体" w:cs="Times New Roman"/>
          <w:b/>
          <w:sz w:val="21"/>
          <w:szCs w:val="21"/>
          <w:lang w:val="en-US" w:eastAsia="zh-CN"/>
        </w:rPr>
        <w:t xml:space="preserve">  监测项目、方法及仪器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0"/>
        <w:gridCol w:w="1328"/>
        <w:gridCol w:w="1594"/>
        <w:gridCol w:w="1538"/>
        <w:gridCol w:w="21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150" w:type="pct"/>
            <w:vAlign w:val="center"/>
          </w:tcPr>
          <w:p>
            <w:pPr>
              <w:spacing w:line="30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类别</w:t>
            </w:r>
          </w:p>
        </w:tc>
        <w:tc>
          <w:tcPr>
            <w:tcW w:w="779" w:type="pct"/>
            <w:vAlign w:val="center"/>
          </w:tcPr>
          <w:p>
            <w:pPr>
              <w:spacing w:line="30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监测项目</w:t>
            </w:r>
          </w:p>
        </w:tc>
        <w:tc>
          <w:tcPr>
            <w:tcW w:w="935" w:type="pct"/>
            <w:vAlign w:val="center"/>
          </w:tcPr>
          <w:p>
            <w:pPr>
              <w:spacing w:line="30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检测依据</w:t>
            </w:r>
          </w:p>
        </w:tc>
        <w:tc>
          <w:tcPr>
            <w:tcW w:w="902" w:type="pct"/>
            <w:vAlign w:val="center"/>
          </w:tcPr>
          <w:p>
            <w:pPr>
              <w:spacing w:line="30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质控依据</w:t>
            </w:r>
          </w:p>
        </w:tc>
        <w:tc>
          <w:tcPr>
            <w:tcW w:w="1233" w:type="pct"/>
            <w:vAlign w:val="center"/>
          </w:tcPr>
          <w:p>
            <w:pPr>
              <w:spacing w:line="300" w:lineRule="exact"/>
              <w:jc w:val="center"/>
              <w:rPr>
                <w:rFonts w:hint="default" w:ascii="Times New Roman" w:hAnsi="Times New Roman" w:eastAsia="宋体" w:cs="Times New Roman"/>
                <w:b/>
                <w:szCs w:val="21"/>
              </w:rPr>
            </w:pPr>
            <w:r>
              <w:rPr>
                <w:rFonts w:hint="default" w:ascii="Times New Roman" w:hAnsi="Times New Roman" w:eastAsia="宋体" w:cs="Times New Roman"/>
                <w:b/>
                <w:szCs w:val="21"/>
              </w:rPr>
              <w:t>使用仪器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150" w:type="pct"/>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工业企业厂界环境噪声排放标准</w:t>
            </w:r>
          </w:p>
        </w:tc>
        <w:tc>
          <w:tcPr>
            <w:tcW w:w="779" w:type="pct"/>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噪声</w:t>
            </w:r>
          </w:p>
        </w:tc>
        <w:tc>
          <w:tcPr>
            <w:tcW w:w="935" w:type="pct"/>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GB12348-2008</w:t>
            </w:r>
          </w:p>
        </w:tc>
        <w:tc>
          <w:tcPr>
            <w:tcW w:w="902" w:type="pct"/>
            <w:vAlign w:val="center"/>
          </w:tcPr>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szCs w:val="21"/>
              </w:rPr>
              <w:t>HJ706-2014</w:t>
            </w:r>
          </w:p>
        </w:tc>
        <w:tc>
          <w:tcPr>
            <w:tcW w:w="1233" w:type="pct"/>
            <w:vAlign w:val="center"/>
          </w:tcPr>
          <w:p>
            <w:pPr>
              <w:snapToGrid w:val="0"/>
              <w:jc w:val="center"/>
              <w:rPr>
                <w:rFonts w:hint="default" w:ascii="Times New Roman" w:hAnsi="Times New Roman"/>
                <w:color w:val="000000"/>
                <w:kern w:val="0"/>
                <w:szCs w:val="21"/>
                <w:lang w:val="en-US" w:eastAsia="zh-CN"/>
              </w:rPr>
            </w:pPr>
            <w:r>
              <w:rPr>
                <w:rFonts w:hint="eastAsia" w:ascii="Times New Roman" w:hAnsi="Times New Roman"/>
                <w:color w:val="000000"/>
                <w:kern w:val="0"/>
                <w:szCs w:val="21"/>
                <w:lang w:val="en-US" w:eastAsia="zh-CN"/>
              </w:rPr>
              <w:t>声校准器</w:t>
            </w:r>
            <w:r>
              <w:rPr>
                <w:rFonts w:hint="default" w:ascii="Times New Roman" w:hAnsi="Times New Roman" w:eastAsia="宋体" w:cs="Times New Roman"/>
                <w:i w:val="0"/>
                <w:iCs w:val="0"/>
                <w:color w:val="auto"/>
                <w:kern w:val="0"/>
                <w:sz w:val="21"/>
                <w:szCs w:val="21"/>
                <w:u w:val="none"/>
                <w:lang w:val="en-US" w:eastAsia="zh-CN" w:bidi="ar"/>
              </w:rPr>
              <w:t>AWA602</w:t>
            </w:r>
            <w:r>
              <w:rPr>
                <w:rFonts w:hint="eastAsia" w:ascii="Times New Roman" w:hAnsi="Times New Roman" w:eastAsia="宋体"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A</w:t>
            </w:r>
          </w:p>
          <w:p>
            <w:pPr>
              <w:snapToGrid w:val="0"/>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SSDHC-YQ041-2022</w:t>
            </w:r>
          </w:p>
          <w:p>
            <w:pPr>
              <w:snapToGrid w:val="0"/>
              <w:jc w:val="center"/>
              <w:rPr>
                <w:rFonts w:hint="default" w:ascii="Times New Roman" w:hAnsi="Times New Roman"/>
                <w:color w:val="000000"/>
                <w:kern w:val="0"/>
                <w:szCs w:val="21"/>
                <w:lang w:val="en-US" w:eastAsia="zh-CN"/>
              </w:rPr>
            </w:pPr>
            <w:r>
              <w:rPr>
                <w:rFonts w:hint="eastAsia" w:ascii="Times New Roman" w:hAnsi="Times New Roman"/>
                <w:color w:val="000000"/>
                <w:kern w:val="0"/>
                <w:szCs w:val="21"/>
                <w:lang w:val="en-US" w:eastAsia="zh-CN"/>
              </w:rPr>
              <w:t>多功能声级计</w:t>
            </w:r>
            <w:r>
              <w:rPr>
                <w:rFonts w:hint="default" w:ascii="Times New Roman" w:hAnsi="Times New Roman" w:eastAsia="宋体" w:cs="Times New Roman"/>
                <w:i w:val="0"/>
                <w:iCs w:val="0"/>
                <w:color w:val="auto"/>
                <w:kern w:val="0"/>
                <w:sz w:val="21"/>
                <w:szCs w:val="21"/>
                <w:u w:val="none"/>
                <w:lang w:val="en-US" w:eastAsia="zh-CN" w:bidi="ar"/>
              </w:rPr>
              <w:t>AWA6228+</w:t>
            </w:r>
          </w:p>
          <w:p>
            <w:pPr>
              <w:spacing w:line="300" w:lineRule="exact"/>
              <w:jc w:val="center"/>
              <w:rPr>
                <w:rFonts w:hint="default" w:ascii="Times New Roman" w:hAnsi="Times New Roman" w:eastAsia="宋体" w:cs="Times New Roman"/>
                <w:szCs w:val="21"/>
              </w:rPr>
            </w:pPr>
            <w:r>
              <w:rPr>
                <w:rFonts w:hint="default" w:ascii="Times New Roman" w:hAnsi="Times New Roman" w:eastAsia="宋体" w:cs="Times New Roman"/>
                <w:i w:val="0"/>
                <w:iCs w:val="0"/>
                <w:color w:val="auto"/>
                <w:kern w:val="0"/>
                <w:sz w:val="21"/>
                <w:szCs w:val="21"/>
                <w:u w:val="none"/>
                <w:lang w:val="en-US" w:eastAsia="zh-CN" w:bidi="ar"/>
              </w:rPr>
              <w:t>SDHC-YQ054-2022</w:t>
            </w:r>
          </w:p>
        </w:tc>
      </w:tr>
    </w:tbl>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3、监测时间与频次</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噪声于202</w:t>
      </w:r>
      <w:r>
        <w:rPr>
          <w:rFonts w:hint="eastAsia" w:cs="Times New Roman"/>
          <w:color w:val="000000"/>
          <w:sz w:val="24"/>
          <w:szCs w:val="28"/>
          <w:lang w:val="en-US" w:eastAsia="zh-CN"/>
        </w:rPr>
        <w:t>4</w:t>
      </w:r>
      <w:r>
        <w:rPr>
          <w:rFonts w:hint="default" w:ascii="Times New Roman" w:hAnsi="Times New Roman" w:eastAsia="宋体" w:cs="Times New Roman"/>
          <w:color w:val="000000"/>
          <w:sz w:val="24"/>
          <w:szCs w:val="28"/>
        </w:rPr>
        <w:t>年</w:t>
      </w:r>
      <w:r>
        <w:rPr>
          <w:rFonts w:hint="eastAsia" w:cs="Times New Roman"/>
          <w:color w:val="000000"/>
          <w:sz w:val="24"/>
          <w:szCs w:val="28"/>
          <w:lang w:val="en-US" w:eastAsia="zh-CN"/>
        </w:rPr>
        <w:t>01</w:t>
      </w:r>
      <w:r>
        <w:rPr>
          <w:rFonts w:hint="default" w:ascii="Times New Roman" w:hAnsi="Times New Roman" w:eastAsia="宋体" w:cs="Times New Roman"/>
          <w:color w:val="000000"/>
          <w:sz w:val="24"/>
          <w:szCs w:val="28"/>
        </w:rPr>
        <w:t>月</w:t>
      </w:r>
      <w:r>
        <w:rPr>
          <w:rFonts w:hint="eastAsia" w:cs="Times New Roman"/>
          <w:color w:val="000000"/>
          <w:sz w:val="24"/>
          <w:szCs w:val="28"/>
          <w:lang w:val="en-US" w:eastAsia="zh-CN"/>
        </w:rPr>
        <w:t>04</w:t>
      </w:r>
      <w:r>
        <w:rPr>
          <w:rFonts w:hint="default" w:ascii="Times New Roman" w:hAnsi="Times New Roman" w:eastAsia="宋体" w:cs="Times New Roman"/>
          <w:color w:val="000000"/>
          <w:sz w:val="24"/>
          <w:szCs w:val="28"/>
        </w:rPr>
        <w:t>日</w:t>
      </w:r>
      <w:r>
        <w:rPr>
          <w:rFonts w:hint="eastAsia" w:cs="Times New Roman"/>
          <w:color w:val="000000"/>
          <w:sz w:val="24"/>
          <w:szCs w:val="28"/>
          <w:lang w:eastAsia="zh-CN"/>
        </w:rPr>
        <w:t>、</w:t>
      </w:r>
      <w:r>
        <w:rPr>
          <w:rFonts w:hint="default" w:ascii="Times New Roman" w:hAnsi="Times New Roman" w:eastAsia="宋体" w:cs="Times New Roman"/>
          <w:color w:val="000000"/>
          <w:sz w:val="24"/>
          <w:szCs w:val="28"/>
        </w:rPr>
        <w:t>202</w:t>
      </w:r>
      <w:r>
        <w:rPr>
          <w:rFonts w:hint="eastAsia" w:cs="Times New Roman"/>
          <w:color w:val="000000"/>
          <w:sz w:val="24"/>
          <w:szCs w:val="28"/>
          <w:lang w:val="en-US" w:eastAsia="zh-CN"/>
        </w:rPr>
        <w:t>4</w:t>
      </w:r>
      <w:r>
        <w:rPr>
          <w:rFonts w:hint="default" w:ascii="Times New Roman" w:hAnsi="Times New Roman" w:eastAsia="宋体" w:cs="Times New Roman"/>
          <w:color w:val="000000"/>
          <w:sz w:val="24"/>
          <w:szCs w:val="28"/>
        </w:rPr>
        <w:t>年</w:t>
      </w:r>
      <w:r>
        <w:rPr>
          <w:rFonts w:hint="eastAsia" w:cs="Times New Roman"/>
          <w:color w:val="000000"/>
          <w:sz w:val="24"/>
          <w:szCs w:val="28"/>
          <w:lang w:val="en-US" w:eastAsia="zh-CN"/>
        </w:rPr>
        <w:t>01</w:t>
      </w:r>
      <w:r>
        <w:rPr>
          <w:rFonts w:hint="default" w:ascii="Times New Roman" w:hAnsi="Times New Roman" w:eastAsia="宋体" w:cs="Times New Roman"/>
          <w:color w:val="000000"/>
          <w:sz w:val="24"/>
          <w:szCs w:val="28"/>
        </w:rPr>
        <w:t>月</w:t>
      </w:r>
      <w:r>
        <w:rPr>
          <w:rFonts w:hint="eastAsia" w:cs="Times New Roman"/>
          <w:color w:val="000000"/>
          <w:sz w:val="24"/>
          <w:szCs w:val="28"/>
          <w:lang w:val="en-US" w:eastAsia="zh-CN"/>
        </w:rPr>
        <w:t>05</w:t>
      </w:r>
      <w:r>
        <w:rPr>
          <w:rFonts w:hint="default" w:ascii="Times New Roman" w:hAnsi="Times New Roman" w:eastAsia="宋体" w:cs="Times New Roman"/>
          <w:color w:val="000000"/>
          <w:sz w:val="24"/>
          <w:szCs w:val="28"/>
        </w:rPr>
        <w:t>日</w:t>
      </w:r>
      <w:r>
        <w:rPr>
          <w:rFonts w:hint="eastAsia" w:cs="Times New Roman"/>
          <w:color w:val="000000"/>
          <w:sz w:val="24"/>
          <w:szCs w:val="28"/>
          <w:lang w:val="en-US" w:eastAsia="zh-CN"/>
        </w:rPr>
        <w:t>进行了</w:t>
      </w:r>
      <w:r>
        <w:rPr>
          <w:rFonts w:hint="default" w:ascii="Times New Roman" w:hAnsi="Times New Roman" w:eastAsia="宋体" w:cs="Times New Roman"/>
          <w:color w:val="000000"/>
          <w:sz w:val="24"/>
          <w:szCs w:val="28"/>
        </w:rPr>
        <w:t>监测，</w:t>
      </w:r>
      <w:r>
        <w:rPr>
          <w:rFonts w:hint="eastAsia" w:cs="Times New Roman"/>
          <w:color w:val="000000"/>
          <w:sz w:val="24"/>
          <w:szCs w:val="28"/>
          <w:lang w:val="en-US" w:eastAsia="zh-CN"/>
        </w:rPr>
        <w:t>共两天昼间、两天夜间各一次</w:t>
      </w:r>
      <w:r>
        <w:rPr>
          <w:rFonts w:hint="default" w:ascii="Times New Roman" w:hAnsi="Times New Roman" w:eastAsia="宋体" w:cs="Times New Roman"/>
          <w:color w:val="000000"/>
          <w:sz w:val="24"/>
          <w:szCs w:val="28"/>
        </w:rPr>
        <w:t>。</w:t>
      </w:r>
    </w:p>
    <w:p>
      <w:pPr>
        <w:pStyle w:val="38"/>
        <w:spacing w:before="240"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7.1.</w:t>
      </w:r>
      <w:r>
        <w:rPr>
          <w:rFonts w:hint="eastAsia" w:ascii="Times New Roman" w:hAnsi="Times New Roman" w:eastAsia="宋体" w:cs="Times New Roman"/>
          <w:b/>
          <w:sz w:val="24"/>
          <w:szCs w:val="32"/>
          <w:lang w:val="en-US" w:eastAsia="zh-CN"/>
        </w:rPr>
        <w:t>3废水</w:t>
      </w:r>
      <w:r>
        <w:rPr>
          <w:rFonts w:hint="default" w:ascii="Times New Roman" w:hAnsi="Times New Roman" w:eastAsia="宋体" w:cs="Times New Roman"/>
          <w:b/>
          <w:sz w:val="24"/>
          <w:szCs w:val="32"/>
        </w:rPr>
        <w:t>监测</w:t>
      </w:r>
    </w:p>
    <w:p>
      <w:pPr>
        <w:pStyle w:val="8"/>
        <w:spacing w:after="0" w:line="360" w:lineRule="auto"/>
        <w:ind w:left="0" w:firstLine="480" w:firstLineChars="200"/>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1、监测点位</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eastAsia" w:ascii="Times New Roman" w:hAnsi="Times New Roman" w:eastAsia="宋体" w:cs="Times New Roman"/>
          <w:color w:val="000000"/>
          <w:sz w:val="24"/>
          <w:szCs w:val="28"/>
          <w:lang w:val="en-US" w:eastAsia="zh-CN"/>
        </w:rPr>
        <w:t>污水处理站进水口、出水口。</w:t>
      </w:r>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default" w:ascii="Times New Roman" w:hAnsi="Times New Roman" w:eastAsia="宋体" w:cs="Times New Roman"/>
          <w:color w:val="000000"/>
          <w:kern w:val="2"/>
          <w:sz w:val="24"/>
          <w:szCs w:val="28"/>
          <w:lang w:val="en-US" w:eastAsia="zh-CN" w:bidi="ar-SA"/>
        </w:rPr>
        <w:t>2、监测技术规范</w:t>
      </w:r>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default" w:ascii="Times New Roman" w:hAnsi="Times New Roman" w:eastAsia="宋体" w:cs="Times New Roman"/>
          <w:color w:val="000000"/>
          <w:kern w:val="2"/>
          <w:sz w:val="24"/>
          <w:szCs w:val="28"/>
          <w:lang w:val="en-US" w:eastAsia="zh-CN" w:bidi="ar-SA"/>
        </w:rPr>
        <w:t>监测技术规范见表7-</w:t>
      </w:r>
      <w:r>
        <w:rPr>
          <w:rFonts w:hint="eastAsia" w:ascii="Times New Roman" w:hAnsi="Times New Roman" w:eastAsia="宋体" w:cs="Times New Roman"/>
          <w:color w:val="000000"/>
          <w:kern w:val="2"/>
          <w:sz w:val="24"/>
          <w:szCs w:val="28"/>
          <w:lang w:val="en-US" w:eastAsia="zh-CN" w:bidi="ar-SA"/>
        </w:rPr>
        <w:t>5</w:t>
      </w:r>
      <w:r>
        <w:rPr>
          <w:rFonts w:hint="default" w:ascii="Times New Roman" w:hAnsi="Times New Roman" w:eastAsia="宋体" w:cs="Times New Roman"/>
          <w:color w:val="000000"/>
          <w:kern w:val="2"/>
          <w:sz w:val="24"/>
          <w:szCs w:val="28"/>
          <w:lang w:val="en-US" w:eastAsia="zh-CN" w:bidi="ar-SA"/>
        </w:rPr>
        <w:t>。</w:t>
      </w:r>
    </w:p>
    <w:p>
      <w:pPr>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kern w:val="2"/>
          <w:sz w:val="21"/>
          <w:szCs w:val="21"/>
          <w:lang w:val="en-US" w:eastAsia="zh-CN" w:bidi="ar-SA"/>
        </w:rPr>
      </w:pPr>
      <w:r>
        <w:rPr>
          <w:rFonts w:hint="default" w:ascii="Times New Roman" w:hAnsi="Times New Roman" w:eastAsia="宋体" w:cs="Times New Roman"/>
          <w:b/>
          <w:kern w:val="2"/>
          <w:sz w:val="21"/>
          <w:szCs w:val="21"/>
          <w:lang w:val="en-US" w:eastAsia="zh-CN" w:bidi="ar-SA"/>
        </w:rPr>
        <w:t>表7</w:t>
      </w:r>
      <w:r>
        <w:rPr>
          <w:rFonts w:hint="eastAsia" w:ascii="Times New Roman" w:hAnsi="Times New Roman" w:eastAsia="宋体" w:cs="Times New Roman"/>
          <w:b/>
          <w:kern w:val="2"/>
          <w:sz w:val="21"/>
          <w:szCs w:val="21"/>
          <w:lang w:val="en-US" w:eastAsia="zh-CN" w:bidi="ar-SA"/>
        </w:rPr>
        <w:t>-5</w:t>
      </w:r>
      <w:r>
        <w:rPr>
          <w:rFonts w:hint="default" w:ascii="Times New Roman" w:hAnsi="Times New Roman" w:eastAsia="宋体" w:cs="Times New Roman"/>
          <w:b/>
          <w:kern w:val="2"/>
          <w:sz w:val="21"/>
          <w:szCs w:val="21"/>
          <w:lang w:val="en-US" w:eastAsia="zh-CN" w:bidi="ar-SA"/>
        </w:rPr>
        <w:t xml:space="preserve">  监测项目、方法一览表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2"/>
        <w:gridCol w:w="1340"/>
        <w:gridCol w:w="1754"/>
        <w:gridCol w:w="3558"/>
        <w:gridCol w:w="12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序号</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color w:val="000000"/>
                <w:sz w:val="21"/>
                <w:szCs w:val="21"/>
                <w:lang w:bidi="ar"/>
              </w:rPr>
              <w:t>检测项目</w:t>
            </w:r>
          </w:p>
        </w:tc>
        <w:tc>
          <w:tcPr>
            <w:tcW w:w="102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color w:val="000000"/>
                <w:sz w:val="21"/>
                <w:szCs w:val="21"/>
                <w:lang w:bidi="ar"/>
              </w:rPr>
              <w:t>标准代号</w:t>
            </w:r>
          </w:p>
        </w:tc>
        <w:tc>
          <w:tcPr>
            <w:tcW w:w="20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color w:val="000000"/>
                <w:sz w:val="21"/>
                <w:szCs w:val="21"/>
                <w:lang w:val="en-US" w:eastAsia="zh-CN" w:bidi="ar"/>
              </w:rPr>
              <w:t>标准名称</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color w:val="000000"/>
                <w:sz w:val="21"/>
                <w:szCs w:val="21"/>
                <w:lang w:bidi="ar"/>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34" w:type="pct"/>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bidi="ar"/>
              </w:rPr>
            </w:pPr>
            <w:r>
              <w:rPr>
                <w:rFonts w:hint="default" w:ascii="Times New Roman" w:hAnsi="Times New Roman" w:eastAsia="宋体" w:cs="Times New Roman"/>
                <w:sz w:val="21"/>
                <w:szCs w:val="21"/>
              </w:rPr>
              <w:t>检测项目</w:t>
            </w:r>
          </w:p>
        </w:tc>
        <w:tc>
          <w:tcPr>
            <w:tcW w:w="3865" w:type="pct"/>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sz w:val="21"/>
                <w:szCs w:val="21"/>
                <w:lang w:val="en-US" w:eastAsia="zh-CN" w:bidi="ar"/>
              </w:rPr>
              <w:t>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1</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pH</w:t>
            </w:r>
          </w:p>
        </w:tc>
        <w:tc>
          <w:tcPr>
            <w:tcW w:w="102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HJ 1147-2020</w:t>
            </w:r>
          </w:p>
        </w:tc>
        <w:tc>
          <w:tcPr>
            <w:tcW w:w="20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水质 pH 值的测定 电极法</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2</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SS</w:t>
            </w:r>
          </w:p>
        </w:tc>
        <w:tc>
          <w:tcPr>
            <w:tcW w:w="102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GB/T 11901-1989</w:t>
            </w:r>
          </w:p>
        </w:tc>
        <w:tc>
          <w:tcPr>
            <w:tcW w:w="20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水质 悬浮物的测定 重量法</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4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3</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全盐量</w:t>
            </w:r>
          </w:p>
        </w:tc>
        <w:tc>
          <w:tcPr>
            <w:tcW w:w="102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color w:val="000000"/>
                <w:sz w:val="21"/>
                <w:szCs w:val="21"/>
                <w:lang w:bidi="ar"/>
              </w:rPr>
              <w:t>HJ/T 51-1999</w:t>
            </w:r>
          </w:p>
        </w:tc>
        <w:tc>
          <w:tcPr>
            <w:tcW w:w="20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color w:val="000000"/>
                <w:sz w:val="21"/>
                <w:szCs w:val="21"/>
                <w:lang w:bidi="ar"/>
              </w:rPr>
              <w:t>水质 全盐量的测定 重量法</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color w:val="000000"/>
                <w:sz w:val="21"/>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4</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COD</w:t>
            </w:r>
          </w:p>
        </w:tc>
        <w:tc>
          <w:tcPr>
            <w:tcW w:w="102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HJ 828-2017</w:t>
            </w:r>
          </w:p>
        </w:tc>
        <w:tc>
          <w:tcPr>
            <w:tcW w:w="20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水质 化学需氧量的测定 重铬酸盐法</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4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5</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氨氮</w:t>
            </w:r>
          </w:p>
        </w:tc>
        <w:tc>
          <w:tcPr>
            <w:tcW w:w="102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HJ 535-2009</w:t>
            </w:r>
          </w:p>
        </w:tc>
        <w:tc>
          <w:tcPr>
            <w:tcW w:w="20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水质 氨氮的测定 纳氏试剂分光光度法</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0.025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6</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总磷</w:t>
            </w:r>
          </w:p>
        </w:tc>
        <w:tc>
          <w:tcPr>
            <w:tcW w:w="102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GB/T 11893-1989</w:t>
            </w:r>
          </w:p>
        </w:tc>
        <w:tc>
          <w:tcPr>
            <w:tcW w:w="20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水质 总磷的测定 钼酸铵分光光度法</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7</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总氮</w:t>
            </w:r>
          </w:p>
        </w:tc>
        <w:tc>
          <w:tcPr>
            <w:tcW w:w="102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HJ 636-2012</w:t>
            </w:r>
          </w:p>
        </w:tc>
        <w:tc>
          <w:tcPr>
            <w:tcW w:w="20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水质 总氮的测定 碱性过硫酸钾消解紫外分光光度法</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0.05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8</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sz w:val="21"/>
                <w:szCs w:val="21"/>
                <w:lang w:bidi="ar"/>
              </w:rPr>
              <w:t>BOD</w:t>
            </w:r>
            <w:r>
              <w:rPr>
                <w:rFonts w:hint="default" w:ascii="Times New Roman" w:hAnsi="Times New Roman" w:eastAsia="宋体" w:cs="Times New Roman"/>
                <w:color w:val="000000"/>
                <w:sz w:val="21"/>
                <w:szCs w:val="21"/>
                <w:vertAlign w:val="subscript"/>
                <w:lang w:bidi="ar"/>
              </w:rPr>
              <w:t>5</w:t>
            </w:r>
          </w:p>
        </w:tc>
        <w:tc>
          <w:tcPr>
            <w:tcW w:w="102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sz w:val="21"/>
                <w:szCs w:val="21"/>
                <w:lang w:bidi="ar"/>
              </w:rPr>
              <w:t>HJ 505-2009</w:t>
            </w:r>
          </w:p>
        </w:tc>
        <w:tc>
          <w:tcPr>
            <w:tcW w:w="20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sz w:val="21"/>
                <w:szCs w:val="21"/>
                <w:lang w:bidi="ar"/>
              </w:rPr>
              <w:t>水质 五日生化需氧量（BOD</w:t>
            </w:r>
            <w:r>
              <w:rPr>
                <w:rFonts w:hint="default" w:ascii="Times New Roman" w:hAnsi="Times New Roman" w:eastAsia="宋体" w:cs="Times New Roman"/>
                <w:color w:val="000000"/>
                <w:sz w:val="21"/>
                <w:szCs w:val="21"/>
                <w:vertAlign w:val="subscript"/>
                <w:lang w:bidi="ar"/>
              </w:rPr>
              <w:t>5</w:t>
            </w:r>
            <w:r>
              <w:rPr>
                <w:rFonts w:hint="default" w:ascii="Times New Roman" w:hAnsi="Times New Roman" w:eastAsia="宋体" w:cs="Times New Roman"/>
                <w:color w:val="000000"/>
                <w:sz w:val="21"/>
                <w:szCs w:val="21"/>
                <w:lang w:bidi="ar"/>
              </w:rPr>
              <w:t>）的测定 稀释与接种法</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sz w:val="21"/>
                <w:szCs w:val="21"/>
                <w:lang w:bidi="ar"/>
              </w:rPr>
              <w:t>0.5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48" w:type="pct"/>
            <w:noWrap w:val="0"/>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9</w:t>
            </w:r>
          </w:p>
        </w:tc>
        <w:tc>
          <w:tcPr>
            <w:tcW w:w="786"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color w:val="000000"/>
                <w:sz w:val="21"/>
                <w:szCs w:val="21"/>
                <w:lang w:bidi="ar"/>
              </w:rPr>
              <w:t>氟化物</w:t>
            </w:r>
          </w:p>
        </w:tc>
        <w:tc>
          <w:tcPr>
            <w:tcW w:w="102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color w:val="000000"/>
                <w:sz w:val="21"/>
                <w:szCs w:val="21"/>
                <w:lang w:bidi="ar"/>
              </w:rPr>
              <w:t>GB/T 7484-1987</w:t>
            </w:r>
          </w:p>
        </w:tc>
        <w:tc>
          <w:tcPr>
            <w:tcW w:w="208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color w:val="000000"/>
                <w:sz w:val="21"/>
                <w:szCs w:val="21"/>
                <w:lang w:bidi="ar"/>
              </w:rPr>
              <w:t>水质 氟化物的测定 离子选择电极法</w:t>
            </w:r>
          </w:p>
        </w:tc>
        <w:tc>
          <w:tcPr>
            <w:tcW w:w="74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color w:val="000000"/>
                <w:sz w:val="21"/>
                <w:szCs w:val="21"/>
                <w:lang w:bidi="ar"/>
              </w:rPr>
              <w:t>0.05 mg/L</w:t>
            </w:r>
          </w:p>
        </w:tc>
      </w:tr>
    </w:tbl>
    <w:p>
      <w:pPr>
        <w:pStyle w:val="8"/>
        <w:spacing w:after="0" w:line="360" w:lineRule="auto"/>
        <w:ind w:left="0" w:firstLine="480" w:firstLineChars="200"/>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3、监测时间与频次</w:t>
      </w:r>
    </w:p>
    <w:p>
      <w:pPr>
        <w:pStyle w:val="8"/>
        <w:spacing w:after="0" w:line="360" w:lineRule="auto"/>
        <w:ind w:left="0" w:firstLine="480" w:firstLineChars="200"/>
        <w:rPr>
          <w:rFonts w:hint="default" w:ascii="Times New Roman" w:hAnsi="Times New Roman" w:eastAsia="宋体" w:cs="Times New Roman"/>
          <w:color w:val="000000"/>
          <w:sz w:val="24"/>
          <w:szCs w:val="28"/>
          <w:lang w:val="en-US" w:eastAsia="zh-CN"/>
        </w:rPr>
      </w:pPr>
      <w:r>
        <w:rPr>
          <w:rFonts w:hint="eastAsia" w:ascii="Times New Roman" w:hAnsi="Times New Roman" w:eastAsia="宋体" w:cs="Times New Roman"/>
          <w:color w:val="000000"/>
          <w:sz w:val="24"/>
          <w:szCs w:val="28"/>
          <w:lang w:val="en-US" w:eastAsia="zh-CN"/>
        </w:rPr>
        <w:t>废水</w:t>
      </w:r>
      <w:r>
        <w:rPr>
          <w:rFonts w:hint="default" w:ascii="Times New Roman" w:hAnsi="Times New Roman" w:eastAsia="宋体" w:cs="Times New Roman"/>
          <w:color w:val="000000"/>
          <w:sz w:val="24"/>
          <w:szCs w:val="28"/>
          <w:lang w:val="en-US" w:eastAsia="zh-CN"/>
        </w:rPr>
        <w:t>于202</w:t>
      </w:r>
      <w:r>
        <w:rPr>
          <w:rFonts w:hint="eastAsia" w:ascii="Times New Roman" w:hAnsi="Times New Roman" w:eastAsia="宋体" w:cs="Times New Roman"/>
          <w:color w:val="000000"/>
          <w:sz w:val="24"/>
          <w:szCs w:val="28"/>
          <w:lang w:val="en-US" w:eastAsia="zh-CN"/>
        </w:rPr>
        <w:t>4</w:t>
      </w:r>
      <w:r>
        <w:rPr>
          <w:rFonts w:hint="default" w:ascii="Times New Roman" w:hAnsi="Times New Roman" w:eastAsia="宋体" w:cs="Times New Roman"/>
          <w:color w:val="000000"/>
          <w:sz w:val="24"/>
          <w:szCs w:val="28"/>
          <w:lang w:val="en-US" w:eastAsia="zh-CN"/>
        </w:rPr>
        <w:t>年</w:t>
      </w:r>
      <w:r>
        <w:rPr>
          <w:rFonts w:hint="eastAsia" w:ascii="Times New Roman" w:hAnsi="Times New Roman" w:eastAsia="宋体" w:cs="Times New Roman"/>
          <w:color w:val="000000"/>
          <w:sz w:val="24"/>
          <w:szCs w:val="28"/>
          <w:lang w:val="en-US" w:eastAsia="zh-CN"/>
        </w:rPr>
        <w:t>01</w:t>
      </w:r>
      <w:r>
        <w:rPr>
          <w:rFonts w:hint="default" w:ascii="Times New Roman" w:hAnsi="Times New Roman" w:eastAsia="宋体" w:cs="Times New Roman"/>
          <w:color w:val="000000"/>
          <w:sz w:val="24"/>
          <w:szCs w:val="28"/>
          <w:lang w:val="en-US" w:eastAsia="zh-CN"/>
        </w:rPr>
        <w:t>月</w:t>
      </w:r>
      <w:r>
        <w:rPr>
          <w:rFonts w:hint="eastAsia" w:ascii="Times New Roman" w:hAnsi="Times New Roman" w:eastAsia="宋体" w:cs="Times New Roman"/>
          <w:color w:val="000000"/>
          <w:sz w:val="24"/>
          <w:szCs w:val="28"/>
          <w:lang w:val="en-US" w:eastAsia="zh-CN"/>
        </w:rPr>
        <w:t>04</w:t>
      </w:r>
      <w:r>
        <w:rPr>
          <w:rFonts w:hint="default" w:ascii="Times New Roman" w:hAnsi="Times New Roman" w:eastAsia="宋体" w:cs="Times New Roman"/>
          <w:color w:val="000000"/>
          <w:sz w:val="24"/>
          <w:szCs w:val="28"/>
          <w:lang w:val="en-US" w:eastAsia="zh-CN"/>
        </w:rPr>
        <w:t>日</w:t>
      </w:r>
      <w:r>
        <w:rPr>
          <w:rFonts w:hint="eastAsia" w:ascii="Times New Roman" w:hAnsi="Times New Roman" w:eastAsia="宋体" w:cs="Times New Roman"/>
          <w:color w:val="000000"/>
          <w:sz w:val="24"/>
          <w:szCs w:val="28"/>
          <w:lang w:val="en-US" w:eastAsia="zh-CN"/>
        </w:rPr>
        <w:t>、</w:t>
      </w:r>
      <w:r>
        <w:rPr>
          <w:rFonts w:hint="default" w:ascii="Times New Roman" w:hAnsi="Times New Roman" w:eastAsia="宋体" w:cs="Times New Roman"/>
          <w:color w:val="000000"/>
          <w:sz w:val="24"/>
          <w:szCs w:val="28"/>
          <w:lang w:val="en-US" w:eastAsia="zh-CN"/>
        </w:rPr>
        <w:t>202</w:t>
      </w:r>
      <w:r>
        <w:rPr>
          <w:rFonts w:hint="eastAsia" w:ascii="Times New Roman" w:hAnsi="Times New Roman" w:eastAsia="宋体" w:cs="Times New Roman"/>
          <w:color w:val="000000"/>
          <w:sz w:val="24"/>
          <w:szCs w:val="28"/>
          <w:lang w:val="en-US" w:eastAsia="zh-CN"/>
        </w:rPr>
        <w:t>4</w:t>
      </w:r>
      <w:r>
        <w:rPr>
          <w:rFonts w:hint="default" w:ascii="Times New Roman" w:hAnsi="Times New Roman" w:eastAsia="宋体" w:cs="Times New Roman"/>
          <w:color w:val="000000"/>
          <w:sz w:val="24"/>
          <w:szCs w:val="28"/>
          <w:lang w:val="en-US" w:eastAsia="zh-CN"/>
        </w:rPr>
        <w:t>年</w:t>
      </w:r>
      <w:r>
        <w:rPr>
          <w:rFonts w:hint="eastAsia" w:ascii="Times New Roman" w:hAnsi="Times New Roman" w:eastAsia="宋体" w:cs="Times New Roman"/>
          <w:color w:val="000000"/>
          <w:sz w:val="24"/>
          <w:szCs w:val="28"/>
          <w:lang w:val="en-US" w:eastAsia="zh-CN"/>
        </w:rPr>
        <w:t>01</w:t>
      </w:r>
      <w:r>
        <w:rPr>
          <w:rFonts w:hint="default" w:ascii="Times New Roman" w:hAnsi="Times New Roman" w:eastAsia="宋体" w:cs="Times New Roman"/>
          <w:color w:val="000000"/>
          <w:sz w:val="24"/>
          <w:szCs w:val="28"/>
          <w:lang w:val="en-US" w:eastAsia="zh-CN"/>
        </w:rPr>
        <w:t>月</w:t>
      </w:r>
      <w:r>
        <w:rPr>
          <w:rFonts w:hint="eastAsia" w:ascii="Times New Roman" w:hAnsi="Times New Roman" w:eastAsia="宋体" w:cs="Times New Roman"/>
          <w:color w:val="000000"/>
          <w:sz w:val="24"/>
          <w:szCs w:val="28"/>
          <w:lang w:val="en-US" w:eastAsia="zh-CN"/>
        </w:rPr>
        <w:t>05</w:t>
      </w:r>
      <w:r>
        <w:rPr>
          <w:rFonts w:hint="default" w:ascii="Times New Roman" w:hAnsi="Times New Roman" w:eastAsia="宋体" w:cs="Times New Roman"/>
          <w:color w:val="000000"/>
          <w:sz w:val="24"/>
          <w:szCs w:val="28"/>
          <w:lang w:val="en-US" w:eastAsia="zh-CN"/>
        </w:rPr>
        <w:t>日</w:t>
      </w:r>
      <w:r>
        <w:rPr>
          <w:rFonts w:hint="eastAsia" w:ascii="Times New Roman" w:hAnsi="Times New Roman" w:eastAsia="宋体" w:cs="Times New Roman"/>
          <w:color w:val="000000"/>
          <w:sz w:val="24"/>
          <w:szCs w:val="28"/>
          <w:lang w:val="en-US" w:eastAsia="zh-CN"/>
        </w:rPr>
        <w:t>进行了</w:t>
      </w:r>
      <w:r>
        <w:rPr>
          <w:rFonts w:hint="default" w:ascii="Times New Roman" w:hAnsi="Times New Roman" w:eastAsia="宋体" w:cs="Times New Roman"/>
          <w:color w:val="000000"/>
          <w:sz w:val="24"/>
          <w:szCs w:val="28"/>
          <w:lang w:val="en-US" w:eastAsia="zh-CN"/>
        </w:rPr>
        <w:t>监测，</w:t>
      </w:r>
      <w:r>
        <w:rPr>
          <w:rFonts w:hint="eastAsia" w:ascii="Times New Roman" w:hAnsi="Times New Roman" w:eastAsia="宋体" w:cs="Times New Roman"/>
          <w:color w:val="000000"/>
          <w:sz w:val="24"/>
          <w:szCs w:val="28"/>
          <w:lang w:val="en-US" w:eastAsia="zh-CN"/>
        </w:rPr>
        <w:t>监测2天，每天采样4次。</w:t>
      </w:r>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51" w:name="_Toc17420"/>
      <w:r>
        <w:rPr>
          <w:rFonts w:hint="default" w:ascii="Times New Roman" w:hAnsi="Times New Roman" w:eastAsia="宋体" w:cs="Times New Roman"/>
          <w:b/>
          <w:sz w:val="28"/>
          <w:szCs w:val="32"/>
        </w:rPr>
        <w:t>7.2环境质量监测</w:t>
      </w:r>
      <w:bookmarkEnd w:id="51"/>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该项目所在位置周边无自然保护区、风景名胜等其他环境敏感点，生态环境不敏感。根据该项目环境影响评价报告表中结论，项目在严格落实评价中提出的各项有关环保措施，并确保各种治理设施正常运转的前提下，项目对周围环境质量的影响不大。</w:t>
      </w:r>
    </w:p>
    <w:p>
      <w:pPr>
        <w:widowControl/>
        <w:jc w:val="left"/>
        <w:rPr>
          <w:rFonts w:hint="default" w:ascii="Times New Roman" w:hAnsi="Times New Roman" w:eastAsia="宋体" w:cs="Times New Roman"/>
          <w:b/>
          <w:sz w:val="28"/>
          <w:szCs w:val="28"/>
        </w:rPr>
      </w:pPr>
      <w:r>
        <w:rPr>
          <w:rFonts w:hint="default" w:ascii="Times New Roman" w:hAnsi="Times New Roman" w:eastAsia="宋体" w:cs="Times New Roman"/>
          <w:b/>
          <w:sz w:val="28"/>
          <w:szCs w:val="28"/>
        </w:rPr>
        <w:br w:type="page"/>
      </w:r>
    </w:p>
    <w:p>
      <w:pPr>
        <w:pStyle w:val="38"/>
        <w:spacing w:line="360" w:lineRule="auto"/>
        <w:ind w:left="-210" w:leftChars="-100" w:firstLine="0" w:firstLineChars="0"/>
        <w:jc w:val="center"/>
        <w:outlineLvl w:val="0"/>
        <w:rPr>
          <w:rFonts w:hint="default" w:ascii="Times New Roman" w:hAnsi="Times New Roman" w:eastAsia="宋体" w:cs="Times New Roman"/>
          <w:b/>
          <w:color w:val="auto"/>
          <w:sz w:val="32"/>
          <w:szCs w:val="32"/>
        </w:rPr>
      </w:pPr>
      <w:bookmarkStart w:id="52" w:name="_Toc25052"/>
      <w:r>
        <w:rPr>
          <w:rFonts w:hint="default" w:ascii="Times New Roman" w:hAnsi="Times New Roman" w:eastAsia="宋体" w:cs="Times New Roman"/>
          <w:b/>
          <w:color w:val="auto"/>
          <w:sz w:val="32"/>
          <w:szCs w:val="32"/>
        </w:rPr>
        <w:t>8、质量保证及质量控制</w:t>
      </w:r>
      <w:bookmarkEnd w:id="52"/>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53" w:name="_Toc31764"/>
      <w:r>
        <w:rPr>
          <w:rFonts w:hint="default" w:ascii="Times New Roman" w:hAnsi="Times New Roman" w:eastAsia="宋体" w:cs="Times New Roman"/>
          <w:b/>
          <w:sz w:val="28"/>
          <w:szCs w:val="32"/>
        </w:rPr>
        <w:t>8.1监测分析方法及监测仪器</w:t>
      </w:r>
      <w:bookmarkEnd w:id="53"/>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1、声级计在测试前后用标准发生源进行校准，测量前后仪器的灵敏度相差不大于0.5dB。测量在无雨、无雪天气条件下进行，风速5m/s以上停止测量；测量时传声器加风罩。</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2、被测排放物的浓度在仪器量程的有效范围内。</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表8-1  监测仪器设备及监测方法</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3"/>
        <w:gridCol w:w="1430"/>
        <w:gridCol w:w="1830"/>
        <w:gridCol w:w="3396"/>
        <w:gridCol w:w="12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序号</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color w:val="000000"/>
                <w:sz w:val="21"/>
                <w:szCs w:val="21"/>
                <w:lang w:bidi="ar"/>
              </w:rPr>
              <w:t>检测项目</w:t>
            </w:r>
          </w:p>
        </w:tc>
        <w:tc>
          <w:tcPr>
            <w:tcW w:w="1074" w:type="pct"/>
            <w:noWrap w:val="0"/>
            <w:vAlign w:val="center"/>
          </w:tcPr>
          <w:p>
            <w:pPr>
              <w:adjustRightInd w:val="0"/>
              <w:snapToGrid w:val="0"/>
              <w:spacing w:line="36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color w:val="000000"/>
                <w:sz w:val="21"/>
                <w:szCs w:val="21"/>
                <w:lang w:bidi="ar"/>
              </w:rPr>
              <w:t>标准代号</w:t>
            </w:r>
          </w:p>
        </w:tc>
        <w:tc>
          <w:tcPr>
            <w:tcW w:w="1993" w:type="pct"/>
            <w:noWrap w:val="0"/>
            <w:vAlign w:val="center"/>
          </w:tcPr>
          <w:p>
            <w:pPr>
              <w:adjustRightInd w:val="0"/>
              <w:snapToGrid w:val="0"/>
              <w:spacing w:line="36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color w:val="000000"/>
                <w:sz w:val="21"/>
                <w:szCs w:val="21"/>
                <w:lang w:val="en-US" w:eastAsia="zh-CN" w:bidi="ar"/>
              </w:rPr>
              <w:t>标准名称</w:t>
            </w:r>
          </w:p>
        </w:tc>
        <w:tc>
          <w:tcPr>
            <w:tcW w:w="745" w:type="pct"/>
            <w:noWrap w:val="0"/>
            <w:vAlign w:val="center"/>
          </w:tcPr>
          <w:p>
            <w:pPr>
              <w:adjustRightInd w:val="0"/>
              <w:snapToGrid w:val="0"/>
              <w:spacing w:line="36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color w:val="000000"/>
                <w:sz w:val="21"/>
                <w:szCs w:val="21"/>
                <w:lang w:bidi="ar"/>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7" w:type="pct"/>
            <w:gridSpan w:val="2"/>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检测项目</w:t>
            </w:r>
          </w:p>
        </w:tc>
        <w:tc>
          <w:tcPr>
            <w:tcW w:w="3812" w:type="pct"/>
            <w:gridSpan w:val="3"/>
            <w:noWrap w:val="0"/>
            <w:vAlign w:val="center"/>
          </w:tcPr>
          <w:p>
            <w:pPr>
              <w:adjustRightInd w:val="0"/>
              <w:snapToGrid w:val="0"/>
              <w:spacing w:line="36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有组织废气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color w:val="auto"/>
                <w:sz w:val="21"/>
                <w:szCs w:val="21"/>
                <w:lang w:bidi="ar"/>
              </w:rPr>
              <w:t>氨</w:t>
            </w:r>
          </w:p>
        </w:tc>
        <w:tc>
          <w:tcPr>
            <w:tcW w:w="1074"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bidi="ar"/>
              </w:rPr>
              <w:t>HJ 533-2009</w:t>
            </w:r>
          </w:p>
        </w:tc>
        <w:tc>
          <w:tcPr>
            <w:tcW w:w="1993"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bidi="ar"/>
              </w:rPr>
              <w:t>环境空气和废气  氨的测定  纳氏试剂分光光度法</w:t>
            </w:r>
          </w:p>
        </w:tc>
        <w:tc>
          <w:tcPr>
            <w:tcW w:w="745"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bidi="ar"/>
              </w:rPr>
              <w:t>0.01mg/m</w:t>
            </w:r>
            <w:r>
              <w:rPr>
                <w:rFonts w:hint="default" w:ascii="Times New Roman" w:hAnsi="Times New Roman" w:eastAsia="宋体" w:cs="Times New Roman"/>
                <w:color w:val="auto"/>
                <w:sz w:val="21"/>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sz w:val="21"/>
                <w:szCs w:val="21"/>
                <w:lang w:bidi="ar"/>
              </w:rPr>
              <w:t>硫化氢</w:t>
            </w:r>
          </w:p>
        </w:tc>
        <w:tc>
          <w:tcPr>
            <w:tcW w:w="1074"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bidi="ar"/>
              </w:rPr>
              <w:t>国家环境保护总局（2003年）（第四版增补版）</w:t>
            </w:r>
          </w:p>
        </w:tc>
        <w:tc>
          <w:tcPr>
            <w:tcW w:w="1993"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bidi="ar"/>
              </w:rPr>
              <w:t>空气和废气监测分析方法第五篇第四章十（三）亚甲基蓝分光光度法</w:t>
            </w:r>
          </w:p>
        </w:tc>
        <w:tc>
          <w:tcPr>
            <w:tcW w:w="745"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bidi="ar"/>
              </w:rPr>
              <w:t>0.001mg/m</w:t>
            </w:r>
            <w:r>
              <w:rPr>
                <w:rFonts w:hint="default" w:ascii="Times New Roman" w:hAnsi="Times New Roman" w:eastAsia="宋体" w:cs="Times New Roman"/>
                <w:color w:val="auto"/>
                <w:sz w:val="21"/>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臭气浓度</w:t>
            </w:r>
          </w:p>
        </w:tc>
        <w:tc>
          <w:tcPr>
            <w:tcW w:w="1074"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HJ 1262-2022</w:t>
            </w:r>
          </w:p>
        </w:tc>
        <w:tc>
          <w:tcPr>
            <w:tcW w:w="1993"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环境空气和废气 臭气的测定  三点比较式臭袋法</w:t>
            </w:r>
          </w:p>
        </w:tc>
        <w:tc>
          <w:tcPr>
            <w:tcW w:w="745"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10（无量纲）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VOCs(以非甲烷总烃计）</w:t>
            </w:r>
          </w:p>
        </w:tc>
        <w:tc>
          <w:tcPr>
            <w:tcW w:w="1074"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 xml:space="preserve">HJ </w:t>
            </w:r>
            <w:r>
              <w:rPr>
                <w:rFonts w:hint="default" w:ascii="Times New Roman" w:hAnsi="Times New Roman" w:eastAsia="宋体" w:cs="Times New Roman"/>
                <w:sz w:val="21"/>
                <w:szCs w:val="21"/>
                <w:lang w:val="en-US" w:eastAsia="zh-CN"/>
              </w:rPr>
              <w:t>38</w:t>
            </w:r>
            <w:r>
              <w:rPr>
                <w:rFonts w:hint="default" w:ascii="Times New Roman" w:hAnsi="Times New Roman" w:eastAsia="宋体" w:cs="Times New Roman"/>
                <w:sz w:val="21"/>
                <w:szCs w:val="21"/>
              </w:rPr>
              <w:t>-2017</w:t>
            </w:r>
          </w:p>
        </w:tc>
        <w:tc>
          <w:tcPr>
            <w:tcW w:w="1993"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固定污染源废气 总烃、甲烷和非甲烷总烃的测定 气相色谱法</w:t>
            </w:r>
          </w:p>
        </w:tc>
        <w:tc>
          <w:tcPr>
            <w:tcW w:w="745"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0.07</w:t>
            </w:r>
            <w:r>
              <w:rPr>
                <w:rFonts w:hint="default" w:ascii="Times New Roman" w:hAnsi="Times New Roman" w:eastAsia="宋体" w:cs="Times New Roman"/>
                <w:sz w:val="21"/>
                <w:szCs w:val="21"/>
              </w:rPr>
              <w:t xml:space="preserve"> mg/m</w:t>
            </w:r>
            <w:r>
              <w:rPr>
                <w:rFonts w:hint="default" w:ascii="Times New Roman" w:hAnsi="Times New Roman" w:eastAsia="宋体" w:cs="Times New Roman"/>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7" w:type="pct"/>
            <w:gridSpan w:val="2"/>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检测项目</w:t>
            </w:r>
          </w:p>
        </w:tc>
        <w:tc>
          <w:tcPr>
            <w:tcW w:w="3812" w:type="pct"/>
            <w:gridSpan w:val="3"/>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无组织废气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1</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lang w:val="en-US" w:eastAsia="zh-CN"/>
              </w:rPr>
              <w:t>VOCs(以非甲烷总烃计）</w:t>
            </w:r>
          </w:p>
        </w:tc>
        <w:tc>
          <w:tcPr>
            <w:tcW w:w="1074"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 xml:space="preserve">HJ </w:t>
            </w:r>
            <w:r>
              <w:rPr>
                <w:rFonts w:hint="default" w:ascii="Times New Roman" w:hAnsi="Times New Roman" w:eastAsia="宋体" w:cs="Times New Roman"/>
                <w:color w:val="auto"/>
                <w:sz w:val="21"/>
                <w:szCs w:val="21"/>
                <w:lang w:val="en-US" w:eastAsia="zh-CN"/>
              </w:rPr>
              <w:t>604</w:t>
            </w:r>
            <w:r>
              <w:rPr>
                <w:rFonts w:hint="default" w:ascii="Times New Roman" w:hAnsi="Times New Roman" w:eastAsia="宋体" w:cs="Times New Roman"/>
                <w:color w:val="auto"/>
                <w:sz w:val="21"/>
                <w:szCs w:val="21"/>
              </w:rPr>
              <w:t>-2017</w:t>
            </w:r>
          </w:p>
        </w:tc>
        <w:tc>
          <w:tcPr>
            <w:tcW w:w="1993"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环境空气 总烃、甲烷和非甲烷总烃的测定 直接进样-气相色谱法</w:t>
            </w:r>
          </w:p>
        </w:tc>
        <w:tc>
          <w:tcPr>
            <w:tcW w:w="745"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0.</w:t>
            </w:r>
            <w:r>
              <w:rPr>
                <w:rFonts w:hint="default" w:ascii="Times New Roman" w:hAnsi="Times New Roman" w:eastAsia="宋体" w:cs="Times New Roman"/>
                <w:color w:val="auto"/>
                <w:sz w:val="21"/>
                <w:szCs w:val="21"/>
                <w:lang w:val="en-US" w:eastAsia="zh-CN"/>
              </w:rPr>
              <w:t>07</w:t>
            </w:r>
            <w:r>
              <w:rPr>
                <w:rFonts w:hint="default" w:ascii="Times New Roman" w:hAnsi="Times New Roman" w:eastAsia="宋体" w:cs="Times New Roman"/>
                <w:color w:val="auto"/>
                <w:sz w:val="21"/>
                <w:szCs w:val="21"/>
              </w:rPr>
              <w:t xml:space="preserve"> mg/m</w:t>
            </w:r>
            <w:r>
              <w:rPr>
                <w:rFonts w:hint="default" w:ascii="Times New Roman" w:hAnsi="Times New Roman" w:eastAsia="宋体" w:cs="Times New Roman"/>
                <w:color w:val="auto"/>
                <w:sz w:val="21"/>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硫化氢</w:t>
            </w:r>
          </w:p>
        </w:tc>
        <w:tc>
          <w:tcPr>
            <w:tcW w:w="107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国家环境保护总局（2003年）（第四版增补版）</w:t>
            </w:r>
          </w:p>
        </w:tc>
        <w:tc>
          <w:tcPr>
            <w:tcW w:w="1993"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空气和废气监测分析方法 第三篇第一章十一（二）亚甲基蓝分光光度法</w:t>
            </w:r>
          </w:p>
        </w:tc>
        <w:tc>
          <w:tcPr>
            <w:tcW w:w="745"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0.001mg/m</w:t>
            </w:r>
            <w:r>
              <w:rPr>
                <w:rFonts w:hint="default" w:ascii="Times New Roman" w:hAnsi="Times New Roman" w:eastAsia="宋体" w:cs="Times New Roman"/>
                <w:color w:val="auto"/>
                <w:sz w:val="21"/>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bidi="ar"/>
              </w:rPr>
              <w:t>臭气浓度</w:t>
            </w:r>
          </w:p>
        </w:tc>
        <w:tc>
          <w:tcPr>
            <w:tcW w:w="107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HJ 1262-2022</w:t>
            </w:r>
          </w:p>
        </w:tc>
        <w:tc>
          <w:tcPr>
            <w:tcW w:w="1993"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环境空气和废气 臭气的测定  三点比较式臭袋法</w:t>
            </w:r>
          </w:p>
        </w:tc>
        <w:tc>
          <w:tcPr>
            <w:tcW w:w="745"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10（无量纲）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氨</w:t>
            </w:r>
          </w:p>
        </w:tc>
        <w:tc>
          <w:tcPr>
            <w:tcW w:w="107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HJ 533-2009</w:t>
            </w:r>
          </w:p>
        </w:tc>
        <w:tc>
          <w:tcPr>
            <w:tcW w:w="1993"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环境空气和废气  氨的测定  纳氏试剂分光光度法</w:t>
            </w:r>
          </w:p>
        </w:tc>
        <w:tc>
          <w:tcPr>
            <w:tcW w:w="745"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color w:val="auto"/>
                <w:sz w:val="21"/>
                <w:szCs w:val="21"/>
                <w:lang w:bidi="ar"/>
              </w:rPr>
              <w:t>0.</w:t>
            </w:r>
            <w:r>
              <w:rPr>
                <w:rFonts w:hint="default" w:ascii="Times New Roman" w:hAnsi="Times New Roman" w:eastAsia="宋体" w:cs="Times New Roman"/>
                <w:color w:val="auto"/>
                <w:sz w:val="21"/>
                <w:szCs w:val="21"/>
                <w:lang w:val="en-US" w:eastAsia="zh-CN" w:bidi="ar"/>
              </w:rPr>
              <w:t>01</w:t>
            </w:r>
            <w:r>
              <w:rPr>
                <w:rFonts w:hint="default" w:ascii="Times New Roman" w:hAnsi="Times New Roman" w:eastAsia="宋体" w:cs="Times New Roman"/>
                <w:color w:val="auto"/>
                <w:sz w:val="21"/>
                <w:szCs w:val="21"/>
                <w:lang w:bidi="ar"/>
              </w:rPr>
              <w:t>mg/m</w:t>
            </w:r>
            <w:r>
              <w:rPr>
                <w:rFonts w:hint="default" w:ascii="Times New Roman" w:hAnsi="Times New Roman" w:eastAsia="宋体" w:cs="Times New Roman"/>
                <w:color w:val="auto"/>
                <w:sz w:val="21"/>
                <w:szCs w:val="21"/>
                <w:vertAlign w:val="superscript"/>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7" w:type="pct"/>
            <w:gridSpan w:val="2"/>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bidi="ar"/>
              </w:rPr>
            </w:pPr>
            <w:r>
              <w:rPr>
                <w:rFonts w:hint="default" w:ascii="Times New Roman" w:hAnsi="Times New Roman" w:eastAsia="宋体" w:cs="Times New Roman"/>
                <w:sz w:val="21"/>
                <w:szCs w:val="21"/>
              </w:rPr>
              <w:t>检测项目</w:t>
            </w:r>
          </w:p>
        </w:tc>
        <w:tc>
          <w:tcPr>
            <w:tcW w:w="3812" w:type="pct"/>
            <w:gridSpan w:val="3"/>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val="en-US" w:eastAsia="zh-CN" w:bidi="ar"/>
              </w:rPr>
            </w:pPr>
            <w:r>
              <w:rPr>
                <w:rFonts w:hint="default" w:ascii="Times New Roman" w:hAnsi="Times New Roman" w:eastAsia="宋体" w:cs="Times New Roman"/>
                <w:color w:val="auto"/>
                <w:sz w:val="21"/>
                <w:szCs w:val="21"/>
                <w:lang w:val="en-US" w:eastAsia="zh-CN" w:bidi="ar"/>
              </w:rPr>
              <w:t>废水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1</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pH</w:t>
            </w:r>
          </w:p>
        </w:tc>
        <w:tc>
          <w:tcPr>
            <w:tcW w:w="1074"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HJ 1147-2020</w:t>
            </w:r>
          </w:p>
        </w:tc>
        <w:tc>
          <w:tcPr>
            <w:tcW w:w="1993"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水质 pH 值的测定 电极法</w:t>
            </w:r>
          </w:p>
        </w:tc>
        <w:tc>
          <w:tcPr>
            <w:tcW w:w="745"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2</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SS</w:t>
            </w:r>
          </w:p>
        </w:tc>
        <w:tc>
          <w:tcPr>
            <w:tcW w:w="1074"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GB/T 11901-1989</w:t>
            </w:r>
          </w:p>
        </w:tc>
        <w:tc>
          <w:tcPr>
            <w:tcW w:w="1993"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水质 悬浮物的测定 重量法</w:t>
            </w:r>
          </w:p>
        </w:tc>
        <w:tc>
          <w:tcPr>
            <w:tcW w:w="745"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4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3</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全盐量</w:t>
            </w:r>
          </w:p>
        </w:tc>
        <w:tc>
          <w:tcPr>
            <w:tcW w:w="1074"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color w:val="000000"/>
                <w:sz w:val="21"/>
                <w:szCs w:val="21"/>
                <w:lang w:bidi="ar"/>
              </w:rPr>
              <w:t>HJ/T 51-1999</w:t>
            </w:r>
          </w:p>
        </w:tc>
        <w:tc>
          <w:tcPr>
            <w:tcW w:w="1993"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color w:val="000000"/>
                <w:sz w:val="21"/>
                <w:szCs w:val="21"/>
                <w:lang w:bidi="ar"/>
              </w:rPr>
              <w:t>水质 全盐量的测定 重量法</w:t>
            </w:r>
          </w:p>
        </w:tc>
        <w:tc>
          <w:tcPr>
            <w:tcW w:w="745"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color w:val="000000"/>
                <w:sz w:val="21"/>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4</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COD</w:t>
            </w:r>
          </w:p>
        </w:tc>
        <w:tc>
          <w:tcPr>
            <w:tcW w:w="1074"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HJ 828-2017</w:t>
            </w:r>
          </w:p>
        </w:tc>
        <w:tc>
          <w:tcPr>
            <w:tcW w:w="1993"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水质 化学需氧量的测定 重铬酸盐法</w:t>
            </w:r>
          </w:p>
        </w:tc>
        <w:tc>
          <w:tcPr>
            <w:tcW w:w="745"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4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5</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氨氮</w:t>
            </w:r>
          </w:p>
        </w:tc>
        <w:tc>
          <w:tcPr>
            <w:tcW w:w="1074"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HJ 535-2009</w:t>
            </w:r>
          </w:p>
        </w:tc>
        <w:tc>
          <w:tcPr>
            <w:tcW w:w="1993"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水质 氨氮的测定 纳氏试剂分光光度法</w:t>
            </w:r>
          </w:p>
        </w:tc>
        <w:tc>
          <w:tcPr>
            <w:tcW w:w="745"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0.025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6</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总磷</w:t>
            </w:r>
          </w:p>
        </w:tc>
        <w:tc>
          <w:tcPr>
            <w:tcW w:w="1074"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GB/T 11893-1989</w:t>
            </w:r>
          </w:p>
        </w:tc>
        <w:tc>
          <w:tcPr>
            <w:tcW w:w="1993"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水质 总磷的测定 钼酸铵分光光度法</w:t>
            </w:r>
          </w:p>
        </w:tc>
        <w:tc>
          <w:tcPr>
            <w:tcW w:w="745"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7</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color w:val="auto"/>
                <w:kern w:val="2"/>
                <w:sz w:val="21"/>
                <w:szCs w:val="21"/>
                <w:lang w:val="en-US" w:eastAsia="zh-CN" w:bidi="ar"/>
              </w:rPr>
            </w:pPr>
            <w:r>
              <w:rPr>
                <w:rFonts w:hint="default" w:ascii="Times New Roman" w:hAnsi="Times New Roman" w:eastAsia="宋体" w:cs="Times New Roman"/>
                <w:color w:val="auto"/>
                <w:sz w:val="21"/>
                <w:szCs w:val="21"/>
                <w:lang w:bidi="ar"/>
              </w:rPr>
              <w:t>总氮</w:t>
            </w:r>
          </w:p>
        </w:tc>
        <w:tc>
          <w:tcPr>
            <w:tcW w:w="1074"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HJ 636-2012</w:t>
            </w:r>
          </w:p>
        </w:tc>
        <w:tc>
          <w:tcPr>
            <w:tcW w:w="1993"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水质 总氮的测定 碱性过硫酸钾消解紫外分光光度法</w:t>
            </w:r>
          </w:p>
        </w:tc>
        <w:tc>
          <w:tcPr>
            <w:tcW w:w="745"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sz w:val="21"/>
                <w:szCs w:val="21"/>
                <w:lang w:bidi="ar"/>
              </w:rPr>
              <w:t>0.05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8</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sz w:val="21"/>
                <w:szCs w:val="21"/>
                <w:lang w:bidi="ar"/>
              </w:rPr>
              <w:t>BOD</w:t>
            </w:r>
            <w:r>
              <w:rPr>
                <w:rFonts w:hint="default" w:ascii="Times New Roman" w:hAnsi="Times New Roman" w:eastAsia="宋体" w:cs="Times New Roman"/>
                <w:color w:val="000000"/>
                <w:sz w:val="21"/>
                <w:szCs w:val="21"/>
                <w:vertAlign w:val="subscript"/>
                <w:lang w:bidi="ar"/>
              </w:rPr>
              <w:t>5</w:t>
            </w:r>
          </w:p>
        </w:tc>
        <w:tc>
          <w:tcPr>
            <w:tcW w:w="1074" w:type="pct"/>
            <w:noWrap w:val="0"/>
            <w:vAlign w:val="center"/>
          </w:tcPr>
          <w:p>
            <w:pPr>
              <w:adjustRightInd w:val="0"/>
              <w:snapToGrid w:val="0"/>
              <w:spacing w:line="360" w:lineRule="exact"/>
              <w:jc w:val="center"/>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sz w:val="21"/>
                <w:szCs w:val="21"/>
                <w:lang w:bidi="ar"/>
              </w:rPr>
              <w:t>HJ 505-2009</w:t>
            </w:r>
          </w:p>
        </w:tc>
        <w:tc>
          <w:tcPr>
            <w:tcW w:w="1993" w:type="pct"/>
            <w:noWrap w:val="0"/>
            <w:vAlign w:val="center"/>
          </w:tcPr>
          <w:p>
            <w:pPr>
              <w:adjustRightInd w:val="0"/>
              <w:snapToGrid w:val="0"/>
              <w:spacing w:line="360" w:lineRule="exact"/>
              <w:jc w:val="center"/>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sz w:val="21"/>
                <w:szCs w:val="21"/>
                <w:lang w:bidi="ar"/>
              </w:rPr>
              <w:t>水质 五日生化需氧量（BOD</w:t>
            </w:r>
            <w:r>
              <w:rPr>
                <w:rFonts w:hint="default" w:ascii="Times New Roman" w:hAnsi="Times New Roman" w:eastAsia="宋体" w:cs="Times New Roman"/>
                <w:color w:val="000000"/>
                <w:sz w:val="21"/>
                <w:szCs w:val="21"/>
                <w:vertAlign w:val="subscript"/>
                <w:lang w:bidi="ar"/>
              </w:rPr>
              <w:t>5</w:t>
            </w:r>
            <w:r>
              <w:rPr>
                <w:rFonts w:hint="default" w:ascii="Times New Roman" w:hAnsi="Times New Roman" w:eastAsia="宋体" w:cs="Times New Roman"/>
                <w:color w:val="000000"/>
                <w:sz w:val="21"/>
                <w:szCs w:val="21"/>
                <w:lang w:bidi="ar"/>
              </w:rPr>
              <w:t>）的测定 稀释与接种法</w:t>
            </w:r>
          </w:p>
        </w:tc>
        <w:tc>
          <w:tcPr>
            <w:tcW w:w="745" w:type="pct"/>
            <w:noWrap w:val="0"/>
            <w:vAlign w:val="center"/>
          </w:tcPr>
          <w:p>
            <w:pPr>
              <w:adjustRightInd w:val="0"/>
              <w:snapToGrid w:val="0"/>
              <w:spacing w:line="360" w:lineRule="exact"/>
              <w:jc w:val="center"/>
              <w:rPr>
                <w:rFonts w:hint="default" w:ascii="Times New Roman" w:hAnsi="Times New Roman" w:eastAsia="宋体" w:cs="Times New Roman"/>
                <w:color w:val="000000"/>
                <w:kern w:val="2"/>
                <w:sz w:val="21"/>
                <w:szCs w:val="21"/>
                <w:lang w:val="en-US" w:eastAsia="zh-CN" w:bidi="ar"/>
              </w:rPr>
            </w:pPr>
            <w:r>
              <w:rPr>
                <w:rFonts w:hint="default" w:ascii="Times New Roman" w:hAnsi="Times New Roman" w:eastAsia="宋体" w:cs="Times New Roman"/>
                <w:color w:val="000000"/>
                <w:sz w:val="21"/>
                <w:szCs w:val="21"/>
                <w:lang w:bidi="ar"/>
              </w:rPr>
              <w:t>0.5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9</w:t>
            </w:r>
          </w:p>
        </w:tc>
        <w:tc>
          <w:tcPr>
            <w:tcW w:w="839"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color w:val="000000"/>
                <w:sz w:val="21"/>
                <w:szCs w:val="21"/>
                <w:lang w:bidi="ar"/>
              </w:rPr>
              <w:t>氟化物</w:t>
            </w:r>
          </w:p>
        </w:tc>
        <w:tc>
          <w:tcPr>
            <w:tcW w:w="1074"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color w:val="000000"/>
                <w:sz w:val="21"/>
                <w:szCs w:val="21"/>
                <w:lang w:bidi="ar"/>
              </w:rPr>
              <w:t>GB/T 7484-1987</w:t>
            </w:r>
          </w:p>
        </w:tc>
        <w:tc>
          <w:tcPr>
            <w:tcW w:w="1993"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color w:val="000000"/>
                <w:sz w:val="21"/>
                <w:szCs w:val="21"/>
                <w:lang w:bidi="ar"/>
              </w:rPr>
              <w:t>水质 氟化物的测定 离子选择电极法</w:t>
            </w:r>
          </w:p>
        </w:tc>
        <w:tc>
          <w:tcPr>
            <w:tcW w:w="745" w:type="pct"/>
            <w:noWrap w:val="0"/>
            <w:vAlign w:val="center"/>
          </w:tcPr>
          <w:p>
            <w:pPr>
              <w:adjustRightInd w:val="0"/>
              <w:snapToGrid w:val="0"/>
              <w:spacing w:line="360" w:lineRule="exact"/>
              <w:jc w:val="center"/>
              <w:rPr>
                <w:rFonts w:hint="default" w:ascii="Times New Roman" w:hAnsi="Times New Roman" w:eastAsia="宋体" w:cs="Times New Roman"/>
                <w:kern w:val="2"/>
                <w:sz w:val="21"/>
                <w:szCs w:val="21"/>
                <w:lang w:val="en-US" w:eastAsia="zh-CN" w:bidi="ar"/>
              </w:rPr>
            </w:pPr>
            <w:r>
              <w:rPr>
                <w:rFonts w:hint="default" w:ascii="Times New Roman" w:hAnsi="Times New Roman" w:eastAsia="宋体" w:cs="Times New Roman"/>
                <w:color w:val="000000"/>
                <w:sz w:val="21"/>
                <w:szCs w:val="21"/>
                <w:lang w:bidi="ar"/>
              </w:rPr>
              <w:t>0.05 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87" w:type="pct"/>
            <w:gridSpan w:val="2"/>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检测项目</w:t>
            </w:r>
          </w:p>
        </w:tc>
        <w:tc>
          <w:tcPr>
            <w:tcW w:w="3812" w:type="pct"/>
            <w:gridSpan w:val="3"/>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8"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839"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噪声</w:t>
            </w:r>
          </w:p>
        </w:tc>
        <w:tc>
          <w:tcPr>
            <w:tcW w:w="1074"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GB 12348-2008</w:t>
            </w:r>
          </w:p>
        </w:tc>
        <w:tc>
          <w:tcPr>
            <w:tcW w:w="1993"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工业企业厂界环境噪声排放标准</w:t>
            </w:r>
          </w:p>
        </w:tc>
        <w:tc>
          <w:tcPr>
            <w:tcW w:w="745" w:type="pc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bl>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表</w:t>
      </w:r>
      <w:r>
        <w:rPr>
          <w:rFonts w:hint="eastAsia" w:cs="Times New Roman"/>
          <w:b/>
          <w:sz w:val="21"/>
          <w:szCs w:val="21"/>
          <w:lang w:val="en-US" w:eastAsia="zh-CN"/>
        </w:rPr>
        <w:t>8</w:t>
      </w:r>
      <w:r>
        <w:rPr>
          <w:rFonts w:hint="eastAsia" w:ascii="Times New Roman" w:hAnsi="Times New Roman" w:eastAsia="宋体" w:cs="Times New Roman"/>
          <w:b/>
          <w:sz w:val="21"/>
          <w:szCs w:val="21"/>
          <w:lang w:val="en-US" w:eastAsia="zh-CN"/>
        </w:rPr>
        <w:t>-2  主要检测设备一览表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9"/>
        <w:gridCol w:w="1567"/>
        <w:gridCol w:w="2238"/>
        <w:gridCol w:w="1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设备名称</w:t>
            </w:r>
          </w:p>
        </w:tc>
        <w:tc>
          <w:tcPr>
            <w:tcW w:w="919" w:type="pct"/>
            <w:noWrap w:val="0"/>
            <w:vAlign w:val="center"/>
          </w:tcPr>
          <w:p>
            <w:pPr>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设备型号</w:t>
            </w:r>
          </w:p>
        </w:tc>
        <w:tc>
          <w:tcPr>
            <w:tcW w:w="1313" w:type="pct"/>
            <w:noWrap w:val="0"/>
            <w:vAlign w:val="center"/>
          </w:tcPr>
          <w:p>
            <w:pPr>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设备编号</w:t>
            </w:r>
          </w:p>
        </w:tc>
        <w:tc>
          <w:tcPr>
            <w:tcW w:w="1053" w:type="pct"/>
            <w:noWrap w:val="0"/>
            <w:vAlign w:val="center"/>
          </w:tcPr>
          <w:p>
            <w:pPr>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仪器溯源有效期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电子天平（十万分之一）</w:t>
            </w:r>
          </w:p>
        </w:tc>
        <w:tc>
          <w:tcPr>
            <w:tcW w:w="919"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PX125DZH</w:t>
            </w:r>
          </w:p>
        </w:tc>
        <w:tc>
          <w:tcPr>
            <w:tcW w:w="1313"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yellow"/>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SDHC-YQ001-2022</w:t>
            </w:r>
          </w:p>
        </w:tc>
        <w:tc>
          <w:tcPr>
            <w:tcW w:w="1053"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低浓度称量恒温恒湿设备</w:t>
            </w:r>
          </w:p>
        </w:tc>
        <w:tc>
          <w:tcPr>
            <w:tcW w:w="919"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HW-5500</w:t>
            </w:r>
          </w:p>
        </w:tc>
        <w:tc>
          <w:tcPr>
            <w:tcW w:w="1313"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SDHC-YQ012-2022</w:t>
            </w:r>
          </w:p>
        </w:tc>
        <w:tc>
          <w:tcPr>
            <w:tcW w:w="1053" w:type="pct"/>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widowControl/>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val="en-US" w:eastAsia="zh-CN" w:bidi="ar"/>
              </w:rPr>
              <w:t>无嗅空气净化装置（臭气浓度）</w:t>
            </w:r>
          </w:p>
        </w:tc>
        <w:tc>
          <w:tcPr>
            <w:tcW w:w="919" w:type="pct"/>
            <w:noWrap w:val="0"/>
            <w:vAlign w:val="center"/>
          </w:tcPr>
          <w:p>
            <w:pPr>
              <w:widowControl/>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val="en-US" w:eastAsia="zh-CN" w:bidi="ar"/>
              </w:rPr>
              <w:t>/</w:t>
            </w:r>
          </w:p>
        </w:tc>
        <w:tc>
          <w:tcPr>
            <w:tcW w:w="1313" w:type="pct"/>
            <w:noWrap w:val="0"/>
            <w:vAlign w:val="center"/>
          </w:tcPr>
          <w:p>
            <w:pPr>
              <w:widowControl/>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val="en-US" w:eastAsia="zh-CN" w:bidi="ar"/>
              </w:rPr>
              <w:t>SDHC-YQ026-2022</w:t>
            </w:r>
          </w:p>
        </w:tc>
        <w:tc>
          <w:tcPr>
            <w:tcW w:w="1053" w:type="pct"/>
            <w:noWrap w:val="0"/>
            <w:vAlign w:val="center"/>
          </w:tcPr>
          <w:p>
            <w:pPr>
              <w:widowControl/>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color w:val="auto"/>
                <w:kern w:val="0"/>
                <w:sz w:val="21"/>
                <w:szCs w:val="21"/>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恒温恒流大气/颗粒物采样器</w:t>
            </w:r>
          </w:p>
        </w:tc>
        <w:tc>
          <w:tcPr>
            <w:tcW w:w="919"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MH1205</w:t>
            </w:r>
          </w:p>
        </w:tc>
        <w:tc>
          <w:tcPr>
            <w:tcW w:w="1313"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SDHC-YQ057-2022</w:t>
            </w:r>
          </w:p>
        </w:tc>
        <w:tc>
          <w:tcPr>
            <w:tcW w:w="1053"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恒温恒流大气/颗粒物采样器</w:t>
            </w:r>
          </w:p>
        </w:tc>
        <w:tc>
          <w:tcPr>
            <w:tcW w:w="919"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MH1205</w:t>
            </w:r>
          </w:p>
        </w:tc>
        <w:tc>
          <w:tcPr>
            <w:tcW w:w="1313"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SDHC-YQ058-2022</w:t>
            </w:r>
          </w:p>
        </w:tc>
        <w:tc>
          <w:tcPr>
            <w:tcW w:w="1053"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恒温恒流大气/颗粒物采样器</w:t>
            </w:r>
          </w:p>
        </w:tc>
        <w:tc>
          <w:tcPr>
            <w:tcW w:w="919"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MH1205</w:t>
            </w:r>
          </w:p>
        </w:tc>
        <w:tc>
          <w:tcPr>
            <w:tcW w:w="1313"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SDHC-YQ059-2022</w:t>
            </w:r>
          </w:p>
        </w:tc>
        <w:tc>
          <w:tcPr>
            <w:tcW w:w="1053"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恒温恒流大气/颗粒物采样器</w:t>
            </w:r>
          </w:p>
        </w:tc>
        <w:tc>
          <w:tcPr>
            <w:tcW w:w="919"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MH1205</w:t>
            </w:r>
          </w:p>
        </w:tc>
        <w:tc>
          <w:tcPr>
            <w:tcW w:w="131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SDHC-YQ060-2022</w:t>
            </w:r>
          </w:p>
        </w:tc>
        <w:tc>
          <w:tcPr>
            <w:tcW w:w="1053"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大流量烟尘（气）测试仪</w:t>
            </w:r>
          </w:p>
        </w:tc>
        <w:tc>
          <w:tcPr>
            <w:tcW w:w="919"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YQ3000-D</w:t>
            </w:r>
          </w:p>
        </w:tc>
        <w:tc>
          <w:tcPr>
            <w:tcW w:w="1313"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SDHC-YQ095-2022</w:t>
            </w:r>
          </w:p>
        </w:tc>
        <w:tc>
          <w:tcPr>
            <w:tcW w:w="1053" w:type="pct"/>
            <w:noWrap w:val="0"/>
            <w:vAlign w:val="center"/>
          </w:tcPr>
          <w:p>
            <w:pPr>
              <w:jc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2024.12.16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空盒气压表</w:t>
            </w:r>
          </w:p>
        </w:tc>
        <w:tc>
          <w:tcPr>
            <w:tcW w:w="919"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DYM</w:t>
            </w:r>
            <w:r>
              <w:rPr>
                <w:rFonts w:hint="default" w:ascii="Times New Roman" w:hAnsi="Times New Roman" w:eastAsia="宋体" w:cs="Times New Roman"/>
                <w:color w:val="auto"/>
                <w:sz w:val="21"/>
                <w:szCs w:val="21"/>
                <w:u w:val="none"/>
                <w:vertAlign w:val="subscript"/>
                <w:lang w:val="en-US" w:eastAsia="zh-CN" w:bidi="ar"/>
              </w:rPr>
              <w:t>3</w:t>
            </w:r>
          </w:p>
        </w:tc>
        <w:tc>
          <w:tcPr>
            <w:tcW w:w="1313"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SDHC-YQ043-2022</w:t>
            </w:r>
          </w:p>
        </w:tc>
        <w:tc>
          <w:tcPr>
            <w:tcW w:w="105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指针式温湿度计</w:t>
            </w:r>
          </w:p>
        </w:tc>
        <w:tc>
          <w:tcPr>
            <w:tcW w:w="919" w:type="pct"/>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WS-A1</w:t>
            </w:r>
          </w:p>
        </w:tc>
        <w:tc>
          <w:tcPr>
            <w:tcW w:w="1313" w:type="pct"/>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SDHC-YQ033-2022</w:t>
            </w:r>
          </w:p>
        </w:tc>
        <w:tc>
          <w:tcPr>
            <w:tcW w:w="1053" w:type="pct"/>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便携式风向风速仪</w:t>
            </w:r>
          </w:p>
        </w:tc>
        <w:tc>
          <w:tcPr>
            <w:tcW w:w="919"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16026</w:t>
            </w:r>
          </w:p>
        </w:tc>
        <w:tc>
          <w:tcPr>
            <w:tcW w:w="1313"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SDHC-YQ044-2022</w:t>
            </w:r>
          </w:p>
        </w:tc>
        <w:tc>
          <w:tcPr>
            <w:tcW w:w="105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声级校准器</w:t>
            </w:r>
          </w:p>
        </w:tc>
        <w:tc>
          <w:tcPr>
            <w:tcW w:w="919"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AWA6021A</w:t>
            </w:r>
          </w:p>
        </w:tc>
        <w:tc>
          <w:tcPr>
            <w:tcW w:w="1313"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SDHC-YQ041-2022</w:t>
            </w:r>
          </w:p>
        </w:tc>
        <w:tc>
          <w:tcPr>
            <w:tcW w:w="105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多功能声级计</w:t>
            </w:r>
          </w:p>
        </w:tc>
        <w:tc>
          <w:tcPr>
            <w:tcW w:w="919"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AWA6228+</w:t>
            </w:r>
          </w:p>
        </w:tc>
        <w:tc>
          <w:tcPr>
            <w:tcW w:w="1313"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SDHC-YQ054-2022</w:t>
            </w:r>
          </w:p>
        </w:tc>
        <w:tc>
          <w:tcPr>
            <w:tcW w:w="1053" w:type="pct"/>
            <w:noWrap w:val="0"/>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2024.09.18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污染源真空采样器</w:t>
            </w:r>
          </w:p>
        </w:tc>
        <w:tc>
          <w:tcPr>
            <w:tcW w:w="919"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c>
          <w:tcPr>
            <w:tcW w:w="1313"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SDHC-YQ071-2022</w:t>
            </w:r>
          </w:p>
        </w:tc>
        <w:tc>
          <w:tcPr>
            <w:tcW w:w="1053"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全自动烟气采样器</w:t>
            </w:r>
          </w:p>
        </w:tc>
        <w:tc>
          <w:tcPr>
            <w:tcW w:w="919" w:type="pct"/>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MH3001</w:t>
            </w:r>
          </w:p>
        </w:tc>
        <w:tc>
          <w:tcPr>
            <w:tcW w:w="1313" w:type="pct"/>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SDHC-YQ094-2022</w:t>
            </w:r>
          </w:p>
        </w:tc>
        <w:tc>
          <w:tcPr>
            <w:tcW w:w="1053" w:type="pct"/>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2024.12.16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全自动烟气采样器</w:t>
            </w:r>
          </w:p>
        </w:tc>
        <w:tc>
          <w:tcPr>
            <w:tcW w:w="919" w:type="pct"/>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MH3001</w:t>
            </w:r>
          </w:p>
        </w:tc>
        <w:tc>
          <w:tcPr>
            <w:tcW w:w="1313" w:type="pct"/>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SDHC-YQ062-2022</w:t>
            </w:r>
          </w:p>
        </w:tc>
        <w:tc>
          <w:tcPr>
            <w:tcW w:w="1053" w:type="pct"/>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2024.05.12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便携式PH计</w:t>
            </w:r>
          </w:p>
        </w:tc>
        <w:tc>
          <w:tcPr>
            <w:tcW w:w="919" w:type="pct"/>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PHBJ-260</w:t>
            </w:r>
          </w:p>
        </w:tc>
        <w:tc>
          <w:tcPr>
            <w:tcW w:w="1313" w:type="pct"/>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SDHC-YQ045-2022</w:t>
            </w:r>
          </w:p>
        </w:tc>
        <w:tc>
          <w:tcPr>
            <w:tcW w:w="1053" w:type="pct"/>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COD恒温加热器</w:t>
            </w:r>
          </w:p>
        </w:tc>
        <w:tc>
          <w:tcPr>
            <w:tcW w:w="919" w:type="pct"/>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JC-101</w:t>
            </w:r>
          </w:p>
        </w:tc>
        <w:tc>
          <w:tcPr>
            <w:tcW w:w="1313" w:type="pct"/>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SDHC-YQ015-2022</w:t>
            </w:r>
          </w:p>
        </w:tc>
        <w:tc>
          <w:tcPr>
            <w:tcW w:w="1053" w:type="pct"/>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紫外可见分光光度计</w:t>
            </w:r>
          </w:p>
        </w:tc>
        <w:tc>
          <w:tcPr>
            <w:tcW w:w="919" w:type="pct"/>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UV752</w:t>
            </w:r>
          </w:p>
        </w:tc>
        <w:tc>
          <w:tcPr>
            <w:tcW w:w="1313" w:type="pct"/>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SDHC-YQ010-2022</w:t>
            </w:r>
          </w:p>
        </w:tc>
        <w:tc>
          <w:tcPr>
            <w:tcW w:w="1053" w:type="pct"/>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手提式蒸汽灭菌器</w:t>
            </w:r>
          </w:p>
        </w:tc>
        <w:tc>
          <w:tcPr>
            <w:tcW w:w="919" w:type="pct"/>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DSX-18-1</w:t>
            </w:r>
          </w:p>
        </w:tc>
        <w:tc>
          <w:tcPr>
            <w:tcW w:w="1313" w:type="pct"/>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SDHC-YQ016-2022</w:t>
            </w:r>
          </w:p>
        </w:tc>
        <w:tc>
          <w:tcPr>
            <w:tcW w:w="1053" w:type="pct"/>
            <w:noWrap w:val="0"/>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双光束紫外分光光度计</w:t>
            </w:r>
          </w:p>
        </w:tc>
        <w:tc>
          <w:tcPr>
            <w:tcW w:w="919" w:type="pct"/>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TUV1900</w:t>
            </w:r>
          </w:p>
        </w:tc>
        <w:tc>
          <w:tcPr>
            <w:tcW w:w="1313" w:type="pct"/>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SDHC-YQ011-2022</w:t>
            </w:r>
          </w:p>
        </w:tc>
        <w:tc>
          <w:tcPr>
            <w:tcW w:w="1053" w:type="pct"/>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电子天平（万分之一）</w:t>
            </w:r>
          </w:p>
        </w:tc>
        <w:tc>
          <w:tcPr>
            <w:tcW w:w="919" w:type="pct"/>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PX224ZH/E</w:t>
            </w:r>
          </w:p>
        </w:tc>
        <w:tc>
          <w:tcPr>
            <w:tcW w:w="1313" w:type="pct"/>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SDHC-YQ002-2022</w:t>
            </w:r>
          </w:p>
        </w:tc>
        <w:tc>
          <w:tcPr>
            <w:tcW w:w="1053" w:type="pct"/>
            <w:vAlign w:val="center"/>
          </w:tcPr>
          <w:p>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氟离子计</w:t>
            </w:r>
          </w:p>
        </w:tc>
        <w:tc>
          <w:tcPr>
            <w:tcW w:w="919" w:type="pct"/>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PXSJ-270F</w:t>
            </w:r>
          </w:p>
        </w:tc>
        <w:tc>
          <w:tcPr>
            <w:tcW w:w="1313" w:type="pct"/>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SDHC-YQ019-2022</w:t>
            </w:r>
          </w:p>
        </w:tc>
        <w:tc>
          <w:tcPr>
            <w:tcW w:w="1053" w:type="pct"/>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2024.06.13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12" w:type="pct"/>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生化培养箱</w:t>
            </w:r>
          </w:p>
        </w:tc>
        <w:tc>
          <w:tcPr>
            <w:tcW w:w="919" w:type="pct"/>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SPX-250BIII</w:t>
            </w:r>
          </w:p>
        </w:tc>
        <w:tc>
          <w:tcPr>
            <w:tcW w:w="1313" w:type="pct"/>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SDHC-YQ004-2022</w:t>
            </w:r>
          </w:p>
        </w:tc>
        <w:tc>
          <w:tcPr>
            <w:tcW w:w="1053" w:type="pct"/>
            <w:vAlign w:val="center"/>
          </w:tcPr>
          <w:p>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2024.06.13</w:t>
            </w:r>
          </w:p>
        </w:tc>
      </w:tr>
    </w:tbl>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54" w:name="_Toc2590"/>
      <w:r>
        <w:rPr>
          <w:rFonts w:hint="default" w:ascii="Times New Roman" w:hAnsi="Times New Roman" w:eastAsia="宋体" w:cs="Times New Roman"/>
          <w:b/>
          <w:sz w:val="28"/>
          <w:szCs w:val="32"/>
        </w:rPr>
        <w:t>8.2人员资质</w:t>
      </w:r>
      <w:bookmarkEnd w:id="54"/>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参加验收监测采样和测试的人员，按国家有关规定均持证上岗，所有监测设备均经过计量部门的检定并在检定有效周期内。</w:t>
      </w:r>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55" w:name="_Toc25310"/>
      <w:bookmarkStart w:id="56" w:name="_Toc4390"/>
      <w:bookmarkStart w:id="57" w:name="_Toc19288"/>
      <w:r>
        <w:rPr>
          <w:rFonts w:hint="default" w:ascii="Times New Roman" w:hAnsi="Times New Roman" w:eastAsia="宋体" w:cs="Times New Roman"/>
          <w:b/>
          <w:sz w:val="28"/>
          <w:szCs w:val="32"/>
        </w:rPr>
        <w:t>8.3水质监测分析过程中的质量保证和质量控制</w:t>
      </w:r>
      <w:bookmarkEnd w:id="55"/>
      <w:bookmarkEnd w:id="56"/>
      <w:bookmarkEnd w:id="57"/>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default" w:ascii="Times New Roman" w:hAnsi="Times New Roman" w:eastAsia="宋体" w:cs="Times New Roman"/>
          <w:color w:val="000000"/>
          <w:kern w:val="2"/>
          <w:sz w:val="24"/>
          <w:szCs w:val="28"/>
          <w:lang w:val="en-US" w:eastAsia="zh-CN" w:bidi="ar-SA"/>
        </w:rPr>
        <w:t>1、质控依据：</w:t>
      </w:r>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default" w:ascii="Times New Roman" w:hAnsi="Times New Roman" w:eastAsia="宋体" w:cs="Times New Roman"/>
          <w:color w:val="000000"/>
          <w:kern w:val="2"/>
          <w:sz w:val="24"/>
          <w:szCs w:val="28"/>
          <w:lang w:val="en-US" w:eastAsia="zh-CN" w:bidi="ar-SA"/>
        </w:rPr>
        <w:t>《固定源废气监测技术规范》HJ/T 397-2007</w:t>
      </w:r>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default" w:ascii="Times New Roman" w:hAnsi="Times New Roman" w:eastAsia="宋体" w:cs="Times New Roman"/>
          <w:color w:val="000000"/>
          <w:kern w:val="2"/>
          <w:sz w:val="24"/>
          <w:szCs w:val="28"/>
          <w:lang w:val="en-US" w:eastAsia="zh-CN" w:bidi="ar-SA"/>
        </w:rPr>
        <w:t>《环境监测质量管理技术导则》HJ 630-2011</w:t>
      </w:r>
    </w:p>
    <w:p>
      <w:pPr>
        <w:widowControl w:val="0"/>
        <w:spacing w:after="0" w:line="360" w:lineRule="auto"/>
        <w:ind w:left="0" w:firstLine="480" w:firstLineChars="200"/>
        <w:jc w:val="both"/>
        <w:rPr>
          <w:rFonts w:hint="eastAsia" w:ascii="Times New Roman" w:hAnsi="Times New Roman" w:eastAsia="宋体" w:cs="Times New Roman"/>
          <w:color w:val="000000"/>
          <w:kern w:val="2"/>
          <w:sz w:val="24"/>
          <w:szCs w:val="28"/>
          <w:lang w:val="en-US" w:eastAsia="zh-CN" w:bidi="ar-SA"/>
        </w:rPr>
      </w:pPr>
      <w:r>
        <w:rPr>
          <w:rFonts w:hint="eastAsia" w:ascii="Times New Roman" w:hAnsi="Times New Roman" w:eastAsia="宋体" w:cs="Times New Roman"/>
          <w:color w:val="000000"/>
          <w:kern w:val="2"/>
          <w:sz w:val="24"/>
          <w:szCs w:val="28"/>
          <w:lang w:val="en-US" w:eastAsia="zh-CN" w:bidi="ar-SA"/>
        </w:rPr>
        <w:t>《固定污染源监测质量保证与质量控制技术规范》HJT 373-2007</w:t>
      </w:r>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default" w:ascii="Times New Roman" w:hAnsi="Times New Roman" w:eastAsia="宋体" w:cs="Times New Roman"/>
          <w:color w:val="000000"/>
          <w:kern w:val="2"/>
          <w:sz w:val="24"/>
          <w:szCs w:val="28"/>
          <w:lang w:val="en-US" w:eastAsia="zh-CN" w:bidi="ar-SA"/>
        </w:rPr>
        <w:t>《污水监测技术规范》HJ 91.1-20192</w:t>
      </w:r>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eastAsia" w:ascii="Times New Roman" w:hAnsi="Times New Roman" w:eastAsia="宋体" w:cs="Times New Roman"/>
          <w:color w:val="000000"/>
          <w:kern w:val="2"/>
          <w:sz w:val="24"/>
          <w:szCs w:val="28"/>
          <w:lang w:val="en-US" w:eastAsia="zh-CN" w:bidi="ar-SA"/>
        </w:rPr>
        <w:t>2、</w:t>
      </w:r>
      <w:r>
        <w:rPr>
          <w:rFonts w:hint="default" w:ascii="Times New Roman" w:hAnsi="Times New Roman" w:eastAsia="宋体" w:cs="Times New Roman"/>
          <w:color w:val="000000"/>
          <w:kern w:val="2"/>
          <w:sz w:val="24"/>
          <w:szCs w:val="28"/>
          <w:lang w:val="en-US" w:eastAsia="zh-CN" w:bidi="ar-SA"/>
        </w:rPr>
        <w:t>质控措施：</w:t>
      </w:r>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eastAsia" w:ascii="Times New Roman" w:hAnsi="Times New Roman" w:eastAsia="宋体" w:cs="Times New Roman"/>
          <w:color w:val="000000"/>
          <w:kern w:val="2"/>
          <w:sz w:val="24"/>
          <w:szCs w:val="28"/>
          <w:lang w:val="en-US" w:eastAsia="zh-CN" w:bidi="ar-SA"/>
        </w:rPr>
        <w:t>（1）</w:t>
      </w:r>
      <w:r>
        <w:rPr>
          <w:rFonts w:hint="default" w:ascii="Times New Roman" w:hAnsi="Times New Roman" w:eastAsia="宋体" w:cs="Times New Roman"/>
          <w:color w:val="000000"/>
          <w:kern w:val="2"/>
          <w:sz w:val="24"/>
          <w:szCs w:val="28"/>
          <w:lang w:val="en-US" w:eastAsia="zh-CN" w:bidi="ar-SA"/>
        </w:rPr>
        <w:t>监测人员持证上岗。</w:t>
      </w:r>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eastAsia" w:ascii="Times New Roman" w:hAnsi="Times New Roman" w:eastAsia="宋体" w:cs="Times New Roman"/>
          <w:color w:val="000000"/>
          <w:kern w:val="2"/>
          <w:sz w:val="24"/>
          <w:szCs w:val="28"/>
          <w:lang w:val="en-US" w:eastAsia="zh-CN" w:bidi="ar-SA"/>
        </w:rPr>
        <w:t>（2）</w:t>
      </w:r>
      <w:r>
        <w:rPr>
          <w:rFonts w:hint="default" w:ascii="Times New Roman" w:hAnsi="Times New Roman" w:eastAsia="宋体" w:cs="Times New Roman"/>
          <w:color w:val="000000"/>
          <w:kern w:val="2"/>
          <w:sz w:val="24"/>
          <w:szCs w:val="28"/>
          <w:lang w:val="en-US" w:eastAsia="zh-CN" w:bidi="ar-SA"/>
        </w:rPr>
        <w:t>本次采用的仪器设备全部经计量检定部门检定合格，并在有效期内使用。</w:t>
      </w:r>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eastAsia" w:ascii="Times New Roman" w:hAnsi="Times New Roman" w:eastAsia="宋体" w:cs="Times New Roman"/>
          <w:color w:val="000000"/>
          <w:kern w:val="2"/>
          <w:sz w:val="24"/>
          <w:szCs w:val="28"/>
          <w:lang w:val="en-US" w:eastAsia="zh-CN" w:bidi="ar-SA"/>
        </w:rPr>
        <w:t>（3）</w:t>
      </w:r>
      <w:r>
        <w:rPr>
          <w:rFonts w:hint="default" w:ascii="Times New Roman" w:hAnsi="Times New Roman" w:eastAsia="宋体" w:cs="Times New Roman"/>
          <w:color w:val="000000"/>
          <w:kern w:val="2"/>
          <w:sz w:val="24"/>
          <w:szCs w:val="28"/>
          <w:lang w:val="en-US" w:eastAsia="zh-CN" w:bidi="ar-SA"/>
        </w:rPr>
        <w:t>所使用的标准物质或者质控样均在有效期内。</w:t>
      </w:r>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eastAsia" w:ascii="Times New Roman" w:hAnsi="Times New Roman" w:eastAsia="宋体" w:cs="Times New Roman"/>
          <w:color w:val="000000"/>
          <w:kern w:val="2"/>
          <w:sz w:val="24"/>
          <w:szCs w:val="28"/>
          <w:lang w:val="en-US" w:eastAsia="zh-CN" w:bidi="ar-SA"/>
        </w:rPr>
        <w:t>（4）</w:t>
      </w:r>
      <w:r>
        <w:rPr>
          <w:rFonts w:hint="default" w:ascii="Times New Roman" w:hAnsi="Times New Roman" w:eastAsia="宋体" w:cs="Times New Roman"/>
          <w:color w:val="000000"/>
          <w:kern w:val="2"/>
          <w:sz w:val="24"/>
          <w:szCs w:val="28"/>
          <w:lang w:val="en-US" w:eastAsia="zh-CN" w:bidi="ar-SA"/>
        </w:rPr>
        <w:t>每次测量前后对采样器流量设备进行流量校准。</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eastAsia" w:ascii="Times New Roman" w:hAnsi="Times New Roman" w:eastAsia="宋体" w:cs="Times New Roman"/>
          <w:color w:val="000000"/>
          <w:kern w:val="2"/>
          <w:sz w:val="24"/>
          <w:szCs w:val="28"/>
          <w:lang w:val="en-US" w:eastAsia="zh-CN" w:bidi="ar-SA"/>
        </w:rPr>
        <w:t>（5）</w:t>
      </w:r>
      <w:r>
        <w:rPr>
          <w:rFonts w:hint="default" w:ascii="Times New Roman" w:hAnsi="Times New Roman" w:eastAsia="宋体" w:cs="Times New Roman"/>
          <w:color w:val="000000"/>
          <w:kern w:val="2"/>
          <w:sz w:val="24"/>
          <w:szCs w:val="28"/>
          <w:lang w:val="en-US" w:eastAsia="zh-CN" w:bidi="ar-SA"/>
        </w:rPr>
        <w:t>样品按要求采样及保存，并在规定期限内按要求分析完毕。</w:t>
      </w:r>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58" w:name="_Toc17722"/>
      <w:bookmarkStart w:id="59" w:name="_Toc16565"/>
      <w:bookmarkStart w:id="60" w:name="_Toc2660"/>
      <w:r>
        <w:rPr>
          <w:rFonts w:hint="default" w:ascii="Times New Roman" w:hAnsi="Times New Roman" w:eastAsia="宋体" w:cs="Times New Roman"/>
          <w:b/>
          <w:sz w:val="28"/>
          <w:szCs w:val="32"/>
        </w:rPr>
        <w:t>8.4气体监测分析过程中的质量保证和质量控制</w:t>
      </w:r>
      <w:bookmarkEnd w:id="58"/>
      <w:bookmarkEnd w:id="59"/>
      <w:bookmarkEnd w:id="60"/>
      <w:r>
        <w:rPr>
          <w:rFonts w:hint="default" w:ascii="Times New Roman" w:hAnsi="Times New Roman" w:eastAsia="宋体" w:cs="Times New Roman"/>
          <w:b/>
          <w:sz w:val="28"/>
          <w:szCs w:val="32"/>
        </w:rPr>
        <w:t xml:space="preserve"> </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1、质控依据：</w:t>
      </w:r>
    </w:p>
    <w:p>
      <w:pPr>
        <w:pStyle w:val="8"/>
        <w:spacing w:after="0" w:line="360" w:lineRule="auto"/>
        <w:ind w:left="0" w:firstLine="480" w:firstLineChars="200"/>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《大气污染物无组织排放监测技术导则》 HJ/T 55-2000</w:t>
      </w:r>
    </w:p>
    <w:p>
      <w:pPr>
        <w:pStyle w:val="8"/>
        <w:spacing w:after="0" w:line="360" w:lineRule="auto"/>
        <w:ind w:left="0" w:firstLine="480" w:firstLineChars="200"/>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《固定源废气监测技术规范》HJ/T 397-2007</w:t>
      </w:r>
    </w:p>
    <w:p>
      <w:pPr>
        <w:pStyle w:val="8"/>
        <w:spacing w:after="0" w:line="360" w:lineRule="auto"/>
        <w:ind w:left="0" w:firstLine="480" w:firstLineChars="200"/>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《环境监测质量管理技术导则》HJ 630-2011</w:t>
      </w:r>
    </w:p>
    <w:p>
      <w:pPr>
        <w:pStyle w:val="8"/>
        <w:spacing w:after="0" w:line="360" w:lineRule="auto"/>
        <w:ind w:left="0" w:firstLine="480" w:firstLineChars="200"/>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 xml:space="preserve">《环境空气质量手工监测技术规范》HJ/T 194-2017 </w:t>
      </w:r>
    </w:p>
    <w:p>
      <w:pPr>
        <w:pStyle w:val="8"/>
        <w:spacing w:after="0" w:line="360" w:lineRule="auto"/>
        <w:ind w:left="0" w:firstLine="480" w:firstLineChars="200"/>
        <w:rPr>
          <w:rFonts w:hint="eastAsia" w:ascii="Times New Roman" w:hAnsi="Times New Roman" w:eastAsia="宋体" w:cs="Times New Roman"/>
          <w:color w:val="000000"/>
          <w:sz w:val="24"/>
          <w:szCs w:val="28"/>
          <w:lang w:val="en-US" w:eastAsia="zh-CN"/>
        </w:rPr>
      </w:pPr>
      <w:r>
        <w:rPr>
          <w:rFonts w:hint="eastAsia" w:ascii="Times New Roman" w:hAnsi="Times New Roman" w:eastAsia="宋体" w:cs="Times New Roman"/>
          <w:color w:val="000000"/>
          <w:sz w:val="24"/>
          <w:szCs w:val="28"/>
          <w:lang w:val="en-US" w:eastAsia="zh-CN"/>
        </w:rPr>
        <w:t>《固定污染源监测质量保证与质量控制技术规范》HJT 373-2007</w:t>
      </w:r>
    </w:p>
    <w:p>
      <w:pPr>
        <w:pStyle w:val="8"/>
        <w:spacing w:after="0" w:line="360" w:lineRule="auto"/>
        <w:ind w:left="0" w:firstLine="480" w:firstLineChars="200"/>
        <w:rPr>
          <w:rFonts w:hint="default" w:ascii="Times New Roman" w:hAnsi="Times New Roman" w:eastAsia="宋体" w:cs="Times New Roman"/>
          <w:color w:val="000000"/>
          <w:sz w:val="24"/>
          <w:szCs w:val="28"/>
          <w:lang w:val="en-US" w:eastAsia="zh-CN"/>
        </w:rPr>
      </w:pPr>
      <w:r>
        <w:rPr>
          <w:rFonts w:hint="eastAsia" w:ascii="Times New Roman" w:hAnsi="Times New Roman" w:eastAsia="宋体" w:cs="Times New Roman"/>
          <w:color w:val="000000"/>
          <w:sz w:val="24"/>
          <w:szCs w:val="28"/>
          <w:lang w:val="en-US" w:eastAsia="zh-CN"/>
        </w:rPr>
        <w:t>2、</w:t>
      </w:r>
      <w:r>
        <w:rPr>
          <w:rFonts w:hint="default" w:ascii="Times New Roman" w:hAnsi="Times New Roman" w:eastAsia="宋体" w:cs="Times New Roman"/>
          <w:color w:val="000000"/>
          <w:sz w:val="24"/>
          <w:szCs w:val="28"/>
          <w:lang w:val="en-US" w:eastAsia="zh-CN"/>
        </w:rPr>
        <w:t>质控措施：</w:t>
      </w:r>
    </w:p>
    <w:p>
      <w:pPr>
        <w:pStyle w:val="8"/>
        <w:spacing w:after="0" w:line="360" w:lineRule="auto"/>
        <w:ind w:left="0" w:firstLine="480" w:firstLineChars="200"/>
        <w:rPr>
          <w:rFonts w:hint="default" w:ascii="Times New Roman" w:hAnsi="Times New Roman" w:eastAsia="宋体" w:cs="Times New Roman"/>
          <w:color w:val="000000"/>
          <w:sz w:val="24"/>
          <w:szCs w:val="28"/>
          <w:lang w:val="en-US" w:eastAsia="zh-CN"/>
        </w:rPr>
      </w:pPr>
      <w:bookmarkStart w:id="61" w:name="_Toc27599"/>
      <w:bookmarkStart w:id="62" w:name="_Toc19134"/>
      <w:r>
        <w:rPr>
          <w:rFonts w:hint="eastAsia" w:ascii="Times New Roman" w:hAnsi="Times New Roman" w:eastAsia="宋体" w:cs="Times New Roman"/>
          <w:color w:val="000000"/>
          <w:sz w:val="24"/>
          <w:szCs w:val="28"/>
          <w:lang w:val="en-US" w:eastAsia="zh-CN"/>
        </w:rPr>
        <w:t>（1）</w:t>
      </w:r>
      <w:r>
        <w:rPr>
          <w:rFonts w:hint="default" w:ascii="Times New Roman" w:hAnsi="Times New Roman" w:eastAsia="宋体" w:cs="Times New Roman"/>
          <w:color w:val="000000"/>
          <w:sz w:val="24"/>
          <w:szCs w:val="28"/>
          <w:lang w:val="en-US" w:eastAsia="zh-CN"/>
        </w:rPr>
        <w:t>监测人员持证上岗。</w:t>
      </w:r>
    </w:p>
    <w:p>
      <w:pPr>
        <w:pStyle w:val="8"/>
        <w:spacing w:after="0" w:line="360" w:lineRule="auto"/>
        <w:ind w:left="0" w:firstLine="480" w:firstLineChars="200"/>
        <w:rPr>
          <w:rFonts w:hint="default" w:ascii="Times New Roman" w:hAnsi="Times New Roman" w:eastAsia="宋体" w:cs="Times New Roman"/>
          <w:color w:val="000000"/>
          <w:sz w:val="24"/>
          <w:szCs w:val="28"/>
          <w:lang w:val="en-US" w:eastAsia="zh-CN"/>
        </w:rPr>
      </w:pPr>
      <w:r>
        <w:rPr>
          <w:rFonts w:hint="eastAsia" w:ascii="Times New Roman" w:hAnsi="Times New Roman" w:eastAsia="宋体" w:cs="Times New Roman"/>
          <w:color w:val="000000"/>
          <w:sz w:val="24"/>
          <w:szCs w:val="28"/>
          <w:lang w:val="en-US" w:eastAsia="zh-CN"/>
        </w:rPr>
        <w:t>（2）</w:t>
      </w:r>
      <w:r>
        <w:rPr>
          <w:rFonts w:hint="default" w:ascii="Times New Roman" w:hAnsi="Times New Roman" w:eastAsia="宋体" w:cs="Times New Roman"/>
          <w:color w:val="000000"/>
          <w:sz w:val="24"/>
          <w:szCs w:val="28"/>
          <w:lang w:val="en-US" w:eastAsia="zh-CN"/>
        </w:rPr>
        <w:t>本次采用的仪器设备全部经计量检定部门检定合格，并在有效期内使用。</w:t>
      </w:r>
    </w:p>
    <w:p>
      <w:pPr>
        <w:pStyle w:val="8"/>
        <w:spacing w:after="0" w:line="360" w:lineRule="auto"/>
        <w:ind w:left="0" w:firstLine="480" w:firstLineChars="200"/>
        <w:rPr>
          <w:rFonts w:hint="default" w:ascii="Times New Roman" w:hAnsi="Times New Roman" w:eastAsia="宋体" w:cs="Times New Roman"/>
          <w:color w:val="000000"/>
          <w:sz w:val="24"/>
          <w:szCs w:val="28"/>
          <w:lang w:val="en-US" w:eastAsia="zh-CN"/>
        </w:rPr>
      </w:pPr>
      <w:r>
        <w:rPr>
          <w:rFonts w:hint="eastAsia" w:ascii="Times New Roman" w:hAnsi="Times New Roman" w:eastAsia="宋体" w:cs="Times New Roman"/>
          <w:color w:val="000000"/>
          <w:sz w:val="24"/>
          <w:szCs w:val="28"/>
          <w:lang w:val="en-US" w:eastAsia="zh-CN"/>
        </w:rPr>
        <w:t>（3）</w:t>
      </w:r>
      <w:r>
        <w:rPr>
          <w:rFonts w:hint="default" w:ascii="Times New Roman" w:hAnsi="Times New Roman" w:eastAsia="宋体" w:cs="Times New Roman"/>
          <w:color w:val="000000"/>
          <w:sz w:val="24"/>
          <w:szCs w:val="28"/>
          <w:lang w:val="en-US" w:eastAsia="zh-CN"/>
        </w:rPr>
        <w:t>所使用的标准物质或者质控样均在有效期内。</w:t>
      </w:r>
    </w:p>
    <w:p>
      <w:pPr>
        <w:pStyle w:val="8"/>
        <w:spacing w:after="0" w:line="360" w:lineRule="auto"/>
        <w:ind w:left="0" w:firstLine="480" w:firstLineChars="200"/>
        <w:rPr>
          <w:rFonts w:hint="default" w:ascii="Times New Roman" w:hAnsi="Times New Roman" w:eastAsia="宋体" w:cs="Times New Roman"/>
          <w:color w:val="000000"/>
          <w:sz w:val="24"/>
          <w:szCs w:val="28"/>
          <w:lang w:val="en-US" w:eastAsia="zh-CN"/>
        </w:rPr>
      </w:pPr>
      <w:r>
        <w:rPr>
          <w:rFonts w:hint="eastAsia" w:ascii="Times New Roman" w:hAnsi="Times New Roman" w:eastAsia="宋体" w:cs="Times New Roman"/>
          <w:color w:val="000000"/>
          <w:sz w:val="24"/>
          <w:szCs w:val="28"/>
          <w:lang w:val="en-US" w:eastAsia="zh-CN"/>
        </w:rPr>
        <w:t>（4）</w:t>
      </w:r>
      <w:r>
        <w:rPr>
          <w:rFonts w:hint="default" w:ascii="Times New Roman" w:hAnsi="Times New Roman" w:eastAsia="宋体" w:cs="Times New Roman"/>
          <w:color w:val="000000"/>
          <w:sz w:val="24"/>
          <w:szCs w:val="28"/>
          <w:lang w:val="en-US" w:eastAsia="zh-CN"/>
        </w:rPr>
        <w:t>每次测量前后对采样器流量设备进行流量校准。</w:t>
      </w:r>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63" w:name="_Toc14526"/>
      <w:r>
        <w:rPr>
          <w:rFonts w:hint="default" w:ascii="Times New Roman" w:hAnsi="Times New Roman" w:eastAsia="宋体" w:cs="Times New Roman"/>
          <w:b/>
          <w:sz w:val="28"/>
          <w:szCs w:val="32"/>
        </w:rPr>
        <w:t>8.5噪声监测分析过程中的质量保证和质量控制</w:t>
      </w:r>
      <w:bookmarkEnd w:id="61"/>
      <w:bookmarkEnd w:id="62"/>
      <w:bookmarkEnd w:id="63"/>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default" w:ascii="Times New Roman" w:hAnsi="Times New Roman" w:eastAsia="宋体" w:cs="Times New Roman"/>
          <w:color w:val="000000"/>
          <w:kern w:val="2"/>
          <w:sz w:val="24"/>
          <w:szCs w:val="28"/>
          <w:lang w:val="en-US" w:eastAsia="zh-CN" w:bidi="ar-SA"/>
        </w:rPr>
        <w:t>1、质控依据：</w:t>
      </w:r>
    </w:p>
    <w:p>
      <w:pPr>
        <w:widowControl w:val="0"/>
        <w:numPr>
          <w:ilvl w:val="0"/>
          <w:numId w:val="0"/>
        </w:numPr>
        <w:spacing w:after="0" w:line="360" w:lineRule="auto"/>
        <w:ind w:left="420" w:leftChars="200"/>
        <w:jc w:val="both"/>
        <w:rPr>
          <w:rFonts w:hint="default" w:ascii="Times New Roman" w:hAnsi="Times New Roman" w:eastAsia="宋体" w:cs="Times New Roman"/>
          <w:color w:val="000000"/>
          <w:kern w:val="2"/>
          <w:sz w:val="24"/>
          <w:szCs w:val="28"/>
          <w:lang w:val="en-US" w:eastAsia="zh-CN" w:bidi="ar-SA"/>
        </w:rPr>
      </w:pPr>
      <w:bookmarkStart w:id="64" w:name="_Toc31195"/>
      <w:bookmarkStart w:id="65" w:name="_Toc15075"/>
      <w:r>
        <w:rPr>
          <w:rFonts w:hint="default" w:ascii="Times New Roman" w:hAnsi="Times New Roman" w:eastAsia="宋体" w:cs="Times New Roman"/>
          <w:color w:val="000000"/>
          <w:kern w:val="2"/>
          <w:sz w:val="24"/>
          <w:szCs w:val="28"/>
          <w:lang w:val="en-US" w:eastAsia="zh-CN" w:bidi="ar-SA"/>
        </w:rPr>
        <w:t>《环境监测质量管理技术导则》HJ630-2011</w:t>
      </w:r>
    </w:p>
    <w:p>
      <w:pPr>
        <w:widowControl w:val="0"/>
        <w:spacing w:after="0" w:line="360" w:lineRule="auto"/>
        <w:ind w:left="0" w:firstLine="480" w:firstLineChars="200"/>
        <w:jc w:val="both"/>
        <w:rPr>
          <w:rFonts w:hint="eastAsia" w:ascii="Times New Roman" w:hAnsi="Times New Roman" w:eastAsia="宋体" w:cs="Times New Roman"/>
          <w:color w:val="000000"/>
          <w:kern w:val="2"/>
          <w:sz w:val="24"/>
          <w:szCs w:val="28"/>
          <w:lang w:val="en-US" w:eastAsia="zh-CN" w:bidi="ar-SA"/>
        </w:rPr>
      </w:pPr>
      <w:r>
        <w:rPr>
          <w:rFonts w:hint="default" w:ascii="Times New Roman" w:hAnsi="Times New Roman" w:eastAsia="宋体" w:cs="Times New Roman"/>
          <w:color w:val="000000"/>
          <w:kern w:val="2"/>
          <w:sz w:val="24"/>
          <w:szCs w:val="28"/>
          <w:lang w:val="en-US" w:eastAsia="zh-CN" w:bidi="ar-SA"/>
        </w:rPr>
        <w:t>《工业企业厂界环境噪声排放标准》GB12348-2008</w:t>
      </w:r>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default" w:ascii="Times New Roman" w:hAnsi="Times New Roman" w:eastAsia="宋体" w:cs="Times New Roman"/>
          <w:color w:val="000000"/>
          <w:kern w:val="2"/>
          <w:sz w:val="24"/>
          <w:szCs w:val="28"/>
          <w:lang w:val="en-US" w:eastAsia="zh-CN" w:bidi="ar-SA"/>
        </w:rPr>
        <w:t>2、质控措施：</w:t>
      </w:r>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default" w:ascii="Times New Roman" w:hAnsi="Times New Roman" w:eastAsia="宋体" w:cs="Times New Roman"/>
          <w:color w:val="000000"/>
          <w:kern w:val="2"/>
          <w:sz w:val="24"/>
          <w:szCs w:val="28"/>
          <w:lang w:val="en-US" w:eastAsia="zh-CN" w:bidi="ar-SA"/>
        </w:rPr>
        <w:t>噪声仪在测量前后均经过校准。测试前后仪器的灵敏度相差不大于0.5dB，若大于0.5dB测试数据无效。</w:t>
      </w:r>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default" w:ascii="Times New Roman" w:hAnsi="Times New Roman" w:eastAsia="宋体" w:cs="Times New Roman"/>
          <w:color w:val="000000"/>
          <w:kern w:val="2"/>
          <w:sz w:val="24"/>
          <w:szCs w:val="28"/>
          <w:lang w:val="en-US" w:eastAsia="zh-CN" w:bidi="ar-SA"/>
        </w:rPr>
        <w:t>本次监测期间无雨雪、无雷电，且风速小于5m/s；</w:t>
      </w:r>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default" w:ascii="Times New Roman" w:hAnsi="Times New Roman" w:eastAsia="宋体" w:cs="Times New Roman"/>
          <w:color w:val="000000"/>
          <w:kern w:val="2"/>
          <w:sz w:val="24"/>
          <w:szCs w:val="28"/>
          <w:lang w:val="en-US" w:eastAsia="zh-CN" w:bidi="ar-SA"/>
        </w:rPr>
        <w:t>监测、计量设备强检合格；人员持证上岗。</w:t>
      </w:r>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66" w:name="_Toc11547"/>
      <w:r>
        <w:rPr>
          <w:rFonts w:hint="default" w:ascii="Times New Roman" w:hAnsi="Times New Roman" w:eastAsia="宋体" w:cs="Times New Roman"/>
          <w:b/>
          <w:sz w:val="28"/>
          <w:szCs w:val="32"/>
        </w:rPr>
        <w:t>8.6固体废物监测分析过程中的质量保证和质量控制</w:t>
      </w:r>
      <w:bookmarkEnd w:id="64"/>
      <w:bookmarkEnd w:id="65"/>
      <w:bookmarkEnd w:id="66"/>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该项目未做固废监测。</w:t>
      </w:r>
    </w:p>
    <w:p>
      <w:pPr>
        <w:spacing w:line="360" w:lineRule="auto"/>
        <w:ind w:firstLine="480" w:firstLineChars="200"/>
        <w:rPr>
          <w:rFonts w:hint="default" w:ascii="Times New Roman" w:hAnsi="Times New Roman" w:eastAsia="宋体" w:cs="Times New Roman"/>
          <w:sz w:val="24"/>
          <w:szCs w:val="28"/>
        </w:rPr>
      </w:pPr>
      <w:r>
        <w:rPr>
          <w:rFonts w:hint="default" w:ascii="Times New Roman" w:hAnsi="Times New Roman" w:eastAsia="宋体" w:cs="Times New Roman"/>
          <w:sz w:val="24"/>
          <w:szCs w:val="28"/>
        </w:rPr>
        <w:br w:type="page"/>
      </w:r>
    </w:p>
    <w:p>
      <w:pPr>
        <w:pStyle w:val="38"/>
        <w:spacing w:line="360" w:lineRule="auto"/>
        <w:ind w:left="-210" w:leftChars="-100" w:firstLine="0" w:firstLineChars="0"/>
        <w:jc w:val="center"/>
        <w:outlineLvl w:val="0"/>
        <w:rPr>
          <w:rFonts w:hint="default" w:ascii="Times New Roman" w:hAnsi="Times New Roman" w:eastAsia="宋体" w:cs="Times New Roman"/>
          <w:b/>
          <w:color w:val="auto"/>
          <w:sz w:val="32"/>
          <w:szCs w:val="32"/>
        </w:rPr>
      </w:pPr>
      <w:bookmarkStart w:id="67" w:name="_Toc18235"/>
      <w:r>
        <w:rPr>
          <w:rFonts w:hint="default" w:ascii="Times New Roman" w:hAnsi="Times New Roman" w:eastAsia="宋体" w:cs="Times New Roman"/>
          <w:b/>
          <w:color w:val="auto"/>
          <w:sz w:val="32"/>
          <w:szCs w:val="32"/>
        </w:rPr>
        <w:t>9、验收监测结果</w:t>
      </w:r>
      <w:bookmarkEnd w:id="67"/>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68" w:name="_Toc10084"/>
      <w:r>
        <w:rPr>
          <w:rFonts w:hint="default" w:ascii="Times New Roman" w:hAnsi="Times New Roman" w:eastAsia="宋体" w:cs="Times New Roman"/>
          <w:b/>
          <w:sz w:val="28"/>
          <w:szCs w:val="32"/>
        </w:rPr>
        <w:t>9.1生产工况</w:t>
      </w:r>
      <w:bookmarkEnd w:id="68"/>
    </w:p>
    <w:p>
      <w:pPr>
        <w:pStyle w:val="8"/>
        <w:spacing w:after="0" w:line="360" w:lineRule="auto"/>
        <w:ind w:left="0" w:firstLine="480" w:firstLineChars="200"/>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监测时间为</w:t>
      </w:r>
      <w:r>
        <w:rPr>
          <w:rFonts w:hint="eastAsia" w:ascii="Times New Roman" w:hAnsi="Times New Roman" w:eastAsia="宋体" w:cs="Times New Roman"/>
          <w:color w:val="000000"/>
          <w:sz w:val="24"/>
          <w:szCs w:val="28"/>
          <w:lang w:val="en-US" w:eastAsia="zh-CN"/>
        </w:rPr>
        <w:t>202</w:t>
      </w:r>
      <w:r>
        <w:rPr>
          <w:rFonts w:hint="eastAsia" w:cs="Times New Roman"/>
          <w:color w:val="000000"/>
          <w:sz w:val="24"/>
          <w:szCs w:val="28"/>
          <w:lang w:val="en-US" w:eastAsia="zh-CN"/>
        </w:rPr>
        <w:t>4</w:t>
      </w:r>
      <w:r>
        <w:rPr>
          <w:rFonts w:hint="eastAsia" w:ascii="Times New Roman" w:hAnsi="Times New Roman" w:eastAsia="宋体" w:cs="Times New Roman"/>
          <w:color w:val="000000"/>
          <w:sz w:val="24"/>
          <w:szCs w:val="28"/>
          <w:lang w:val="en-US" w:eastAsia="zh-CN"/>
        </w:rPr>
        <w:t>.</w:t>
      </w:r>
      <w:r>
        <w:rPr>
          <w:rFonts w:hint="eastAsia" w:cs="Times New Roman"/>
          <w:color w:val="000000"/>
          <w:sz w:val="24"/>
          <w:szCs w:val="28"/>
          <w:lang w:val="en-US" w:eastAsia="zh-CN"/>
        </w:rPr>
        <w:t>0</w:t>
      </w:r>
      <w:r>
        <w:rPr>
          <w:rFonts w:hint="eastAsia" w:ascii="Times New Roman" w:hAnsi="Times New Roman" w:eastAsia="宋体" w:cs="Times New Roman"/>
          <w:color w:val="000000"/>
          <w:sz w:val="24"/>
          <w:szCs w:val="28"/>
          <w:lang w:val="en-US" w:eastAsia="zh-CN"/>
        </w:rPr>
        <w:t>1.0</w:t>
      </w:r>
      <w:r>
        <w:rPr>
          <w:rFonts w:hint="eastAsia" w:cs="Times New Roman"/>
          <w:color w:val="000000"/>
          <w:sz w:val="24"/>
          <w:szCs w:val="28"/>
          <w:lang w:val="en-US" w:eastAsia="zh-CN"/>
        </w:rPr>
        <w:t>4</w:t>
      </w:r>
      <w:r>
        <w:rPr>
          <w:rFonts w:hint="eastAsia" w:ascii="Times New Roman" w:hAnsi="Times New Roman" w:eastAsia="宋体" w:cs="Times New Roman"/>
          <w:color w:val="000000"/>
          <w:sz w:val="24"/>
          <w:szCs w:val="28"/>
          <w:lang w:val="en-US" w:eastAsia="zh-CN"/>
        </w:rPr>
        <w:t>、202</w:t>
      </w:r>
      <w:r>
        <w:rPr>
          <w:rFonts w:hint="eastAsia" w:cs="Times New Roman"/>
          <w:color w:val="000000"/>
          <w:sz w:val="24"/>
          <w:szCs w:val="28"/>
          <w:lang w:val="en-US" w:eastAsia="zh-CN"/>
        </w:rPr>
        <w:t>4</w:t>
      </w:r>
      <w:r>
        <w:rPr>
          <w:rFonts w:hint="eastAsia" w:ascii="Times New Roman" w:hAnsi="Times New Roman" w:eastAsia="宋体" w:cs="Times New Roman"/>
          <w:color w:val="000000"/>
          <w:sz w:val="24"/>
          <w:szCs w:val="28"/>
          <w:lang w:val="en-US" w:eastAsia="zh-CN"/>
        </w:rPr>
        <w:t>.</w:t>
      </w:r>
      <w:r>
        <w:rPr>
          <w:rFonts w:hint="eastAsia" w:cs="Times New Roman"/>
          <w:color w:val="000000"/>
          <w:sz w:val="24"/>
          <w:szCs w:val="28"/>
          <w:lang w:val="en-US" w:eastAsia="zh-CN"/>
        </w:rPr>
        <w:t>0</w:t>
      </w:r>
      <w:r>
        <w:rPr>
          <w:rFonts w:hint="eastAsia" w:ascii="Times New Roman" w:hAnsi="Times New Roman" w:eastAsia="宋体" w:cs="Times New Roman"/>
          <w:color w:val="000000"/>
          <w:sz w:val="24"/>
          <w:szCs w:val="28"/>
          <w:lang w:val="en-US" w:eastAsia="zh-CN"/>
        </w:rPr>
        <w:t>1.0</w:t>
      </w:r>
      <w:r>
        <w:rPr>
          <w:rFonts w:hint="eastAsia" w:cs="Times New Roman"/>
          <w:color w:val="000000"/>
          <w:sz w:val="24"/>
          <w:szCs w:val="28"/>
          <w:lang w:val="en-US" w:eastAsia="zh-CN"/>
        </w:rPr>
        <w:t>5</w:t>
      </w:r>
      <w:r>
        <w:rPr>
          <w:rFonts w:hint="default" w:ascii="Times New Roman" w:hAnsi="Times New Roman" w:eastAsia="宋体" w:cs="Times New Roman"/>
          <w:color w:val="000000"/>
          <w:sz w:val="24"/>
          <w:szCs w:val="28"/>
          <w:lang w:val="en-US" w:eastAsia="zh-CN"/>
        </w:rPr>
        <w:t>。监测期间，项目各生产设施开启运行，该项目</w:t>
      </w:r>
      <w:r>
        <w:rPr>
          <w:rFonts w:hint="eastAsia" w:cs="Times New Roman"/>
          <w:color w:val="000000"/>
          <w:sz w:val="24"/>
          <w:szCs w:val="28"/>
          <w:lang w:val="en-US" w:eastAsia="zh-CN"/>
        </w:rPr>
        <w:t>年生产</w:t>
      </w:r>
      <w:r>
        <w:rPr>
          <w:rFonts w:hint="default" w:ascii="Times New Roman" w:hAnsi="Times New Roman" w:eastAsia="宋体" w:cs="Times New Roman"/>
          <w:color w:val="000000"/>
          <w:sz w:val="24"/>
          <w:szCs w:val="24"/>
        </w:rPr>
        <w:t>300天；采用</w:t>
      </w:r>
      <w:r>
        <w:rPr>
          <w:rFonts w:hint="eastAsia" w:ascii="Times New Roman" w:hAnsi="Times New Roman" w:eastAsia="宋体" w:cs="Times New Roman"/>
          <w:color w:val="000000"/>
          <w:sz w:val="24"/>
          <w:szCs w:val="24"/>
          <w:lang w:val="en-US" w:eastAsia="zh-CN"/>
        </w:rPr>
        <w:t>四班三运转</w:t>
      </w:r>
      <w:r>
        <w:rPr>
          <w:rFonts w:hint="default" w:ascii="Times New Roman" w:hAnsi="Times New Roman" w:eastAsia="宋体" w:cs="Times New Roman"/>
          <w:color w:val="000000"/>
          <w:sz w:val="24"/>
          <w:szCs w:val="24"/>
        </w:rPr>
        <w:t>制，每班工作8小时，年工作</w:t>
      </w:r>
      <w:r>
        <w:rPr>
          <w:rFonts w:hint="eastAsia" w:ascii="Times New Roman" w:hAnsi="Times New Roman" w:eastAsia="宋体" w:cs="Times New Roman"/>
          <w:color w:val="000000"/>
          <w:sz w:val="24"/>
          <w:szCs w:val="24"/>
          <w:lang w:val="en-US" w:eastAsia="zh-CN"/>
        </w:rPr>
        <w:t>7200</w:t>
      </w:r>
      <w:r>
        <w:rPr>
          <w:rFonts w:hint="default" w:ascii="Times New Roman" w:hAnsi="Times New Roman" w:eastAsia="宋体" w:cs="Times New Roman"/>
          <w:color w:val="000000"/>
          <w:sz w:val="24"/>
          <w:szCs w:val="24"/>
        </w:rPr>
        <w:t>小时</w:t>
      </w:r>
      <w:r>
        <w:rPr>
          <w:rFonts w:hint="eastAsia" w:ascii="Times New Roman" w:hAnsi="Times New Roman" w:eastAsia="宋体" w:cs="Times New Roman"/>
          <w:color w:val="000000"/>
          <w:sz w:val="24"/>
          <w:szCs w:val="24"/>
          <w:lang w:eastAsia="zh-CN"/>
        </w:rPr>
        <w:t>，</w:t>
      </w:r>
      <w:r>
        <w:rPr>
          <w:rFonts w:hint="eastAsia" w:ascii="Times New Roman" w:hAnsi="Times New Roman" w:eastAsia="宋体" w:cs="Times New Roman"/>
          <w:color w:val="000000"/>
          <w:sz w:val="24"/>
          <w:szCs w:val="24"/>
          <w:lang w:val="en-US" w:eastAsia="zh-CN"/>
        </w:rPr>
        <w:t>其中化验中心年工作时间为100h</w:t>
      </w:r>
      <w:r>
        <w:rPr>
          <w:rFonts w:hint="default" w:ascii="Times New Roman" w:hAnsi="Times New Roman" w:eastAsia="宋体" w:cs="Times New Roman"/>
          <w:sz w:val="24"/>
          <w:lang w:val="en-US" w:eastAsia="zh-CN"/>
        </w:rPr>
        <w:t>。</w:t>
      </w:r>
      <w:r>
        <w:rPr>
          <w:rFonts w:hint="eastAsia" w:ascii="Times New Roman" w:hAnsi="Times New Roman" w:eastAsia="宋体" w:cs="Times New Roman"/>
          <w:sz w:val="24"/>
          <w:szCs w:val="24"/>
          <w:lang w:val="en-US" w:eastAsia="zh-CN"/>
        </w:rPr>
        <w:t>项目环评设计年产大容量（软袋）注射剂产品：左氧氟沙星氯化钠注射液3250万袋、氟康</w:t>
      </w:r>
      <w:r>
        <w:rPr>
          <w:rFonts w:hint="default" w:ascii="Times New Roman" w:hAnsi="Times New Roman" w:eastAsia="宋体" w:cs="Times New Roman"/>
          <w:sz w:val="24"/>
          <w:szCs w:val="24"/>
          <w:lang w:val="en-US" w:eastAsia="zh-CN"/>
        </w:rPr>
        <w:t>唑</w:t>
      </w:r>
      <w:r>
        <w:rPr>
          <w:rFonts w:hint="eastAsia" w:ascii="Times New Roman" w:hAnsi="Times New Roman" w:eastAsia="宋体" w:cs="Times New Roman"/>
          <w:sz w:val="24"/>
          <w:szCs w:val="24"/>
          <w:lang w:val="en-US" w:eastAsia="zh-CN"/>
        </w:rPr>
        <w:t>氯化钠注射液64万袋、米力农葡萄糖注射液200万袋、复方氨基酸注射液（18AA-SF））800万袋，共计4314万袋；大容量（玻璃瓶）注射剂产品：</w:t>
      </w:r>
      <w:r>
        <w:rPr>
          <w:rFonts w:hint="default" w:ascii="Times New Roman" w:hAnsi="Times New Roman" w:eastAsia="宋体" w:cs="Times New Roman"/>
          <w:b w:val="0"/>
          <w:bCs/>
          <w:kern w:val="0"/>
          <w:sz w:val="24"/>
          <w:szCs w:val="24"/>
          <w:lang w:val="en-US" w:eastAsia="zh-CN"/>
        </w:rPr>
        <w:t>丙氨酰谷氨酰胺注射液</w:t>
      </w:r>
      <w:r>
        <w:rPr>
          <w:rFonts w:hint="eastAsia" w:ascii="Times New Roman" w:hAnsi="Times New Roman" w:eastAsia="宋体" w:cs="Times New Roman"/>
          <w:sz w:val="24"/>
          <w:szCs w:val="24"/>
          <w:lang w:val="en-US" w:eastAsia="zh-CN"/>
        </w:rPr>
        <w:t>200万瓶、复方氨基酸注射液（18AA）150万瓶、复方氨基酸注射液（18AA--VII）850万瓶、复方氨基酸注射液（14AA）500万瓶、复方氨基酸注射液（14AA-SF））800万瓶，共计2500万瓶；小容量（安瓿瓶）注射剂产品：氨甲环酸注射液1000万支、胞磷胆碱钠注射液10000万支、维生素C注射液10000万支、维生素B6注射液500万支、钠钾镁钙注射用浓溶液500万支，共计2.23亿支；小容量（西林瓶）冻干注射剂产品：</w:t>
      </w:r>
      <w:r>
        <w:rPr>
          <w:rFonts w:hint="default" w:ascii="Times New Roman" w:hAnsi="Times New Roman" w:eastAsia="宋体" w:cs="Times New Roman"/>
          <w:sz w:val="24"/>
          <w:szCs w:val="24"/>
          <w:lang w:val="en-US" w:eastAsia="zh-CN"/>
        </w:rPr>
        <w:t>注射用奥美拉唑钠</w:t>
      </w:r>
      <w:r>
        <w:rPr>
          <w:rFonts w:hint="eastAsia" w:ascii="Times New Roman" w:hAnsi="Times New Roman" w:eastAsia="宋体" w:cs="Times New Roman"/>
          <w:sz w:val="24"/>
          <w:szCs w:val="24"/>
          <w:lang w:val="en-US" w:eastAsia="zh-CN"/>
        </w:rPr>
        <w:t>1000万支、注射用盐酸罗沙替丁醋酸酯300万支、注射用地尔硫卓300万支，共计1600万支。项目分期验收，本次验收范围为年产小容量（安瓿瓶）注射剂产品：维生素B6注射液500万支、钠钾镁钙注射用浓溶液800万支，共计1300万支；小容量（西林瓶）冻干注射剂产品：注射用盐酸罗沙替丁醋酸酯80万支、注射用地尔硫卓80万支，共计160万支</w:t>
      </w:r>
      <w:r>
        <w:rPr>
          <w:rFonts w:hint="default" w:ascii="Times New Roman" w:hAnsi="Times New Roman" w:eastAsia="宋体" w:cs="Times New Roman"/>
          <w:color w:val="000000"/>
          <w:sz w:val="24"/>
          <w:szCs w:val="28"/>
          <w:lang w:val="en-US" w:eastAsia="zh-CN"/>
        </w:rPr>
        <w:t>。监测期间</w:t>
      </w:r>
      <w:r>
        <w:rPr>
          <w:rFonts w:hint="eastAsia" w:cs="Times New Roman"/>
          <w:color w:val="000000"/>
          <w:sz w:val="24"/>
          <w:szCs w:val="28"/>
          <w:lang w:val="en-US" w:eastAsia="zh-CN"/>
        </w:rPr>
        <w:t>生产车间</w:t>
      </w:r>
      <w:r>
        <w:rPr>
          <w:rFonts w:hint="default" w:ascii="Times New Roman" w:hAnsi="Times New Roman" w:eastAsia="宋体" w:cs="Times New Roman"/>
          <w:color w:val="000000"/>
          <w:sz w:val="24"/>
          <w:szCs w:val="28"/>
          <w:lang w:val="en-US" w:eastAsia="zh-CN"/>
        </w:rPr>
        <w:t>生产负荷达到设计生产负荷的90%，工况稳定且环保设施运行正常，满足验收应在工况稳定、生产负荷达到设计生产能力的80%以上的情况下进行的要求，监测数据具有代表性。</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表9-1</w:t>
      </w:r>
      <w:r>
        <w:rPr>
          <w:rFonts w:hint="eastAsia" w:ascii="Times New Roman" w:hAnsi="Times New Roman" w:eastAsia="宋体" w:cs="Times New Roman"/>
          <w:b/>
          <w:sz w:val="21"/>
          <w:szCs w:val="21"/>
          <w:lang w:val="en-US" w:eastAsia="zh-CN"/>
        </w:rPr>
        <w:t xml:space="preserve"> </w:t>
      </w:r>
      <w:r>
        <w:rPr>
          <w:rFonts w:hint="default" w:ascii="Times New Roman" w:hAnsi="Times New Roman" w:eastAsia="宋体" w:cs="Times New Roman"/>
          <w:b/>
          <w:sz w:val="21"/>
          <w:szCs w:val="21"/>
          <w:lang w:val="en-US" w:eastAsia="zh-CN"/>
        </w:rPr>
        <w:t xml:space="preserve"> 生产工况</w:t>
      </w:r>
    </w:p>
    <w:tbl>
      <w:tblPr>
        <w:tblStyle w:val="26"/>
        <w:tblW w:w="5000" w:type="pct"/>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1245"/>
        <w:gridCol w:w="3181"/>
        <w:gridCol w:w="2804"/>
        <w:gridCol w:w="1292"/>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730" w:type="pct"/>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监测日期</w:t>
            </w:r>
          </w:p>
        </w:tc>
        <w:tc>
          <w:tcPr>
            <w:tcW w:w="1866" w:type="pct"/>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设计生产规模</w:t>
            </w:r>
          </w:p>
        </w:tc>
        <w:tc>
          <w:tcPr>
            <w:tcW w:w="1645" w:type="pct"/>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实际生产规模</w:t>
            </w:r>
          </w:p>
        </w:tc>
        <w:tc>
          <w:tcPr>
            <w:tcW w:w="757" w:type="pct"/>
            <w:vAlign w:val="center"/>
          </w:tcPr>
          <w:p>
            <w:pPr>
              <w:spacing w:line="300" w:lineRule="exact"/>
              <w:jc w:val="center"/>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生产负荷</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730" w:type="pct"/>
            <w:vMerge w:val="restart"/>
            <w:tcBorders>
              <w:right w:val="single" w:color="auto" w:sz="4" w:space="0"/>
            </w:tcBorders>
            <w:vAlign w:val="center"/>
          </w:tcPr>
          <w:p>
            <w:pPr>
              <w:spacing w:line="300" w:lineRule="exact"/>
              <w:jc w:val="center"/>
              <w:rPr>
                <w:rFonts w:hint="default" w:ascii="Times New Roman" w:hAnsi="Times New Roman" w:eastAsia="宋体" w:cs="Times New Roman"/>
                <w:sz w:val="21"/>
                <w:szCs w:val="21"/>
                <w:lang w:val="en-US"/>
              </w:rPr>
            </w:pPr>
            <w:r>
              <w:rPr>
                <w:rFonts w:hint="eastAsia" w:ascii="Times New Roman" w:hAnsi="Times New Roman" w:eastAsia="宋体" w:cs="Times New Roman"/>
                <w:color w:val="000000"/>
                <w:sz w:val="21"/>
                <w:szCs w:val="21"/>
                <w:lang w:val="en-US" w:eastAsia="zh-CN"/>
              </w:rPr>
              <w:t>2024.01.04</w:t>
            </w:r>
          </w:p>
        </w:tc>
        <w:tc>
          <w:tcPr>
            <w:tcW w:w="4269" w:type="pct"/>
            <w:gridSpan w:val="3"/>
            <w:tcBorders>
              <w:left w:val="single" w:color="auto" w:sz="4" w:space="0"/>
            </w:tcBorders>
            <w:vAlign w:val="center"/>
          </w:tcPr>
          <w:p>
            <w:pPr>
              <w:spacing w:line="300" w:lineRule="exact"/>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小容量（安瓿瓶）注射剂产品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730" w:type="pct"/>
            <w:vMerge w:val="continue"/>
            <w:tcBorders>
              <w:right w:val="single" w:color="auto" w:sz="4" w:space="0"/>
            </w:tcBorders>
            <w:vAlign w:val="center"/>
          </w:tcPr>
          <w:p>
            <w:pPr>
              <w:spacing w:line="300" w:lineRule="exact"/>
              <w:jc w:val="center"/>
              <w:rPr>
                <w:rFonts w:hint="default" w:ascii="Times New Roman" w:hAnsi="Times New Roman" w:eastAsia="宋体" w:cs="Times New Roman"/>
                <w:sz w:val="21"/>
                <w:szCs w:val="21"/>
                <w:lang w:val="en-US"/>
              </w:rPr>
            </w:pPr>
          </w:p>
        </w:tc>
        <w:tc>
          <w:tcPr>
            <w:tcW w:w="1866" w:type="pct"/>
            <w:tcBorders>
              <w:left w:val="single" w:color="auto" w:sz="4" w:space="0"/>
            </w:tcBorders>
            <w:vAlign w:val="center"/>
          </w:tcPr>
          <w:p>
            <w:pPr>
              <w:spacing w:line="300" w:lineRule="exact"/>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维生素B6注射液500万支</w:t>
            </w:r>
            <w:r>
              <w:rPr>
                <w:rFonts w:hint="default" w:ascii="Times New Roman" w:hAnsi="Times New Roman" w:eastAsia="宋体" w:cs="Times New Roman"/>
                <w:sz w:val="21"/>
                <w:szCs w:val="21"/>
                <w:lang w:val="en-US" w:eastAsia="zh-CN"/>
              </w:rPr>
              <w:t>/a</w:t>
            </w:r>
          </w:p>
        </w:tc>
        <w:tc>
          <w:tcPr>
            <w:tcW w:w="1645" w:type="pct"/>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维生素B6注射液450万支</w:t>
            </w:r>
            <w:r>
              <w:rPr>
                <w:rFonts w:hint="default" w:ascii="Times New Roman" w:hAnsi="Times New Roman" w:eastAsia="宋体" w:cs="Times New Roman"/>
                <w:sz w:val="21"/>
                <w:szCs w:val="21"/>
                <w:lang w:val="en-US" w:eastAsia="zh-CN"/>
              </w:rPr>
              <w:t>/a</w:t>
            </w:r>
          </w:p>
        </w:tc>
        <w:tc>
          <w:tcPr>
            <w:tcW w:w="757" w:type="pct"/>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90%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730" w:type="pct"/>
            <w:vMerge w:val="continue"/>
            <w:tcBorders>
              <w:right w:val="single" w:color="auto" w:sz="4" w:space="0"/>
            </w:tcBorders>
            <w:vAlign w:val="center"/>
          </w:tcPr>
          <w:p>
            <w:pPr>
              <w:spacing w:line="300" w:lineRule="exact"/>
              <w:jc w:val="center"/>
              <w:rPr>
                <w:rFonts w:hint="default" w:ascii="Times New Roman" w:hAnsi="Times New Roman" w:eastAsia="宋体" w:cs="Times New Roman"/>
                <w:sz w:val="21"/>
                <w:szCs w:val="21"/>
                <w:lang w:val="en-US" w:eastAsia="zh-CN"/>
              </w:rPr>
            </w:pPr>
          </w:p>
        </w:tc>
        <w:tc>
          <w:tcPr>
            <w:tcW w:w="1866" w:type="pct"/>
            <w:vAlign w:val="center"/>
          </w:tcPr>
          <w:p>
            <w:pPr>
              <w:spacing w:line="300" w:lineRule="exact"/>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钠钾镁钙注射用浓溶液800万支/</w:t>
            </w:r>
            <w:r>
              <w:rPr>
                <w:rFonts w:hint="default" w:ascii="Times New Roman" w:hAnsi="Times New Roman" w:eastAsia="宋体" w:cs="Times New Roman"/>
                <w:sz w:val="21"/>
                <w:szCs w:val="21"/>
                <w:lang w:val="en-US" w:eastAsia="zh-CN"/>
              </w:rPr>
              <w:t>a</w:t>
            </w:r>
          </w:p>
        </w:tc>
        <w:tc>
          <w:tcPr>
            <w:tcW w:w="1645" w:type="pct"/>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钠钾镁钙注射用浓溶液720万支/</w:t>
            </w:r>
            <w:r>
              <w:rPr>
                <w:rFonts w:hint="default" w:ascii="Times New Roman" w:hAnsi="Times New Roman" w:eastAsia="宋体" w:cs="Times New Roman"/>
                <w:sz w:val="21"/>
                <w:szCs w:val="21"/>
                <w:lang w:val="en-US" w:eastAsia="zh-CN"/>
              </w:rPr>
              <w:t>a</w:t>
            </w:r>
          </w:p>
        </w:tc>
        <w:tc>
          <w:tcPr>
            <w:tcW w:w="757" w:type="pct"/>
            <w:vAlign w:val="center"/>
          </w:tcPr>
          <w:p>
            <w:pPr>
              <w:spacing w:line="30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90%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730" w:type="pct"/>
            <w:vMerge w:val="continue"/>
            <w:tcBorders>
              <w:right w:val="single" w:color="auto" w:sz="4" w:space="0"/>
            </w:tcBorders>
            <w:vAlign w:val="center"/>
          </w:tcPr>
          <w:p>
            <w:pPr>
              <w:spacing w:line="300" w:lineRule="exact"/>
              <w:jc w:val="center"/>
              <w:rPr>
                <w:rFonts w:hint="default" w:ascii="Times New Roman" w:hAnsi="Times New Roman" w:eastAsia="宋体" w:cs="Times New Roman"/>
                <w:sz w:val="21"/>
                <w:szCs w:val="21"/>
                <w:lang w:val="en-US"/>
              </w:rPr>
            </w:pPr>
          </w:p>
        </w:tc>
        <w:tc>
          <w:tcPr>
            <w:tcW w:w="4269" w:type="pct"/>
            <w:gridSpan w:val="3"/>
            <w:tcBorders>
              <w:left w:val="single" w:color="auto" w:sz="4" w:space="0"/>
            </w:tcBorders>
            <w:vAlign w:val="center"/>
          </w:tcPr>
          <w:p>
            <w:pPr>
              <w:spacing w:line="300" w:lineRule="exact"/>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小容量（西林瓶）冻干注射剂产品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730" w:type="pct"/>
            <w:vMerge w:val="continue"/>
            <w:tcBorders>
              <w:right w:val="single" w:color="auto" w:sz="4" w:space="0"/>
            </w:tcBorders>
            <w:vAlign w:val="center"/>
          </w:tcPr>
          <w:p>
            <w:pPr>
              <w:spacing w:line="300" w:lineRule="exact"/>
              <w:jc w:val="center"/>
              <w:rPr>
                <w:rFonts w:hint="default" w:ascii="Times New Roman" w:hAnsi="Times New Roman" w:eastAsia="宋体" w:cs="Times New Roman"/>
                <w:sz w:val="21"/>
                <w:szCs w:val="21"/>
                <w:lang w:val="en-US"/>
              </w:rPr>
            </w:pPr>
          </w:p>
        </w:tc>
        <w:tc>
          <w:tcPr>
            <w:tcW w:w="1866" w:type="pct"/>
            <w:vAlign w:val="center"/>
          </w:tcPr>
          <w:p>
            <w:pPr>
              <w:spacing w:line="300" w:lineRule="exact"/>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注射用盐酸罗沙替丁醋酸酯80万支</w:t>
            </w:r>
            <w:r>
              <w:rPr>
                <w:rFonts w:hint="default" w:ascii="Times New Roman" w:hAnsi="Times New Roman" w:eastAsia="宋体" w:cs="Times New Roman"/>
                <w:sz w:val="21"/>
                <w:szCs w:val="21"/>
                <w:lang w:val="en-US" w:eastAsia="zh-CN"/>
              </w:rPr>
              <w:t>/a</w:t>
            </w:r>
          </w:p>
        </w:tc>
        <w:tc>
          <w:tcPr>
            <w:tcW w:w="1645" w:type="pct"/>
            <w:vAlign w:val="center"/>
          </w:tcPr>
          <w:p>
            <w:pPr>
              <w:spacing w:line="300" w:lineRule="exact"/>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注射用盐酸罗沙替丁醋酸酯72万支</w:t>
            </w:r>
            <w:r>
              <w:rPr>
                <w:rFonts w:hint="default" w:ascii="Times New Roman" w:hAnsi="Times New Roman" w:eastAsia="宋体" w:cs="Times New Roman"/>
                <w:sz w:val="21"/>
                <w:szCs w:val="21"/>
                <w:lang w:val="en-US" w:eastAsia="zh-CN"/>
              </w:rPr>
              <w:t>/a</w:t>
            </w:r>
          </w:p>
        </w:tc>
        <w:tc>
          <w:tcPr>
            <w:tcW w:w="757" w:type="pct"/>
            <w:vAlign w:val="center"/>
          </w:tcPr>
          <w:p>
            <w:pPr>
              <w:spacing w:line="30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730" w:type="pct"/>
            <w:vMerge w:val="continue"/>
            <w:tcBorders>
              <w:right w:val="single" w:color="auto" w:sz="4" w:space="0"/>
            </w:tcBorders>
            <w:vAlign w:val="center"/>
          </w:tcPr>
          <w:p>
            <w:pPr>
              <w:spacing w:line="300" w:lineRule="exact"/>
              <w:jc w:val="center"/>
              <w:rPr>
                <w:rFonts w:hint="default" w:ascii="Times New Roman" w:hAnsi="Times New Roman" w:eastAsia="宋体" w:cs="Times New Roman"/>
                <w:sz w:val="21"/>
                <w:szCs w:val="21"/>
              </w:rPr>
            </w:pPr>
          </w:p>
        </w:tc>
        <w:tc>
          <w:tcPr>
            <w:tcW w:w="1866" w:type="pct"/>
            <w:vAlign w:val="center"/>
          </w:tcPr>
          <w:p>
            <w:pPr>
              <w:spacing w:line="300" w:lineRule="exact"/>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注射用地尔硫卓80万支</w:t>
            </w:r>
            <w:r>
              <w:rPr>
                <w:rFonts w:hint="default" w:ascii="Times New Roman" w:hAnsi="Times New Roman" w:eastAsia="宋体" w:cs="Times New Roman"/>
                <w:sz w:val="21"/>
                <w:szCs w:val="21"/>
                <w:lang w:val="en-US" w:eastAsia="zh-CN"/>
              </w:rPr>
              <w:t>/a</w:t>
            </w:r>
          </w:p>
        </w:tc>
        <w:tc>
          <w:tcPr>
            <w:tcW w:w="1645" w:type="pct"/>
            <w:vAlign w:val="center"/>
          </w:tcPr>
          <w:p>
            <w:pPr>
              <w:spacing w:line="300" w:lineRule="exact"/>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lang w:val="en-US" w:eastAsia="zh-CN"/>
              </w:rPr>
              <w:t>注射用地尔硫卓72万支</w:t>
            </w:r>
            <w:r>
              <w:rPr>
                <w:rFonts w:hint="default" w:ascii="Times New Roman" w:hAnsi="Times New Roman" w:eastAsia="宋体" w:cs="Times New Roman"/>
                <w:sz w:val="21"/>
                <w:szCs w:val="21"/>
                <w:lang w:val="en-US" w:eastAsia="zh-CN"/>
              </w:rPr>
              <w:t>/a</w:t>
            </w:r>
          </w:p>
        </w:tc>
        <w:tc>
          <w:tcPr>
            <w:tcW w:w="757" w:type="pct"/>
            <w:vAlign w:val="center"/>
          </w:tcPr>
          <w:p>
            <w:pPr>
              <w:spacing w:line="30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730" w:type="pct"/>
            <w:vMerge w:val="restart"/>
            <w:tcBorders>
              <w:right w:val="single" w:color="auto" w:sz="4" w:space="0"/>
            </w:tcBorders>
            <w:vAlign w:val="center"/>
          </w:tcPr>
          <w:p>
            <w:pPr>
              <w:spacing w:line="300" w:lineRule="exact"/>
              <w:jc w:val="center"/>
              <w:rPr>
                <w:rFonts w:hint="default" w:ascii="Times New Roman" w:hAnsi="Times New Roman" w:eastAsia="宋体" w:cs="Times New Roman"/>
                <w:sz w:val="21"/>
                <w:szCs w:val="21"/>
                <w:lang w:val="en-US"/>
              </w:rPr>
            </w:pPr>
            <w:bookmarkStart w:id="69" w:name="_Toc8087"/>
            <w:r>
              <w:rPr>
                <w:rFonts w:hint="eastAsia" w:ascii="Times New Roman" w:hAnsi="Times New Roman" w:eastAsia="宋体" w:cs="Times New Roman"/>
                <w:color w:val="000000"/>
                <w:sz w:val="21"/>
                <w:szCs w:val="21"/>
                <w:lang w:val="en-US" w:eastAsia="zh-CN"/>
              </w:rPr>
              <w:t>2024.01.05</w:t>
            </w:r>
          </w:p>
        </w:tc>
        <w:tc>
          <w:tcPr>
            <w:tcW w:w="4269" w:type="pct"/>
            <w:gridSpan w:val="3"/>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小容量（安瓿瓶）注射剂产品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730" w:type="pct"/>
            <w:vMerge w:val="continue"/>
            <w:tcBorders>
              <w:right w:val="single" w:color="auto" w:sz="4" w:space="0"/>
            </w:tcBorders>
            <w:vAlign w:val="center"/>
          </w:tcPr>
          <w:p>
            <w:pPr>
              <w:spacing w:line="300" w:lineRule="exact"/>
              <w:jc w:val="center"/>
              <w:rPr>
                <w:rFonts w:hint="default" w:ascii="Times New Roman" w:hAnsi="Times New Roman" w:eastAsia="宋体" w:cs="Times New Roman"/>
                <w:sz w:val="21"/>
                <w:szCs w:val="21"/>
              </w:rPr>
            </w:pPr>
          </w:p>
        </w:tc>
        <w:tc>
          <w:tcPr>
            <w:tcW w:w="1866" w:type="pct"/>
            <w:vAlign w:val="center"/>
          </w:tcPr>
          <w:p>
            <w:pPr>
              <w:spacing w:line="300" w:lineRule="exact"/>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维生素B6注射液500万支</w:t>
            </w:r>
            <w:r>
              <w:rPr>
                <w:rFonts w:hint="default" w:ascii="Times New Roman" w:hAnsi="Times New Roman" w:eastAsia="宋体" w:cs="Times New Roman"/>
                <w:sz w:val="21"/>
                <w:szCs w:val="21"/>
                <w:lang w:val="en-US" w:eastAsia="zh-CN"/>
              </w:rPr>
              <w:t>/a</w:t>
            </w:r>
          </w:p>
        </w:tc>
        <w:tc>
          <w:tcPr>
            <w:tcW w:w="1645" w:type="pct"/>
            <w:vAlign w:val="center"/>
          </w:tcPr>
          <w:p>
            <w:pPr>
              <w:spacing w:line="300" w:lineRule="exact"/>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维生素B6注射液450万支</w:t>
            </w:r>
            <w:r>
              <w:rPr>
                <w:rFonts w:hint="default" w:ascii="Times New Roman" w:hAnsi="Times New Roman" w:eastAsia="宋体" w:cs="Times New Roman"/>
                <w:sz w:val="21"/>
                <w:szCs w:val="21"/>
                <w:lang w:val="en-US" w:eastAsia="zh-CN"/>
              </w:rPr>
              <w:t>/a</w:t>
            </w:r>
          </w:p>
        </w:tc>
        <w:tc>
          <w:tcPr>
            <w:tcW w:w="757" w:type="pct"/>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90%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730" w:type="pct"/>
            <w:vMerge w:val="continue"/>
            <w:tcBorders>
              <w:right w:val="single" w:color="auto" w:sz="4" w:space="0"/>
            </w:tcBorders>
            <w:vAlign w:val="center"/>
          </w:tcPr>
          <w:p>
            <w:pPr>
              <w:spacing w:line="300" w:lineRule="exact"/>
              <w:jc w:val="center"/>
              <w:rPr>
                <w:rFonts w:hint="default" w:ascii="Times New Roman" w:hAnsi="Times New Roman" w:eastAsia="宋体" w:cs="Times New Roman"/>
                <w:sz w:val="21"/>
                <w:szCs w:val="21"/>
              </w:rPr>
            </w:pPr>
          </w:p>
        </w:tc>
        <w:tc>
          <w:tcPr>
            <w:tcW w:w="1866" w:type="pct"/>
            <w:vAlign w:val="center"/>
          </w:tcPr>
          <w:p>
            <w:pPr>
              <w:spacing w:line="300" w:lineRule="exact"/>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钠钾镁钙注射用浓溶液800万支/</w:t>
            </w:r>
            <w:r>
              <w:rPr>
                <w:rFonts w:hint="default" w:ascii="Times New Roman" w:hAnsi="Times New Roman" w:eastAsia="宋体" w:cs="Times New Roman"/>
                <w:sz w:val="21"/>
                <w:szCs w:val="21"/>
                <w:lang w:val="en-US" w:eastAsia="zh-CN"/>
              </w:rPr>
              <w:t>a</w:t>
            </w:r>
          </w:p>
        </w:tc>
        <w:tc>
          <w:tcPr>
            <w:tcW w:w="1645" w:type="pct"/>
            <w:vAlign w:val="center"/>
          </w:tcPr>
          <w:p>
            <w:pPr>
              <w:spacing w:line="300" w:lineRule="exact"/>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钠钾镁钙注射用浓溶液720万支/</w:t>
            </w:r>
            <w:r>
              <w:rPr>
                <w:rFonts w:hint="default" w:ascii="Times New Roman" w:hAnsi="Times New Roman" w:eastAsia="宋体" w:cs="Times New Roman"/>
                <w:sz w:val="21"/>
                <w:szCs w:val="21"/>
                <w:lang w:val="en-US" w:eastAsia="zh-CN"/>
              </w:rPr>
              <w:t>a</w:t>
            </w:r>
          </w:p>
        </w:tc>
        <w:tc>
          <w:tcPr>
            <w:tcW w:w="757" w:type="pct"/>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90%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730" w:type="pct"/>
            <w:vMerge w:val="continue"/>
            <w:tcBorders>
              <w:right w:val="single" w:color="auto" w:sz="4" w:space="0"/>
            </w:tcBorders>
            <w:vAlign w:val="center"/>
          </w:tcPr>
          <w:p>
            <w:pPr>
              <w:spacing w:line="300" w:lineRule="exact"/>
              <w:jc w:val="center"/>
              <w:rPr>
                <w:rFonts w:hint="default" w:ascii="Times New Roman" w:hAnsi="Times New Roman" w:eastAsia="宋体" w:cs="Times New Roman"/>
                <w:sz w:val="21"/>
                <w:szCs w:val="21"/>
              </w:rPr>
            </w:pPr>
          </w:p>
        </w:tc>
        <w:tc>
          <w:tcPr>
            <w:tcW w:w="4269" w:type="pct"/>
            <w:gridSpan w:val="3"/>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小容量（西林瓶）冻干注射剂产品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730" w:type="pct"/>
            <w:vMerge w:val="continue"/>
            <w:tcBorders>
              <w:right w:val="single" w:color="auto" w:sz="4" w:space="0"/>
            </w:tcBorders>
            <w:vAlign w:val="center"/>
          </w:tcPr>
          <w:p>
            <w:pPr>
              <w:spacing w:line="300" w:lineRule="exact"/>
              <w:jc w:val="center"/>
              <w:rPr>
                <w:rFonts w:hint="default" w:ascii="Times New Roman" w:hAnsi="Times New Roman" w:eastAsia="宋体" w:cs="Times New Roman"/>
                <w:sz w:val="21"/>
                <w:szCs w:val="21"/>
              </w:rPr>
            </w:pPr>
          </w:p>
        </w:tc>
        <w:tc>
          <w:tcPr>
            <w:tcW w:w="1866" w:type="pct"/>
            <w:vAlign w:val="center"/>
          </w:tcPr>
          <w:p>
            <w:pPr>
              <w:spacing w:line="300" w:lineRule="exact"/>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注射用盐酸罗沙替丁醋酸酯80万支</w:t>
            </w:r>
            <w:r>
              <w:rPr>
                <w:rFonts w:hint="default" w:ascii="Times New Roman" w:hAnsi="Times New Roman" w:eastAsia="宋体" w:cs="Times New Roman"/>
                <w:sz w:val="21"/>
                <w:szCs w:val="21"/>
                <w:lang w:val="en-US" w:eastAsia="zh-CN"/>
              </w:rPr>
              <w:t>/a</w:t>
            </w:r>
          </w:p>
        </w:tc>
        <w:tc>
          <w:tcPr>
            <w:tcW w:w="1645" w:type="pct"/>
            <w:vAlign w:val="center"/>
          </w:tcPr>
          <w:p>
            <w:pPr>
              <w:spacing w:line="300" w:lineRule="exact"/>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注射用盐酸罗沙替丁醋酸酯72万支</w:t>
            </w:r>
            <w:r>
              <w:rPr>
                <w:rFonts w:hint="default" w:ascii="Times New Roman" w:hAnsi="Times New Roman" w:eastAsia="宋体" w:cs="Times New Roman"/>
                <w:sz w:val="21"/>
                <w:szCs w:val="21"/>
                <w:lang w:val="en-US" w:eastAsia="zh-CN"/>
              </w:rPr>
              <w:t>/a</w:t>
            </w:r>
          </w:p>
        </w:tc>
        <w:tc>
          <w:tcPr>
            <w:tcW w:w="757" w:type="pct"/>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90%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3" w:hRule="atLeast"/>
        </w:trPr>
        <w:tc>
          <w:tcPr>
            <w:tcW w:w="730" w:type="pct"/>
            <w:vMerge w:val="continue"/>
            <w:tcBorders>
              <w:right w:val="single" w:color="auto" w:sz="4" w:space="0"/>
            </w:tcBorders>
            <w:vAlign w:val="center"/>
          </w:tcPr>
          <w:p>
            <w:pPr>
              <w:spacing w:line="300" w:lineRule="exact"/>
              <w:jc w:val="center"/>
              <w:rPr>
                <w:rFonts w:hint="default" w:ascii="Times New Roman" w:hAnsi="Times New Roman" w:eastAsia="宋体" w:cs="Times New Roman"/>
                <w:sz w:val="21"/>
                <w:szCs w:val="21"/>
              </w:rPr>
            </w:pPr>
          </w:p>
        </w:tc>
        <w:tc>
          <w:tcPr>
            <w:tcW w:w="1866" w:type="pct"/>
            <w:vAlign w:val="center"/>
          </w:tcPr>
          <w:p>
            <w:pPr>
              <w:spacing w:line="300" w:lineRule="exact"/>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注射用地尔硫卓80万支</w:t>
            </w:r>
            <w:r>
              <w:rPr>
                <w:rFonts w:hint="default" w:ascii="Times New Roman" w:hAnsi="Times New Roman" w:eastAsia="宋体" w:cs="Times New Roman"/>
                <w:sz w:val="21"/>
                <w:szCs w:val="21"/>
                <w:lang w:val="en-US" w:eastAsia="zh-CN"/>
              </w:rPr>
              <w:t>/a</w:t>
            </w:r>
          </w:p>
        </w:tc>
        <w:tc>
          <w:tcPr>
            <w:tcW w:w="1645" w:type="pct"/>
            <w:vAlign w:val="center"/>
          </w:tcPr>
          <w:p>
            <w:pPr>
              <w:spacing w:line="300" w:lineRule="exact"/>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注射用地尔硫卓72万支</w:t>
            </w:r>
            <w:r>
              <w:rPr>
                <w:rFonts w:hint="default" w:ascii="Times New Roman" w:hAnsi="Times New Roman" w:eastAsia="宋体" w:cs="Times New Roman"/>
                <w:sz w:val="21"/>
                <w:szCs w:val="21"/>
                <w:lang w:val="en-US" w:eastAsia="zh-CN"/>
              </w:rPr>
              <w:t>/a</w:t>
            </w:r>
          </w:p>
        </w:tc>
        <w:tc>
          <w:tcPr>
            <w:tcW w:w="757" w:type="pct"/>
            <w:vAlign w:val="center"/>
          </w:tcPr>
          <w:p>
            <w:pPr>
              <w:spacing w:line="30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90%</w:t>
            </w:r>
          </w:p>
        </w:tc>
      </w:tr>
    </w:tbl>
    <w:p>
      <w:pPr>
        <w:pStyle w:val="38"/>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outlineLvl w:val="1"/>
        <w:rPr>
          <w:rFonts w:hint="default" w:ascii="Times New Roman" w:hAnsi="Times New Roman" w:eastAsia="宋体" w:cs="Times New Roman"/>
          <w:b/>
          <w:sz w:val="28"/>
          <w:szCs w:val="32"/>
        </w:rPr>
      </w:pPr>
      <w:bookmarkStart w:id="70" w:name="_Toc32444"/>
      <w:r>
        <w:rPr>
          <w:rFonts w:hint="default" w:ascii="Times New Roman" w:hAnsi="Times New Roman" w:eastAsia="宋体" w:cs="Times New Roman"/>
          <w:b/>
          <w:sz w:val="28"/>
          <w:szCs w:val="32"/>
        </w:rPr>
        <w:t>9.2环保设施调试运行效果</w:t>
      </w:r>
      <w:bookmarkEnd w:id="69"/>
      <w:bookmarkEnd w:id="70"/>
    </w:p>
    <w:p>
      <w:pPr>
        <w:pStyle w:val="38"/>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9.2.1污染物达标排放监测结果</w:t>
      </w:r>
    </w:p>
    <w:p>
      <w:pPr>
        <w:pStyle w:val="38"/>
        <w:spacing w:line="360" w:lineRule="auto"/>
        <w:ind w:firstLine="0" w:firstLineChars="0"/>
        <w:jc w:val="left"/>
        <w:rPr>
          <w:rFonts w:hint="default" w:ascii="Times New Roman" w:hAnsi="Times New Roman" w:eastAsia="宋体" w:cs="Times New Roman"/>
          <w:b/>
          <w:sz w:val="24"/>
          <w:szCs w:val="32"/>
          <w:lang w:val="en-US" w:eastAsia="zh-CN"/>
        </w:rPr>
      </w:pPr>
      <w:r>
        <w:rPr>
          <w:rFonts w:hint="default" w:ascii="Times New Roman" w:hAnsi="Times New Roman" w:eastAsia="宋体" w:cs="Times New Roman"/>
          <w:b/>
          <w:sz w:val="24"/>
          <w:szCs w:val="32"/>
          <w:lang w:val="en-US" w:eastAsia="zh-CN"/>
        </w:rPr>
        <w:t>9.2.1.1废水</w:t>
      </w:r>
    </w:p>
    <w:p>
      <w:pPr>
        <w:pStyle w:val="8"/>
        <w:spacing w:after="0" w:line="360" w:lineRule="auto"/>
        <w:ind w:left="0" w:firstLine="480" w:firstLineChars="200"/>
        <w:rPr>
          <w:rFonts w:hint="default" w:ascii="Times New Roman" w:hAnsi="Times New Roman" w:eastAsia="宋体" w:cs="Times New Roman"/>
          <w:color w:val="000000"/>
          <w:sz w:val="24"/>
          <w:szCs w:val="28"/>
          <w:lang w:val="en-US" w:eastAsia="zh-CN"/>
        </w:rPr>
      </w:pPr>
      <w:bookmarkStart w:id="71" w:name="_Hlk74757755"/>
      <w:r>
        <w:rPr>
          <w:rFonts w:hint="default" w:ascii="Times New Roman" w:hAnsi="Times New Roman" w:eastAsia="宋体" w:cs="Times New Roman"/>
          <w:color w:val="000000"/>
          <w:sz w:val="24"/>
          <w:szCs w:val="28"/>
          <w:lang w:val="en-US" w:eastAsia="zh-CN"/>
        </w:rPr>
        <w:t>生产废水经自建污水处理站处理后，通过市政污水管网排入菏泽众兴牡丹水环境有限公司污水处理厂进行深度处理</w:t>
      </w:r>
      <w:r>
        <w:rPr>
          <w:rFonts w:hint="eastAsia" w:ascii="Times New Roman" w:hAnsi="Times New Roman" w:eastAsia="宋体" w:cs="Times New Roman"/>
          <w:color w:val="000000"/>
          <w:sz w:val="24"/>
          <w:szCs w:val="28"/>
          <w:lang w:val="en-US" w:eastAsia="zh-CN"/>
        </w:rPr>
        <w:t>。</w:t>
      </w:r>
    </w:p>
    <w:p>
      <w:pPr>
        <w:widowControl w:val="0"/>
        <w:spacing w:after="0" w:line="360" w:lineRule="auto"/>
        <w:ind w:left="0" w:firstLine="480" w:firstLineChars="200"/>
        <w:jc w:val="both"/>
        <w:rPr>
          <w:rFonts w:ascii="Times New Roman" w:hAnsi="Times New Roman" w:eastAsia="宋体" w:cs="Times New Roman"/>
          <w:color w:val="000000"/>
          <w:kern w:val="2"/>
          <w:sz w:val="24"/>
          <w:szCs w:val="28"/>
          <w:lang w:val="en-US" w:eastAsia="zh-CN" w:bidi="ar-SA"/>
        </w:rPr>
      </w:pPr>
      <w:r>
        <w:rPr>
          <w:rFonts w:hint="eastAsia" w:ascii="Times New Roman" w:hAnsi="Times New Roman" w:eastAsia="宋体" w:cs="Times New Roman"/>
          <w:color w:val="000000"/>
          <w:kern w:val="2"/>
          <w:sz w:val="24"/>
          <w:szCs w:val="28"/>
          <w:lang w:val="en-US" w:eastAsia="zh-CN" w:bidi="ar-SA"/>
        </w:rPr>
        <w:t>生产废水</w:t>
      </w:r>
      <w:r>
        <w:rPr>
          <w:rFonts w:ascii="Times New Roman" w:hAnsi="Times New Roman" w:eastAsia="宋体" w:cs="Times New Roman"/>
          <w:color w:val="000000"/>
          <w:kern w:val="2"/>
          <w:sz w:val="24"/>
          <w:szCs w:val="28"/>
          <w:lang w:val="en-US" w:eastAsia="zh-CN" w:bidi="ar-SA"/>
        </w:rPr>
        <w:t>监测结果见表9-</w:t>
      </w:r>
      <w:r>
        <w:rPr>
          <w:rFonts w:hint="eastAsia" w:ascii="Times New Roman" w:hAnsi="Times New Roman" w:eastAsia="宋体" w:cs="Times New Roman"/>
          <w:color w:val="000000"/>
          <w:kern w:val="2"/>
          <w:sz w:val="24"/>
          <w:szCs w:val="28"/>
          <w:lang w:val="en-US" w:eastAsia="zh-CN" w:bidi="ar-SA"/>
        </w:rPr>
        <w:t>2</w:t>
      </w:r>
      <w:r>
        <w:rPr>
          <w:rFonts w:ascii="Times New Roman" w:hAnsi="Times New Roman" w:eastAsia="宋体" w:cs="Times New Roman"/>
          <w:color w:val="000000"/>
          <w:kern w:val="2"/>
          <w:sz w:val="24"/>
          <w:szCs w:val="28"/>
          <w:lang w:val="en-US" w:eastAsia="zh-CN" w:bidi="ar-SA"/>
        </w:rPr>
        <w:t>。</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eastAsia" w:ascii="Times New Roman" w:hAnsi="Times New Roman" w:eastAsia="宋体" w:cs="Times New Roman"/>
          <w:b/>
          <w:sz w:val="21"/>
          <w:szCs w:val="21"/>
          <w:lang w:val="en-US" w:eastAsia="zh-CN"/>
        </w:rPr>
      </w:pPr>
      <w:r>
        <w:rPr>
          <w:rFonts w:hint="eastAsia" w:ascii="Times New Roman" w:hAnsi="Times New Roman" w:eastAsia="宋体" w:cs="Times New Roman"/>
          <w:b/>
          <w:sz w:val="21"/>
          <w:szCs w:val="21"/>
          <w:lang w:val="en-US" w:eastAsia="zh-CN"/>
        </w:rPr>
        <w:t>表9-2  污水监测结果汇总</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4"/>
        <w:gridCol w:w="1963"/>
        <w:gridCol w:w="1694"/>
        <w:gridCol w:w="1529"/>
        <w:gridCol w:w="1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2" w:type="pct"/>
            <w:noWrap w:val="0"/>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采样日期</w:t>
            </w:r>
          </w:p>
        </w:tc>
        <w:tc>
          <w:tcPr>
            <w:tcW w:w="3917" w:type="pct"/>
            <w:gridSpan w:val="4"/>
            <w:noWrap w:val="0"/>
            <w:vAlign w:val="center"/>
          </w:tcPr>
          <w:p>
            <w:pPr>
              <w:widowControl/>
              <w:spacing w:before="100" w:beforeAutospacing="1" w:after="100" w:afterAutospacing="1"/>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2024.01.04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2" w:type="pct"/>
            <w:noWrap w:val="0"/>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采样点位</w:t>
            </w:r>
          </w:p>
        </w:tc>
        <w:tc>
          <w:tcPr>
            <w:tcW w:w="3917" w:type="pct"/>
            <w:gridSpan w:val="4"/>
            <w:noWrap w:val="0"/>
            <w:vAlign w:val="center"/>
          </w:tcPr>
          <w:p>
            <w:pPr>
              <w:widowControl/>
              <w:spacing w:before="100" w:beforeAutospacing="1" w:after="100" w:afterAutospacing="1"/>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污水处理站进水口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widowControl/>
              <w:jc w:val="center"/>
              <w:textAlignment w:val="center"/>
              <w:rPr>
                <w:rFonts w:ascii="Times New Roman" w:hAnsi="Times New Roman" w:eastAsia="宋体" w:cs="Times New Roman"/>
                <w:szCs w:val="21"/>
              </w:rPr>
            </w:pPr>
            <w:r>
              <w:rPr>
                <w:rFonts w:hint="eastAsia" w:ascii="Times New Roman" w:hAnsi="Times New Roman" w:eastAsia="宋体" w:cs="Times New Roman"/>
                <w:szCs w:val="21"/>
              </w:rPr>
              <w:t>样品编号</w:t>
            </w:r>
          </w:p>
        </w:tc>
        <w:tc>
          <w:tcPr>
            <w:tcW w:w="1152" w:type="pct"/>
            <w:noWrap w:val="0"/>
            <w:vAlign w:val="center"/>
          </w:tcPr>
          <w:p>
            <w:pPr>
              <w:widowControl/>
              <w:jc w:val="center"/>
              <w:textAlignment w:val="center"/>
              <w:rPr>
                <w:rFonts w:hint="eastAsia" w:ascii="Times New Roman" w:hAnsi="Times New Roman" w:eastAsia="宋体" w:cs="Times New Roman"/>
                <w:szCs w:val="21"/>
              </w:rPr>
            </w:pPr>
            <w:r>
              <w:rPr>
                <w:rFonts w:hint="eastAsia" w:ascii="Times New Roman" w:hAnsi="Times New Roman" w:eastAsia="宋体" w:cs="Times New Roman"/>
                <w:szCs w:val="21"/>
              </w:rPr>
              <w:t>HC24010303-</w:t>
            </w:r>
            <w:r>
              <w:rPr>
                <w:rFonts w:hint="eastAsia" w:ascii="Times New Roman" w:hAnsi="Times New Roman" w:eastAsia="宋体" w:cs="Times New Roman"/>
                <w:szCs w:val="21"/>
                <w:lang w:val="en-US" w:eastAsia="zh-CN"/>
              </w:rPr>
              <w:t xml:space="preserve"> </w:t>
            </w:r>
            <w:r>
              <w:rPr>
                <w:rFonts w:hint="eastAsia" w:ascii="Times New Roman" w:hAnsi="Times New Roman" w:eastAsia="宋体" w:cs="Times New Roman"/>
                <w:szCs w:val="21"/>
              </w:rPr>
              <w:t>1078</w:t>
            </w:r>
          </w:p>
        </w:tc>
        <w:tc>
          <w:tcPr>
            <w:tcW w:w="994" w:type="pct"/>
            <w:noWrap w:val="0"/>
            <w:vAlign w:val="center"/>
          </w:tcPr>
          <w:p>
            <w:pPr>
              <w:widowControl/>
              <w:jc w:val="center"/>
              <w:textAlignment w:val="center"/>
              <w:rPr>
                <w:rFonts w:hint="eastAsia" w:ascii="Times New Roman" w:hAnsi="Times New Roman" w:eastAsia="宋体" w:cs="Times New Roman"/>
                <w:szCs w:val="21"/>
                <w:lang w:eastAsia="zh-CN"/>
              </w:rPr>
            </w:pPr>
            <w:r>
              <w:rPr>
                <w:rFonts w:hint="eastAsia" w:ascii="Times New Roman" w:hAnsi="Times New Roman" w:eastAsia="宋体" w:cs="Times New Roman"/>
                <w:szCs w:val="21"/>
              </w:rPr>
              <w:t>HC24010303-</w:t>
            </w:r>
            <w:r>
              <w:rPr>
                <w:rFonts w:hint="eastAsia" w:ascii="Times New Roman" w:hAnsi="Times New Roman" w:eastAsia="宋体" w:cs="Times New Roman"/>
                <w:szCs w:val="21"/>
                <w:lang w:val="en-US" w:eastAsia="zh-CN"/>
              </w:rPr>
              <w:t xml:space="preserve"> </w:t>
            </w:r>
            <w:r>
              <w:rPr>
                <w:rFonts w:hint="eastAsia" w:ascii="Times New Roman" w:hAnsi="Times New Roman" w:eastAsia="宋体" w:cs="Times New Roman"/>
                <w:szCs w:val="21"/>
              </w:rPr>
              <w:t>107</w:t>
            </w:r>
            <w:r>
              <w:rPr>
                <w:rFonts w:hint="eastAsia" w:ascii="Times New Roman" w:hAnsi="Times New Roman" w:eastAsia="宋体" w:cs="Times New Roman"/>
                <w:szCs w:val="21"/>
                <w:lang w:val="en-US" w:eastAsia="zh-CN"/>
              </w:rPr>
              <w:t>9</w:t>
            </w:r>
          </w:p>
        </w:tc>
        <w:tc>
          <w:tcPr>
            <w:tcW w:w="897" w:type="pct"/>
            <w:noWrap w:val="0"/>
            <w:vAlign w:val="center"/>
          </w:tcPr>
          <w:p>
            <w:pPr>
              <w:widowControl/>
              <w:jc w:val="center"/>
              <w:textAlignment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rPr>
              <w:t>HC24010303-</w:t>
            </w:r>
            <w:r>
              <w:rPr>
                <w:rFonts w:hint="eastAsia" w:ascii="Times New Roman" w:hAnsi="Times New Roman" w:eastAsia="宋体" w:cs="Times New Roman"/>
                <w:szCs w:val="21"/>
                <w:lang w:val="en-US" w:eastAsia="zh-CN"/>
              </w:rPr>
              <w:t xml:space="preserve"> </w:t>
            </w:r>
            <w:r>
              <w:rPr>
                <w:rFonts w:hint="eastAsia" w:ascii="Times New Roman" w:hAnsi="Times New Roman" w:eastAsia="宋体" w:cs="Times New Roman"/>
                <w:szCs w:val="21"/>
              </w:rPr>
              <w:t>10</w:t>
            </w:r>
            <w:r>
              <w:rPr>
                <w:rFonts w:hint="eastAsia" w:ascii="Times New Roman" w:hAnsi="Times New Roman" w:eastAsia="宋体" w:cs="Times New Roman"/>
                <w:szCs w:val="21"/>
                <w:lang w:val="en-US" w:eastAsia="zh-CN"/>
              </w:rPr>
              <w:t>80</w:t>
            </w:r>
          </w:p>
        </w:tc>
        <w:tc>
          <w:tcPr>
            <w:tcW w:w="873" w:type="pct"/>
            <w:noWrap w:val="0"/>
            <w:vAlign w:val="center"/>
          </w:tcPr>
          <w:p>
            <w:pPr>
              <w:widowControl/>
              <w:jc w:val="center"/>
              <w:textAlignment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rPr>
              <w:t>HC24010303-</w:t>
            </w:r>
            <w:r>
              <w:rPr>
                <w:rFonts w:hint="eastAsia" w:ascii="Times New Roman" w:hAnsi="Times New Roman" w:eastAsia="宋体" w:cs="Times New Roman"/>
                <w:szCs w:val="21"/>
                <w:lang w:val="en-US" w:eastAsia="zh-CN"/>
              </w:rPr>
              <w:t xml:space="preserve"> </w:t>
            </w:r>
            <w:r>
              <w:rPr>
                <w:rFonts w:hint="eastAsia" w:ascii="Times New Roman" w:hAnsi="Times New Roman" w:eastAsia="宋体" w:cs="Times New Roman"/>
                <w:szCs w:val="21"/>
              </w:rPr>
              <w:t>10</w:t>
            </w:r>
            <w:r>
              <w:rPr>
                <w:rFonts w:hint="eastAsia" w:ascii="Times New Roman" w:hAnsi="Times New Roman" w:eastAsia="宋体" w:cs="Times New Roman"/>
                <w:szCs w:val="21"/>
                <w:lang w:val="en-US" w:eastAsia="zh-CN"/>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ascii="Times New Roman" w:hAnsi="Times New Roman" w:eastAsia="宋体" w:cs="Times New Roman"/>
                <w:szCs w:val="21"/>
              </w:rPr>
            </w:pPr>
            <w:r>
              <w:rPr>
                <w:rFonts w:ascii="Times New Roman" w:hAnsi="Times New Roman" w:eastAsia="宋体" w:cs="Times New Roman"/>
                <w:szCs w:val="21"/>
                <w:lang w:bidi="ar"/>
              </w:rPr>
              <w:t>pH</w:t>
            </w:r>
            <w:r>
              <w:rPr>
                <w:rFonts w:hint="eastAsia" w:ascii="Times New Roman" w:hAnsi="Times New Roman" w:eastAsia="宋体" w:cs="Times New Roman"/>
                <w:szCs w:val="21"/>
                <w:lang w:bidi="ar"/>
              </w:rPr>
              <w:t>（无量纲）</w:t>
            </w:r>
          </w:p>
        </w:tc>
        <w:tc>
          <w:tcPr>
            <w:tcW w:w="1152"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7.0</w:t>
            </w:r>
          </w:p>
        </w:tc>
        <w:tc>
          <w:tcPr>
            <w:tcW w:w="994" w:type="pct"/>
            <w:noWrap w:val="0"/>
            <w:vAlign w:val="center"/>
          </w:tcPr>
          <w:p>
            <w:pPr>
              <w:widowControl/>
              <w:jc w:val="center"/>
              <w:textAlignment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7.1</w:t>
            </w:r>
          </w:p>
        </w:tc>
        <w:tc>
          <w:tcPr>
            <w:tcW w:w="897" w:type="pct"/>
            <w:noWrap w:val="0"/>
            <w:vAlign w:val="center"/>
          </w:tcPr>
          <w:p>
            <w:pPr>
              <w:widowControl/>
              <w:jc w:val="center"/>
              <w:textAlignment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7.1</w:t>
            </w:r>
          </w:p>
        </w:tc>
        <w:tc>
          <w:tcPr>
            <w:tcW w:w="873" w:type="pct"/>
            <w:noWrap w:val="0"/>
            <w:vAlign w:val="center"/>
          </w:tcPr>
          <w:p>
            <w:pPr>
              <w:widowControl/>
              <w:jc w:val="center"/>
              <w:textAlignment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ascii="Times New Roman" w:hAnsi="Times New Roman" w:eastAsia="宋体" w:cs="Times New Roman"/>
                <w:szCs w:val="21"/>
                <w:lang w:bidi="ar"/>
              </w:rPr>
            </w:pPr>
            <w:r>
              <w:rPr>
                <w:rFonts w:hint="eastAsia" w:ascii="Times New Roman" w:hAnsi="Times New Roman" w:eastAsia="宋体" w:cs="Times New Roman"/>
                <w:color w:val="auto"/>
                <w:szCs w:val="24"/>
                <w:lang w:bidi="ar"/>
              </w:rPr>
              <w:t>SS</w:t>
            </w:r>
            <w:r>
              <w:rPr>
                <w:rFonts w:hint="eastAsia" w:ascii="Times New Roman" w:hAnsi="Times New Roman" w:eastAsia="宋体" w:cs="Times New Roman"/>
                <w:szCs w:val="21"/>
                <w:lang w:bidi="ar"/>
              </w:rPr>
              <w:t>（mg/L）</w:t>
            </w:r>
          </w:p>
        </w:tc>
        <w:tc>
          <w:tcPr>
            <w:tcW w:w="1152"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18</w:t>
            </w:r>
          </w:p>
        </w:tc>
        <w:tc>
          <w:tcPr>
            <w:tcW w:w="994" w:type="pct"/>
            <w:noWrap w:val="0"/>
            <w:vAlign w:val="center"/>
          </w:tcPr>
          <w:p>
            <w:pPr>
              <w:widowControl/>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20</w:t>
            </w:r>
          </w:p>
        </w:tc>
        <w:tc>
          <w:tcPr>
            <w:tcW w:w="897" w:type="pct"/>
            <w:noWrap w:val="0"/>
            <w:vAlign w:val="center"/>
          </w:tcPr>
          <w:p>
            <w:pPr>
              <w:widowControl/>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16</w:t>
            </w:r>
          </w:p>
        </w:tc>
        <w:tc>
          <w:tcPr>
            <w:tcW w:w="873" w:type="pct"/>
            <w:noWrap w:val="0"/>
            <w:vAlign w:val="center"/>
          </w:tcPr>
          <w:p>
            <w:pPr>
              <w:widowControl/>
              <w:jc w:val="center"/>
              <w:textAlignment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宋体" w:cs="Times New Roman"/>
                <w:szCs w:val="24"/>
                <w:lang w:bidi="ar"/>
              </w:rPr>
            </w:pPr>
            <w:r>
              <w:rPr>
                <w:rFonts w:hint="eastAsia" w:ascii="Times New Roman" w:hAnsi="Times New Roman" w:eastAsia="宋体" w:cs="Times New Roman"/>
                <w:color w:val="auto"/>
                <w:szCs w:val="24"/>
                <w:lang w:bidi="ar"/>
              </w:rPr>
              <w:t>全盐量</w:t>
            </w:r>
            <w:r>
              <w:rPr>
                <w:rFonts w:hint="eastAsia" w:ascii="Times New Roman" w:hAnsi="Times New Roman" w:eastAsia="宋体" w:cs="Times New Roman"/>
                <w:szCs w:val="21"/>
                <w:lang w:bidi="ar"/>
              </w:rPr>
              <w:t>（mg/L）</w:t>
            </w:r>
          </w:p>
        </w:tc>
        <w:tc>
          <w:tcPr>
            <w:tcW w:w="1152" w:type="pct"/>
            <w:noWrap w:val="0"/>
            <w:vAlign w:val="center"/>
          </w:tcPr>
          <w:p>
            <w:pPr>
              <w:widowControl/>
              <w:jc w:val="center"/>
              <w:textAlignment w:val="center"/>
              <w:rPr>
                <w:rFonts w:hint="default" w:ascii="Times New Roman" w:hAnsi="Times New Roman" w:eastAsia="宋体" w:cs="Times New Roman"/>
                <w:kern w:val="2"/>
                <w:sz w:val="21"/>
                <w:szCs w:val="24"/>
                <w:lang w:val="en-US" w:eastAsia="zh-CN" w:bidi="ar"/>
              </w:rPr>
            </w:pPr>
            <w:r>
              <w:rPr>
                <w:rFonts w:hint="eastAsia" w:ascii="Times New Roman" w:hAnsi="Times New Roman" w:eastAsia="宋体" w:cs="Times New Roman"/>
                <w:kern w:val="2"/>
                <w:sz w:val="21"/>
                <w:szCs w:val="24"/>
                <w:lang w:val="en-US" w:eastAsia="zh-CN" w:bidi="ar"/>
              </w:rPr>
              <w:t>581</w:t>
            </w:r>
          </w:p>
        </w:tc>
        <w:tc>
          <w:tcPr>
            <w:tcW w:w="994" w:type="pct"/>
            <w:noWrap w:val="0"/>
            <w:vAlign w:val="center"/>
          </w:tcPr>
          <w:p>
            <w:pPr>
              <w:widowControl/>
              <w:jc w:val="center"/>
              <w:textAlignment w:val="center"/>
              <w:rPr>
                <w:rFonts w:hint="default" w:ascii="Times New Roman" w:hAnsi="Times New Roman" w:eastAsia="宋体" w:cs="Times New Roman"/>
                <w:color w:val="auto"/>
                <w:szCs w:val="24"/>
                <w:lang w:val="en-US" w:eastAsia="zh-CN" w:bidi="ar"/>
              </w:rPr>
            </w:pPr>
            <w:r>
              <w:rPr>
                <w:rFonts w:hint="eastAsia" w:ascii="Times New Roman" w:hAnsi="Times New Roman" w:eastAsia="宋体" w:cs="Times New Roman"/>
                <w:color w:val="auto"/>
                <w:szCs w:val="24"/>
                <w:lang w:val="en-US" w:eastAsia="zh-CN" w:bidi="ar"/>
              </w:rPr>
              <w:t>573</w:t>
            </w:r>
          </w:p>
        </w:tc>
        <w:tc>
          <w:tcPr>
            <w:tcW w:w="897"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604</w:t>
            </w:r>
          </w:p>
        </w:tc>
        <w:tc>
          <w:tcPr>
            <w:tcW w:w="873" w:type="pct"/>
            <w:noWrap w:val="0"/>
            <w:vAlign w:val="center"/>
          </w:tcPr>
          <w:p>
            <w:pPr>
              <w:widowControl/>
              <w:jc w:val="center"/>
              <w:textAlignment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ascii="Times New Roman" w:hAnsi="Times New Roman" w:eastAsia="宋体" w:cs="Times New Roman"/>
                <w:color w:val="auto"/>
                <w:szCs w:val="24"/>
                <w:lang w:bidi="ar"/>
              </w:rPr>
            </w:pPr>
            <w:r>
              <w:rPr>
                <w:rFonts w:ascii="Times New Roman" w:hAnsi="Times New Roman" w:eastAsia="宋体" w:cs="Times New Roman"/>
                <w:color w:val="auto"/>
                <w:szCs w:val="21"/>
                <w:lang w:bidi="ar"/>
              </w:rPr>
              <w:t>COD</w:t>
            </w:r>
            <w:r>
              <w:rPr>
                <w:rFonts w:hint="eastAsia" w:ascii="Times New Roman" w:hAnsi="Times New Roman" w:eastAsia="宋体" w:cs="Times New Roman"/>
                <w:szCs w:val="21"/>
                <w:lang w:bidi="ar"/>
              </w:rPr>
              <w:t>（mg/L）</w:t>
            </w:r>
          </w:p>
        </w:tc>
        <w:tc>
          <w:tcPr>
            <w:tcW w:w="1152" w:type="pct"/>
            <w:noWrap w:val="0"/>
            <w:vAlign w:val="center"/>
          </w:tcPr>
          <w:p>
            <w:pPr>
              <w:widowControl/>
              <w:jc w:val="center"/>
              <w:textAlignment w:val="center"/>
              <w:rPr>
                <w:rFonts w:hint="default" w:ascii="Times New Roman" w:hAnsi="Times New Roman" w:eastAsia="宋体" w:cs="Times New Roman"/>
                <w:color w:val="auto"/>
                <w:kern w:val="2"/>
                <w:sz w:val="21"/>
                <w:szCs w:val="24"/>
                <w:lang w:val="en-US" w:eastAsia="zh-CN" w:bidi="ar"/>
              </w:rPr>
            </w:pPr>
            <w:r>
              <w:rPr>
                <w:rFonts w:hint="eastAsia" w:ascii="Times New Roman" w:hAnsi="Times New Roman" w:eastAsia="宋体" w:cs="Times New Roman"/>
                <w:color w:val="auto"/>
                <w:kern w:val="2"/>
                <w:sz w:val="21"/>
                <w:szCs w:val="24"/>
                <w:lang w:val="en-US" w:eastAsia="zh-CN" w:bidi="ar"/>
              </w:rPr>
              <w:t>70</w:t>
            </w:r>
          </w:p>
        </w:tc>
        <w:tc>
          <w:tcPr>
            <w:tcW w:w="994"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64</w:t>
            </w:r>
          </w:p>
        </w:tc>
        <w:tc>
          <w:tcPr>
            <w:tcW w:w="897"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63</w:t>
            </w:r>
          </w:p>
        </w:tc>
        <w:tc>
          <w:tcPr>
            <w:tcW w:w="873"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宋体" w:cs="Times New Roman"/>
                <w:szCs w:val="24"/>
                <w:lang w:bidi="ar"/>
              </w:rPr>
            </w:pPr>
            <w:r>
              <w:rPr>
                <w:rFonts w:ascii="Times New Roman" w:hAnsi="Times New Roman" w:eastAsia="宋体" w:cs="Times New Roman"/>
                <w:color w:val="auto"/>
                <w:szCs w:val="21"/>
                <w:lang w:bidi="ar"/>
              </w:rPr>
              <w:t>氨氮</w:t>
            </w:r>
            <w:r>
              <w:rPr>
                <w:rFonts w:hint="eastAsia" w:ascii="Times New Roman" w:hAnsi="Times New Roman" w:eastAsia="宋体" w:cs="Times New Roman"/>
                <w:szCs w:val="21"/>
                <w:lang w:bidi="ar"/>
              </w:rPr>
              <w:t>（mg/L）</w:t>
            </w:r>
          </w:p>
        </w:tc>
        <w:tc>
          <w:tcPr>
            <w:tcW w:w="1152" w:type="pct"/>
            <w:noWrap w:val="0"/>
            <w:vAlign w:val="center"/>
          </w:tcPr>
          <w:p>
            <w:pPr>
              <w:widowControl/>
              <w:jc w:val="center"/>
              <w:textAlignment w:val="center"/>
              <w:rPr>
                <w:rFonts w:hint="default" w:ascii="Times New Roman" w:hAnsi="Times New Roman" w:eastAsia="宋体" w:cs="Times New Roman"/>
                <w:kern w:val="2"/>
                <w:sz w:val="21"/>
                <w:szCs w:val="24"/>
                <w:lang w:val="en-US" w:eastAsia="zh-CN" w:bidi="ar"/>
              </w:rPr>
            </w:pPr>
            <w:r>
              <w:rPr>
                <w:rFonts w:hint="eastAsia" w:ascii="Times New Roman" w:hAnsi="Times New Roman" w:eastAsia="宋体" w:cs="Times New Roman"/>
                <w:kern w:val="2"/>
                <w:sz w:val="21"/>
                <w:szCs w:val="24"/>
                <w:lang w:val="en-US" w:eastAsia="zh-CN" w:bidi="ar"/>
              </w:rPr>
              <w:t>3.07</w:t>
            </w:r>
          </w:p>
        </w:tc>
        <w:tc>
          <w:tcPr>
            <w:tcW w:w="994" w:type="pct"/>
            <w:noWrap w:val="0"/>
            <w:vAlign w:val="center"/>
          </w:tcPr>
          <w:p>
            <w:pPr>
              <w:widowControl/>
              <w:jc w:val="center"/>
              <w:textAlignment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2.97</w:t>
            </w:r>
          </w:p>
        </w:tc>
        <w:tc>
          <w:tcPr>
            <w:tcW w:w="897" w:type="pct"/>
            <w:noWrap w:val="0"/>
            <w:vAlign w:val="center"/>
          </w:tcPr>
          <w:p>
            <w:pPr>
              <w:widowControl/>
              <w:jc w:val="center"/>
              <w:textAlignment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2.76</w:t>
            </w:r>
          </w:p>
        </w:tc>
        <w:tc>
          <w:tcPr>
            <w:tcW w:w="873" w:type="pct"/>
            <w:noWrap w:val="0"/>
            <w:vAlign w:val="center"/>
          </w:tcPr>
          <w:p>
            <w:pPr>
              <w:widowControl/>
              <w:jc w:val="center"/>
              <w:textAlignment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宋体" w:cs="Times New Roman"/>
                <w:szCs w:val="21"/>
                <w:lang w:bidi="ar"/>
              </w:rPr>
            </w:pPr>
            <w:r>
              <w:rPr>
                <w:rFonts w:hint="eastAsia" w:ascii="Times New Roman" w:hAnsi="Times New Roman" w:eastAsia="宋体" w:cs="Times New Roman"/>
                <w:color w:val="auto"/>
                <w:szCs w:val="21"/>
                <w:lang w:bidi="ar"/>
              </w:rPr>
              <w:t>总磷</w:t>
            </w:r>
            <w:r>
              <w:rPr>
                <w:rFonts w:hint="eastAsia" w:ascii="Times New Roman" w:hAnsi="Times New Roman" w:eastAsia="宋体" w:cs="Times New Roman"/>
                <w:szCs w:val="21"/>
                <w:lang w:bidi="ar"/>
              </w:rPr>
              <w:t>（mg/L）</w:t>
            </w:r>
          </w:p>
        </w:tc>
        <w:tc>
          <w:tcPr>
            <w:tcW w:w="1152"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0.54</w:t>
            </w:r>
          </w:p>
        </w:tc>
        <w:tc>
          <w:tcPr>
            <w:tcW w:w="994"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0.64</w:t>
            </w:r>
          </w:p>
        </w:tc>
        <w:tc>
          <w:tcPr>
            <w:tcW w:w="897"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0.62</w:t>
            </w:r>
          </w:p>
        </w:tc>
        <w:tc>
          <w:tcPr>
            <w:tcW w:w="873"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宋体" w:cs="Times New Roman"/>
                <w:szCs w:val="21"/>
                <w:lang w:bidi="ar"/>
              </w:rPr>
            </w:pPr>
            <w:r>
              <w:rPr>
                <w:rFonts w:hint="eastAsia" w:ascii="Times New Roman" w:hAnsi="Times New Roman" w:eastAsia="宋体" w:cs="Times New Roman"/>
                <w:color w:val="auto"/>
                <w:szCs w:val="21"/>
                <w:lang w:bidi="ar"/>
              </w:rPr>
              <w:t>总氮</w:t>
            </w:r>
            <w:r>
              <w:rPr>
                <w:rFonts w:hint="eastAsia" w:ascii="Times New Roman" w:hAnsi="Times New Roman" w:eastAsia="宋体" w:cs="Times New Roman"/>
                <w:szCs w:val="21"/>
                <w:lang w:bidi="ar"/>
              </w:rPr>
              <w:t>（mg/L）</w:t>
            </w:r>
          </w:p>
        </w:tc>
        <w:tc>
          <w:tcPr>
            <w:tcW w:w="1152"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8.65</w:t>
            </w:r>
          </w:p>
        </w:tc>
        <w:tc>
          <w:tcPr>
            <w:tcW w:w="994"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8.41</w:t>
            </w:r>
          </w:p>
        </w:tc>
        <w:tc>
          <w:tcPr>
            <w:tcW w:w="897"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8.57</w:t>
            </w:r>
          </w:p>
        </w:tc>
        <w:tc>
          <w:tcPr>
            <w:tcW w:w="873" w:type="pct"/>
            <w:noWrap w:val="0"/>
            <w:vAlign w:val="center"/>
          </w:tcPr>
          <w:p>
            <w:pPr>
              <w:widowControl/>
              <w:jc w:val="center"/>
              <w:textAlignment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8.24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宋体" w:cs="Times New Roman"/>
                <w:szCs w:val="21"/>
                <w:lang w:bidi="ar"/>
              </w:rPr>
            </w:pPr>
            <w:r>
              <w:rPr>
                <w:rFonts w:hint="eastAsia" w:ascii="Times New Roman" w:hAnsi="Times New Roman" w:eastAsia="宋体" w:cs="Times New Roman"/>
                <w:color w:val="000000"/>
                <w:szCs w:val="24"/>
                <w:lang w:bidi="ar"/>
              </w:rPr>
              <w:t>BOD</w:t>
            </w:r>
            <w:r>
              <w:rPr>
                <w:rFonts w:hint="eastAsia" w:ascii="Times New Roman" w:hAnsi="Times New Roman" w:eastAsia="宋体" w:cs="Times New Roman"/>
                <w:color w:val="000000"/>
                <w:szCs w:val="24"/>
                <w:vertAlign w:val="subscript"/>
                <w:lang w:bidi="ar"/>
              </w:rPr>
              <w:t>5</w:t>
            </w:r>
            <w:r>
              <w:rPr>
                <w:rFonts w:hint="eastAsia" w:ascii="Times New Roman" w:hAnsi="Times New Roman" w:eastAsia="宋体" w:cs="Times New Roman"/>
                <w:szCs w:val="21"/>
                <w:lang w:bidi="ar"/>
              </w:rPr>
              <w:t>（mg/L）</w:t>
            </w:r>
          </w:p>
        </w:tc>
        <w:tc>
          <w:tcPr>
            <w:tcW w:w="1152"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20.4</w:t>
            </w:r>
          </w:p>
        </w:tc>
        <w:tc>
          <w:tcPr>
            <w:tcW w:w="994" w:type="pct"/>
            <w:noWrap w:val="0"/>
            <w:vAlign w:val="center"/>
          </w:tcPr>
          <w:p>
            <w:pPr>
              <w:widowControl/>
              <w:jc w:val="center"/>
              <w:textAlignment w:val="center"/>
              <w:rPr>
                <w:rFonts w:hint="default" w:ascii="Times New Roman" w:hAnsi="Times New Roman" w:eastAsia="宋体" w:cs="Times New Roman"/>
                <w:color w:val="auto"/>
                <w:szCs w:val="21"/>
                <w:lang w:val="en-US" w:eastAsia="zh-CN" w:bidi="ar"/>
              </w:rPr>
            </w:pPr>
            <w:r>
              <w:rPr>
                <w:rFonts w:hint="eastAsia" w:ascii="Times New Roman" w:hAnsi="Times New Roman" w:eastAsia="宋体" w:cs="Times New Roman"/>
                <w:color w:val="auto"/>
                <w:szCs w:val="21"/>
                <w:lang w:val="en-US" w:eastAsia="zh-CN" w:bidi="ar"/>
              </w:rPr>
              <w:t>19.2</w:t>
            </w:r>
          </w:p>
        </w:tc>
        <w:tc>
          <w:tcPr>
            <w:tcW w:w="897"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19.8</w:t>
            </w:r>
          </w:p>
        </w:tc>
        <w:tc>
          <w:tcPr>
            <w:tcW w:w="873"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宋体" w:cs="Times New Roman"/>
                <w:szCs w:val="21"/>
                <w:lang w:bidi="ar"/>
              </w:rPr>
            </w:pPr>
            <w:r>
              <w:rPr>
                <w:rFonts w:hint="eastAsia" w:ascii="Times New Roman" w:hAnsi="Times New Roman" w:eastAsia="宋体" w:cs="Times New Roman"/>
                <w:color w:val="000000"/>
                <w:szCs w:val="24"/>
                <w:lang w:bidi="ar"/>
              </w:rPr>
              <w:t>氟化物</w:t>
            </w:r>
            <w:r>
              <w:rPr>
                <w:rFonts w:hint="eastAsia" w:ascii="Times New Roman" w:hAnsi="Times New Roman" w:eastAsia="宋体" w:cs="Times New Roman"/>
                <w:szCs w:val="21"/>
                <w:lang w:bidi="ar"/>
              </w:rPr>
              <w:t>（mg/L）</w:t>
            </w:r>
          </w:p>
        </w:tc>
        <w:tc>
          <w:tcPr>
            <w:tcW w:w="1152"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1.49</w:t>
            </w:r>
          </w:p>
        </w:tc>
        <w:tc>
          <w:tcPr>
            <w:tcW w:w="994" w:type="pct"/>
            <w:noWrap w:val="0"/>
            <w:vAlign w:val="center"/>
          </w:tcPr>
          <w:p>
            <w:pPr>
              <w:widowControl/>
              <w:jc w:val="center"/>
              <w:textAlignment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1.60</w:t>
            </w:r>
          </w:p>
        </w:tc>
        <w:tc>
          <w:tcPr>
            <w:tcW w:w="897" w:type="pct"/>
            <w:noWrap w:val="0"/>
            <w:vAlign w:val="center"/>
          </w:tcPr>
          <w:p>
            <w:pPr>
              <w:widowControl/>
              <w:jc w:val="center"/>
              <w:textAlignment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1.64</w:t>
            </w:r>
          </w:p>
        </w:tc>
        <w:tc>
          <w:tcPr>
            <w:tcW w:w="873" w:type="pct"/>
            <w:noWrap w:val="0"/>
            <w:vAlign w:val="center"/>
          </w:tcPr>
          <w:p>
            <w:pPr>
              <w:widowControl/>
              <w:jc w:val="center"/>
              <w:textAlignment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rPr>
              <w:t>采样点位</w:t>
            </w:r>
          </w:p>
        </w:tc>
        <w:tc>
          <w:tcPr>
            <w:tcW w:w="3917" w:type="pct"/>
            <w:gridSpan w:val="4"/>
            <w:noWrap w:val="0"/>
            <w:vAlign w:val="center"/>
          </w:tcPr>
          <w:p>
            <w:pPr>
              <w:widowControl/>
              <w:spacing w:before="100" w:beforeAutospacing="1" w:after="100" w:afterAutospacing="1"/>
              <w:jc w:val="center"/>
              <w:rPr>
                <w:rFonts w:hint="eastAsia" w:ascii="宋体" w:hAnsi="宋体" w:eastAsia="宋体" w:cs="Times New Roman"/>
                <w:kern w:val="0"/>
                <w:sz w:val="21"/>
                <w:szCs w:val="21"/>
                <w:lang w:val="en-US" w:eastAsia="zh-CN" w:bidi="ar-SA"/>
              </w:rPr>
            </w:pPr>
            <w:r>
              <w:rPr>
                <w:rFonts w:hint="eastAsia" w:ascii="宋体" w:hAnsi="宋体" w:eastAsia="宋体" w:cs="Times New Roman"/>
                <w:kern w:val="0"/>
                <w:sz w:val="21"/>
                <w:szCs w:val="21"/>
                <w:lang w:val="en-US" w:eastAsia="zh-CN" w:bidi="ar-SA"/>
              </w:rPr>
              <w:t>污水处理站出水口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rPr>
              <w:t>样品编号</w:t>
            </w:r>
          </w:p>
        </w:tc>
        <w:tc>
          <w:tcPr>
            <w:tcW w:w="1152"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rPr>
              <w:t>HC24010303-</w:t>
            </w:r>
            <w:r>
              <w:rPr>
                <w:rFonts w:hint="eastAsia" w:ascii="Times New Roman" w:hAnsi="Times New Roman" w:eastAsia="宋体" w:cs="Times New Roman"/>
                <w:szCs w:val="21"/>
                <w:lang w:val="en-US" w:eastAsia="zh-CN"/>
              </w:rPr>
              <w:t xml:space="preserve"> </w:t>
            </w:r>
            <w:r>
              <w:rPr>
                <w:rFonts w:hint="eastAsia" w:ascii="Times New Roman" w:hAnsi="Times New Roman" w:eastAsia="宋体" w:cs="Times New Roman"/>
                <w:szCs w:val="21"/>
              </w:rPr>
              <w:t>1082</w:t>
            </w:r>
          </w:p>
        </w:tc>
        <w:tc>
          <w:tcPr>
            <w:tcW w:w="994"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rPr>
              <w:t>HC24010303-</w:t>
            </w:r>
            <w:r>
              <w:rPr>
                <w:rFonts w:hint="eastAsia" w:ascii="Times New Roman" w:hAnsi="Times New Roman" w:eastAsia="宋体" w:cs="Times New Roman"/>
                <w:szCs w:val="21"/>
                <w:lang w:val="en-US" w:eastAsia="zh-CN"/>
              </w:rPr>
              <w:t xml:space="preserve"> </w:t>
            </w:r>
            <w:r>
              <w:rPr>
                <w:rFonts w:hint="eastAsia" w:ascii="Times New Roman" w:hAnsi="Times New Roman" w:eastAsia="宋体" w:cs="Times New Roman"/>
                <w:szCs w:val="21"/>
              </w:rPr>
              <w:t>108</w:t>
            </w:r>
            <w:r>
              <w:rPr>
                <w:rFonts w:hint="eastAsia" w:ascii="Times New Roman" w:hAnsi="Times New Roman" w:eastAsia="宋体" w:cs="Times New Roman"/>
                <w:szCs w:val="21"/>
                <w:lang w:val="en-US" w:eastAsia="zh-CN"/>
              </w:rPr>
              <w:t>3</w:t>
            </w:r>
          </w:p>
        </w:tc>
        <w:tc>
          <w:tcPr>
            <w:tcW w:w="897"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rPr>
              <w:t>HC24010303-</w:t>
            </w:r>
            <w:r>
              <w:rPr>
                <w:rFonts w:hint="eastAsia" w:ascii="Times New Roman" w:hAnsi="Times New Roman" w:eastAsia="宋体" w:cs="Times New Roman"/>
                <w:szCs w:val="21"/>
                <w:lang w:val="en-US" w:eastAsia="zh-CN"/>
              </w:rPr>
              <w:t xml:space="preserve"> </w:t>
            </w:r>
            <w:r>
              <w:rPr>
                <w:rFonts w:hint="eastAsia" w:ascii="Times New Roman" w:hAnsi="Times New Roman" w:eastAsia="宋体" w:cs="Times New Roman"/>
                <w:szCs w:val="21"/>
              </w:rPr>
              <w:t>108</w:t>
            </w:r>
            <w:r>
              <w:rPr>
                <w:rFonts w:hint="eastAsia" w:ascii="Times New Roman" w:hAnsi="Times New Roman" w:eastAsia="宋体" w:cs="Times New Roman"/>
                <w:szCs w:val="21"/>
                <w:lang w:val="en-US" w:eastAsia="zh-CN"/>
              </w:rPr>
              <w:t>4</w:t>
            </w:r>
          </w:p>
        </w:tc>
        <w:tc>
          <w:tcPr>
            <w:tcW w:w="873"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rPr>
              <w:t>HC24010303-</w:t>
            </w:r>
            <w:r>
              <w:rPr>
                <w:rFonts w:hint="eastAsia" w:ascii="Times New Roman" w:hAnsi="Times New Roman" w:eastAsia="宋体" w:cs="Times New Roman"/>
                <w:szCs w:val="21"/>
                <w:lang w:val="en-US" w:eastAsia="zh-CN"/>
              </w:rPr>
              <w:t xml:space="preserve"> </w:t>
            </w:r>
            <w:r>
              <w:rPr>
                <w:rFonts w:hint="eastAsia" w:ascii="Times New Roman" w:hAnsi="Times New Roman" w:eastAsia="宋体" w:cs="Times New Roman"/>
                <w:szCs w:val="21"/>
              </w:rPr>
              <w:t>108</w:t>
            </w:r>
            <w:r>
              <w:rPr>
                <w:rFonts w:hint="eastAsia" w:ascii="Times New Roman" w:hAnsi="Times New Roman" w:eastAsia="宋体" w:cs="Times New Roman"/>
                <w:szCs w:val="21"/>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宋体" w:cs="Times New Roman"/>
                <w:kern w:val="2"/>
                <w:sz w:val="21"/>
                <w:szCs w:val="21"/>
                <w:lang w:val="en-US" w:eastAsia="zh-CN" w:bidi="ar-SA"/>
              </w:rPr>
            </w:pPr>
            <w:r>
              <w:rPr>
                <w:rFonts w:ascii="Times New Roman" w:hAnsi="Times New Roman" w:eastAsia="宋体" w:cs="Times New Roman"/>
                <w:szCs w:val="21"/>
                <w:lang w:bidi="ar"/>
              </w:rPr>
              <w:t>pH</w:t>
            </w:r>
            <w:r>
              <w:rPr>
                <w:rFonts w:hint="eastAsia" w:ascii="Times New Roman" w:hAnsi="Times New Roman" w:eastAsia="宋体" w:cs="Times New Roman"/>
                <w:szCs w:val="21"/>
                <w:lang w:bidi="ar"/>
              </w:rPr>
              <w:t>（无量纲）</w:t>
            </w:r>
          </w:p>
        </w:tc>
        <w:tc>
          <w:tcPr>
            <w:tcW w:w="1152"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7.0</w:t>
            </w:r>
          </w:p>
        </w:tc>
        <w:tc>
          <w:tcPr>
            <w:tcW w:w="994"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7.0</w:t>
            </w:r>
          </w:p>
        </w:tc>
        <w:tc>
          <w:tcPr>
            <w:tcW w:w="897"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7.0</w:t>
            </w:r>
          </w:p>
        </w:tc>
        <w:tc>
          <w:tcPr>
            <w:tcW w:w="873"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宋体" w:cs="Times New Roman"/>
                <w:kern w:val="2"/>
                <w:sz w:val="21"/>
                <w:szCs w:val="21"/>
                <w:lang w:val="en-US" w:eastAsia="zh-CN" w:bidi="ar"/>
              </w:rPr>
            </w:pPr>
            <w:r>
              <w:rPr>
                <w:rFonts w:hint="eastAsia" w:ascii="Times New Roman" w:hAnsi="Times New Roman" w:eastAsia="宋体" w:cs="Times New Roman"/>
                <w:color w:val="auto"/>
                <w:szCs w:val="24"/>
                <w:lang w:bidi="ar"/>
              </w:rPr>
              <w:t>SS</w:t>
            </w:r>
            <w:r>
              <w:rPr>
                <w:rFonts w:hint="eastAsia" w:ascii="Times New Roman" w:hAnsi="Times New Roman" w:eastAsia="宋体" w:cs="Times New Roman"/>
                <w:szCs w:val="21"/>
                <w:lang w:bidi="ar"/>
              </w:rPr>
              <w:t>（mg/L）</w:t>
            </w:r>
          </w:p>
        </w:tc>
        <w:tc>
          <w:tcPr>
            <w:tcW w:w="1152"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7</w:t>
            </w:r>
          </w:p>
        </w:tc>
        <w:tc>
          <w:tcPr>
            <w:tcW w:w="994"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9</w:t>
            </w:r>
          </w:p>
        </w:tc>
        <w:tc>
          <w:tcPr>
            <w:tcW w:w="897"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6</w:t>
            </w:r>
          </w:p>
        </w:tc>
        <w:tc>
          <w:tcPr>
            <w:tcW w:w="873"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宋体" w:cs="Times New Roman"/>
                <w:kern w:val="2"/>
                <w:sz w:val="21"/>
                <w:szCs w:val="24"/>
                <w:lang w:val="en-US" w:eastAsia="zh-CN" w:bidi="ar"/>
              </w:rPr>
            </w:pPr>
            <w:r>
              <w:rPr>
                <w:rFonts w:hint="eastAsia" w:ascii="Times New Roman" w:hAnsi="Times New Roman" w:eastAsia="宋体" w:cs="Times New Roman"/>
                <w:color w:val="auto"/>
                <w:szCs w:val="24"/>
                <w:lang w:bidi="ar"/>
              </w:rPr>
              <w:t>全盐量</w:t>
            </w:r>
            <w:r>
              <w:rPr>
                <w:rFonts w:hint="eastAsia" w:ascii="Times New Roman" w:hAnsi="Times New Roman" w:eastAsia="宋体" w:cs="Times New Roman"/>
                <w:szCs w:val="21"/>
                <w:lang w:bidi="ar"/>
              </w:rPr>
              <w:t>（mg/L）</w:t>
            </w:r>
          </w:p>
        </w:tc>
        <w:tc>
          <w:tcPr>
            <w:tcW w:w="1152"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409</w:t>
            </w:r>
          </w:p>
        </w:tc>
        <w:tc>
          <w:tcPr>
            <w:tcW w:w="994"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415</w:t>
            </w:r>
          </w:p>
        </w:tc>
        <w:tc>
          <w:tcPr>
            <w:tcW w:w="897"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390</w:t>
            </w:r>
          </w:p>
        </w:tc>
        <w:tc>
          <w:tcPr>
            <w:tcW w:w="873"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384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宋体" w:cs="Times New Roman"/>
                <w:color w:val="auto"/>
                <w:kern w:val="2"/>
                <w:sz w:val="21"/>
                <w:szCs w:val="24"/>
                <w:lang w:val="en-US" w:eastAsia="zh-CN" w:bidi="ar"/>
              </w:rPr>
            </w:pPr>
            <w:r>
              <w:rPr>
                <w:rFonts w:ascii="Times New Roman" w:hAnsi="Times New Roman" w:eastAsia="宋体" w:cs="Times New Roman"/>
                <w:color w:val="auto"/>
                <w:szCs w:val="21"/>
                <w:lang w:bidi="ar"/>
              </w:rPr>
              <w:t>COD</w:t>
            </w:r>
            <w:r>
              <w:rPr>
                <w:rFonts w:hint="eastAsia" w:ascii="Times New Roman" w:hAnsi="Times New Roman" w:eastAsia="宋体" w:cs="Times New Roman"/>
                <w:szCs w:val="21"/>
                <w:lang w:bidi="ar"/>
              </w:rPr>
              <w:t>（mg/L）</w:t>
            </w:r>
          </w:p>
        </w:tc>
        <w:tc>
          <w:tcPr>
            <w:tcW w:w="1152"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33</w:t>
            </w:r>
          </w:p>
        </w:tc>
        <w:tc>
          <w:tcPr>
            <w:tcW w:w="994"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29</w:t>
            </w:r>
          </w:p>
        </w:tc>
        <w:tc>
          <w:tcPr>
            <w:tcW w:w="897"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30</w:t>
            </w:r>
          </w:p>
        </w:tc>
        <w:tc>
          <w:tcPr>
            <w:tcW w:w="873"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宋体" w:cs="Times New Roman"/>
                <w:kern w:val="2"/>
                <w:sz w:val="21"/>
                <w:szCs w:val="24"/>
                <w:lang w:val="en-US" w:eastAsia="zh-CN" w:bidi="ar"/>
              </w:rPr>
            </w:pPr>
            <w:r>
              <w:rPr>
                <w:rFonts w:ascii="Times New Roman" w:hAnsi="Times New Roman" w:eastAsia="宋体" w:cs="Times New Roman"/>
                <w:color w:val="auto"/>
                <w:szCs w:val="21"/>
                <w:lang w:bidi="ar"/>
              </w:rPr>
              <w:t>氨氮</w:t>
            </w:r>
            <w:r>
              <w:rPr>
                <w:rFonts w:hint="eastAsia" w:ascii="Times New Roman" w:hAnsi="Times New Roman" w:eastAsia="宋体" w:cs="Times New Roman"/>
                <w:szCs w:val="21"/>
                <w:lang w:bidi="ar"/>
              </w:rPr>
              <w:t>（mg/L）</w:t>
            </w:r>
          </w:p>
        </w:tc>
        <w:tc>
          <w:tcPr>
            <w:tcW w:w="1152"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0.309</w:t>
            </w:r>
          </w:p>
        </w:tc>
        <w:tc>
          <w:tcPr>
            <w:tcW w:w="994"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0.332</w:t>
            </w:r>
          </w:p>
        </w:tc>
        <w:tc>
          <w:tcPr>
            <w:tcW w:w="897"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0.268</w:t>
            </w:r>
          </w:p>
        </w:tc>
        <w:tc>
          <w:tcPr>
            <w:tcW w:w="873"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0.288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宋体" w:cs="Times New Roman"/>
                <w:kern w:val="2"/>
                <w:sz w:val="21"/>
                <w:szCs w:val="21"/>
                <w:lang w:val="en-US" w:eastAsia="zh-CN" w:bidi="ar"/>
              </w:rPr>
            </w:pPr>
            <w:r>
              <w:rPr>
                <w:rFonts w:hint="eastAsia" w:ascii="Times New Roman" w:hAnsi="Times New Roman" w:eastAsia="宋体" w:cs="Times New Roman"/>
                <w:color w:val="auto"/>
                <w:szCs w:val="21"/>
                <w:lang w:bidi="ar"/>
              </w:rPr>
              <w:t>总磷</w:t>
            </w:r>
            <w:r>
              <w:rPr>
                <w:rFonts w:hint="eastAsia" w:ascii="Times New Roman" w:hAnsi="Times New Roman" w:eastAsia="宋体" w:cs="Times New Roman"/>
                <w:szCs w:val="21"/>
                <w:lang w:bidi="ar"/>
              </w:rPr>
              <w:t>（mg/L）</w:t>
            </w:r>
          </w:p>
        </w:tc>
        <w:tc>
          <w:tcPr>
            <w:tcW w:w="1152"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0.27</w:t>
            </w:r>
          </w:p>
        </w:tc>
        <w:tc>
          <w:tcPr>
            <w:tcW w:w="994"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0.30</w:t>
            </w:r>
          </w:p>
        </w:tc>
        <w:tc>
          <w:tcPr>
            <w:tcW w:w="897"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0.24</w:t>
            </w:r>
          </w:p>
        </w:tc>
        <w:tc>
          <w:tcPr>
            <w:tcW w:w="873"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宋体" w:cs="Times New Roman"/>
                <w:kern w:val="2"/>
                <w:sz w:val="21"/>
                <w:szCs w:val="21"/>
                <w:lang w:val="en-US" w:eastAsia="zh-CN" w:bidi="ar"/>
              </w:rPr>
            </w:pPr>
            <w:r>
              <w:rPr>
                <w:rFonts w:hint="eastAsia" w:ascii="Times New Roman" w:hAnsi="Times New Roman" w:eastAsia="宋体" w:cs="Times New Roman"/>
                <w:color w:val="auto"/>
                <w:szCs w:val="21"/>
                <w:lang w:bidi="ar"/>
              </w:rPr>
              <w:t>总氮</w:t>
            </w:r>
            <w:r>
              <w:rPr>
                <w:rFonts w:hint="eastAsia" w:ascii="Times New Roman" w:hAnsi="Times New Roman" w:eastAsia="宋体" w:cs="Times New Roman"/>
                <w:szCs w:val="21"/>
                <w:lang w:bidi="ar"/>
              </w:rPr>
              <w:t>（mg/L）</w:t>
            </w:r>
          </w:p>
        </w:tc>
        <w:tc>
          <w:tcPr>
            <w:tcW w:w="1152"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3.78</w:t>
            </w:r>
          </w:p>
        </w:tc>
        <w:tc>
          <w:tcPr>
            <w:tcW w:w="994"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3.94</w:t>
            </w:r>
          </w:p>
        </w:tc>
        <w:tc>
          <w:tcPr>
            <w:tcW w:w="897"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4.01</w:t>
            </w:r>
          </w:p>
        </w:tc>
        <w:tc>
          <w:tcPr>
            <w:tcW w:w="873" w:type="pct"/>
            <w:noWrap w:val="0"/>
            <w:vAlign w:val="center"/>
          </w:tcPr>
          <w:p>
            <w:pPr>
              <w:widowControl/>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lang w:val="en-US" w:eastAsia="zh-CN"/>
              </w:rPr>
              <w:t>3.89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宋体" w:cs="Times New Roman"/>
                <w:kern w:val="2"/>
                <w:sz w:val="21"/>
                <w:szCs w:val="21"/>
                <w:lang w:val="en-US" w:eastAsia="zh-CN" w:bidi="ar"/>
              </w:rPr>
            </w:pPr>
            <w:r>
              <w:rPr>
                <w:rFonts w:hint="eastAsia" w:ascii="Times New Roman" w:hAnsi="Times New Roman" w:eastAsia="宋体" w:cs="Times New Roman"/>
                <w:color w:val="000000"/>
                <w:szCs w:val="24"/>
                <w:lang w:bidi="ar"/>
              </w:rPr>
              <w:t>BOD</w:t>
            </w:r>
            <w:r>
              <w:rPr>
                <w:rFonts w:hint="eastAsia" w:ascii="Times New Roman" w:hAnsi="Times New Roman" w:eastAsia="宋体" w:cs="Times New Roman"/>
                <w:color w:val="000000"/>
                <w:szCs w:val="24"/>
                <w:vertAlign w:val="subscript"/>
                <w:lang w:bidi="ar"/>
              </w:rPr>
              <w:t>5</w:t>
            </w:r>
            <w:r>
              <w:rPr>
                <w:rFonts w:hint="eastAsia" w:ascii="Times New Roman" w:hAnsi="Times New Roman" w:eastAsia="宋体" w:cs="Times New Roman"/>
                <w:szCs w:val="21"/>
                <w:lang w:bidi="ar"/>
              </w:rPr>
              <w:t>（mg/L）</w:t>
            </w:r>
          </w:p>
        </w:tc>
        <w:tc>
          <w:tcPr>
            <w:tcW w:w="1152"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9.5</w:t>
            </w:r>
          </w:p>
        </w:tc>
        <w:tc>
          <w:tcPr>
            <w:tcW w:w="994"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9.0</w:t>
            </w:r>
          </w:p>
        </w:tc>
        <w:tc>
          <w:tcPr>
            <w:tcW w:w="897"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8.6</w:t>
            </w:r>
          </w:p>
        </w:tc>
        <w:tc>
          <w:tcPr>
            <w:tcW w:w="873"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宋体" w:cs="Times New Roman"/>
                <w:kern w:val="2"/>
                <w:sz w:val="21"/>
                <w:szCs w:val="21"/>
                <w:lang w:val="en-US" w:eastAsia="zh-CN" w:bidi="ar"/>
              </w:rPr>
            </w:pPr>
            <w:r>
              <w:rPr>
                <w:rFonts w:hint="eastAsia" w:ascii="Times New Roman" w:hAnsi="Times New Roman" w:eastAsia="宋体" w:cs="Times New Roman"/>
                <w:color w:val="000000"/>
                <w:szCs w:val="24"/>
                <w:lang w:bidi="ar"/>
              </w:rPr>
              <w:t>氟化物</w:t>
            </w:r>
            <w:r>
              <w:rPr>
                <w:rFonts w:hint="eastAsia" w:ascii="Times New Roman" w:hAnsi="Times New Roman" w:eastAsia="宋体" w:cs="Times New Roman"/>
                <w:szCs w:val="21"/>
                <w:lang w:bidi="ar"/>
              </w:rPr>
              <w:t>（mg/L）</w:t>
            </w:r>
          </w:p>
        </w:tc>
        <w:tc>
          <w:tcPr>
            <w:tcW w:w="1152"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0.60</w:t>
            </w:r>
          </w:p>
        </w:tc>
        <w:tc>
          <w:tcPr>
            <w:tcW w:w="994"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0.62</w:t>
            </w:r>
          </w:p>
        </w:tc>
        <w:tc>
          <w:tcPr>
            <w:tcW w:w="897"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0.55</w:t>
            </w:r>
          </w:p>
        </w:tc>
        <w:tc>
          <w:tcPr>
            <w:tcW w:w="873"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Cs w:val="21"/>
                <w:lang w:val="en-US" w:eastAsia="zh-CN"/>
              </w:rPr>
              <w:t>0.59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2" w:type="pct"/>
            <w:noWrap w:val="0"/>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采样日期</w:t>
            </w:r>
          </w:p>
        </w:tc>
        <w:tc>
          <w:tcPr>
            <w:tcW w:w="3917" w:type="pct"/>
            <w:gridSpan w:val="4"/>
            <w:noWrap w:val="0"/>
            <w:vAlign w:val="center"/>
          </w:tcPr>
          <w:p>
            <w:pPr>
              <w:widowControl/>
              <w:spacing w:before="100" w:beforeAutospacing="1" w:after="100" w:afterAutospacing="1"/>
              <w:jc w:val="center"/>
              <w:rPr>
                <w:rFonts w:hint="default"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2024.01.05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2" w:type="pct"/>
            <w:noWrap w:val="0"/>
            <w:vAlign w:val="center"/>
          </w:tcPr>
          <w:p>
            <w:pPr>
              <w:jc w:val="center"/>
              <w:rPr>
                <w:rFonts w:ascii="Times New Roman" w:hAnsi="Times New Roman" w:eastAsia="宋体" w:cs="Times New Roman"/>
                <w:szCs w:val="21"/>
              </w:rPr>
            </w:pPr>
            <w:r>
              <w:rPr>
                <w:rFonts w:hint="eastAsia" w:ascii="Times New Roman" w:hAnsi="Times New Roman" w:eastAsia="宋体" w:cs="Times New Roman"/>
                <w:szCs w:val="21"/>
              </w:rPr>
              <w:t>采样点位</w:t>
            </w:r>
          </w:p>
        </w:tc>
        <w:tc>
          <w:tcPr>
            <w:tcW w:w="3917" w:type="pct"/>
            <w:gridSpan w:val="4"/>
            <w:noWrap w:val="0"/>
            <w:vAlign w:val="center"/>
          </w:tcPr>
          <w:p>
            <w:pPr>
              <w:widowControl/>
              <w:spacing w:before="100" w:beforeAutospacing="1" w:after="100" w:afterAutospacing="1"/>
              <w:jc w:val="center"/>
              <w:rPr>
                <w:rFonts w:ascii="Times New Roman" w:hAnsi="Times New Roman" w:eastAsia="宋体" w:cs="Times New Roman"/>
                <w:kern w:val="0"/>
                <w:sz w:val="21"/>
                <w:szCs w:val="21"/>
                <w:lang w:val="en-US" w:eastAsia="zh-CN" w:bidi="ar-SA"/>
              </w:rPr>
            </w:pPr>
            <w:r>
              <w:rPr>
                <w:rFonts w:hint="eastAsia" w:ascii="Times New Roman" w:hAnsi="Times New Roman" w:eastAsia="宋体" w:cs="Times New Roman"/>
                <w:kern w:val="0"/>
                <w:sz w:val="21"/>
                <w:szCs w:val="21"/>
                <w:lang w:val="en-US" w:eastAsia="zh-CN" w:bidi="ar-SA"/>
              </w:rPr>
              <w:t>污水处理站进水口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widowControl/>
              <w:jc w:val="center"/>
              <w:textAlignment w:val="center"/>
              <w:rPr>
                <w:rFonts w:ascii="Times New Roman" w:hAnsi="Times New Roman" w:eastAsiaTheme="minorEastAsia" w:cstheme="minorBidi"/>
                <w:kern w:val="2"/>
                <w:sz w:val="21"/>
                <w:szCs w:val="21"/>
                <w:lang w:val="en-US" w:eastAsia="zh-CN" w:bidi="ar-SA"/>
              </w:rPr>
            </w:pPr>
            <w:r>
              <w:rPr>
                <w:rFonts w:hint="eastAsia" w:ascii="Times New Roman" w:hAnsi="Times New Roman"/>
                <w:szCs w:val="21"/>
              </w:rPr>
              <w:t>样品编号</w:t>
            </w:r>
          </w:p>
        </w:tc>
        <w:tc>
          <w:tcPr>
            <w:tcW w:w="1152" w:type="pct"/>
            <w:noWrap w:val="0"/>
            <w:vAlign w:val="center"/>
          </w:tcPr>
          <w:p>
            <w:pPr>
              <w:widowControl/>
              <w:jc w:val="center"/>
              <w:textAlignment w:val="center"/>
              <w:rPr>
                <w:rFonts w:hint="eastAsia" w:ascii="Times New Roman" w:hAnsi="Times New Roman" w:eastAsiaTheme="minorEastAsia" w:cstheme="minorBidi"/>
                <w:kern w:val="2"/>
                <w:sz w:val="21"/>
                <w:szCs w:val="21"/>
                <w:lang w:val="en-US" w:eastAsia="zh-CN" w:bidi="ar-SA"/>
              </w:rPr>
            </w:pPr>
            <w:r>
              <w:rPr>
                <w:rFonts w:hint="eastAsia" w:ascii="Times New Roman" w:hAnsi="Times New Roman"/>
                <w:szCs w:val="21"/>
              </w:rPr>
              <w:t>HC24010303-</w:t>
            </w:r>
            <w:r>
              <w:rPr>
                <w:rFonts w:hint="eastAsia" w:ascii="Times New Roman" w:hAnsi="Times New Roman"/>
                <w:szCs w:val="21"/>
                <w:lang w:val="en-US" w:eastAsia="zh-CN"/>
              </w:rPr>
              <w:t xml:space="preserve"> </w:t>
            </w:r>
            <w:r>
              <w:rPr>
                <w:rFonts w:hint="eastAsia" w:ascii="Times New Roman" w:hAnsi="Times New Roman"/>
                <w:szCs w:val="21"/>
              </w:rPr>
              <w:t>2078</w:t>
            </w:r>
          </w:p>
        </w:tc>
        <w:tc>
          <w:tcPr>
            <w:tcW w:w="994"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rPr>
              <w:t>HC24010303-</w:t>
            </w:r>
            <w:r>
              <w:rPr>
                <w:rFonts w:hint="eastAsia" w:ascii="Times New Roman" w:hAnsi="Times New Roman"/>
                <w:szCs w:val="21"/>
                <w:lang w:val="en-US" w:eastAsia="zh-CN"/>
              </w:rPr>
              <w:t xml:space="preserve"> </w:t>
            </w:r>
            <w:r>
              <w:rPr>
                <w:rFonts w:hint="eastAsia" w:ascii="Times New Roman" w:hAnsi="Times New Roman"/>
                <w:szCs w:val="21"/>
              </w:rPr>
              <w:t>207</w:t>
            </w:r>
            <w:r>
              <w:rPr>
                <w:rFonts w:hint="eastAsia" w:ascii="Times New Roman" w:hAnsi="Times New Roman"/>
                <w:szCs w:val="21"/>
                <w:lang w:val="en-US" w:eastAsia="zh-CN"/>
              </w:rPr>
              <w:t>9</w:t>
            </w:r>
          </w:p>
        </w:tc>
        <w:tc>
          <w:tcPr>
            <w:tcW w:w="897" w:type="pct"/>
            <w:noWrap w:val="0"/>
            <w:vAlign w:val="center"/>
          </w:tcPr>
          <w:p>
            <w:pPr>
              <w:widowControl/>
              <w:jc w:val="center"/>
              <w:textAlignment w:val="center"/>
              <w:rPr>
                <w:rFonts w:hint="default" w:ascii="Times New Roman" w:hAnsi="Times New Roman" w:eastAsia="宋体" w:cstheme="minorBidi"/>
                <w:kern w:val="2"/>
                <w:sz w:val="21"/>
                <w:szCs w:val="21"/>
                <w:lang w:val="en-US" w:eastAsia="zh-CN" w:bidi="ar-SA"/>
              </w:rPr>
            </w:pPr>
            <w:r>
              <w:rPr>
                <w:rFonts w:hint="eastAsia" w:ascii="Times New Roman" w:hAnsi="Times New Roman"/>
                <w:szCs w:val="21"/>
              </w:rPr>
              <w:t>HC24010303-</w:t>
            </w:r>
            <w:r>
              <w:rPr>
                <w:rFonts w:hint="eastAsia" w:ascii="Times New Roman" w:hAnsi="Times New Roman"/>
                <w:szCs w:val="21"/>
                <w:lang w:val="en-US" w:eastAsia="zh-CN"/>
              </w:rPr>
              <w:t xml:space="preserve"> </w:t>
            </w:r>
            <w:r>
              <w:rPr>
                <w:rFonts w:hint="eastAsia" w:ascii="Times New Roman" w:hAnsi="Times New Roman"/>
                <w:szCs w:val="21"/>
              </w:rPr>
              <w:t>20</w:t>
            </w:r>
            <w:r>
              <w:rPr>
                <w:rFonts w:hint="eastAsia" w:ascii="Times New Roman" w:hAnsi="Times New Roman"/>
                <w:szCs w:val="21"/>
                <w:lang w:val="en-US" w:eastAsia="zh-CN"/>
              </w:rPr>
              <w:t>80</w:t>
            </w:r>
          </w:p>
        </w:tc>
        <w:tc>
          <w:tcPr>
            <w:tcW w:w="873" w:type="pct"/>
            <w:noWrap w:val="0"/>
            <w:vAlign w:val="center"/>
          </w:tcPr>
          <w:p>
            <w:pPr>
              <w:widowControl/>
              <w:jc w:val="center"/>
              <w:textAlignment w:val="center"/>
              <w:rPr>
                <w:rFonts w:hint="default" w:ascii="Times New Roman" w:hAnsi="Times New Roman" w:eastAsia="宋体" w:cstheme="minorBidi"/>
                <w:kern w:val="2"/>
                <w:sz w:val="21"/>
                <w:szCs w:val="21"/>
                <w:lang w:val="en-US" w:eastAsia="zh-CN" w:bidi="ar-SA"/>
              </w:rPr>
            </w:pPr>
            <w:r>
              <w:rPr>
                <w:rFonts w:hint="eastAsia" w:ascii="Times New Roman" w:hAnsi="Times New Roman"/>
                <w:szCs w:val="21"/>
              </w:rPr>
              <w:t>HC24010303-</w:t>
            </w:r>
            <w:r>
              <w:rPr>
                <w:rFonts w:hint="eastAsia" w:ascii="Times New Roman" w:hAnsi="Times New Roman"/>
                <w:szCs w:val="21"/>
                <w:lang w:val="en-US" w:eastAsia="zh-CN"/>
              </w:rPr>
              <w:t xml:space="preserve"> </w:t>
            </w:r>
            <w:r>
              <w:rPr>
                <w:rFonts w:hint="eastAsia" w:ascii="Times New Roman" w:hAnsi="Times New Roman"/>
                <w:szCs w:val="21"/>
              </w:rPr>
              <w:t>20</w:t>
            </w:r>
            <w:r>
              <w:rPr>
                <w:rFonts w:hint="eastAsia" w:ascii="Times New Roman" w:hAnsi="Times New Roman"/>
                <w:szCs w:val="21"/>
                <w:lang w:val="en-US" w:eastAsia="zh-CN"/>
              </w:rPr>
              <w:t>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ascii="Times New Roman" w:hAnsi="Times New Roman" w:eastAsiaTheme="minorEastAsia" w:cstheme="minorBidi"/>
                <w:kern w:val="2"/>
                <w:sz w:val="21"/>
                <w:szCs w:val="21"/>
                <w:lang w:val="en-US" w:eastAsia="zh-CN" w:bidi="ar-SA"/>
              </w:rPr>
            </w:pPr>
            <w:r>
              <w:rPr>
                <w:rFonts w:ascii="Times New Roman" w:hAnsi="Times New Roman"/>
                <w:szCs w:val="21"/>
                <w:lang w:bidi="ar"/>
              </w:rPr>
              <w:t>pH</w:t>
            </w:r>
            <w:r>
              <w:rPr>
                <w:rFonts w:hint="eastAsia" w:ascii="Times New Roman" w:hAnsi="Times New Roman"/>
                <w:szCs w:val="21"/>
                <w:lang w:bidi="ar"/>
              </w:rPr>
              <w:t>（无量纲）</w:t>
            </w:r>
          </w:p>
        </w:tc>
        <w:tc>
          <w:tcPr>
            <w:tcW w:w="1152"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7.1</w:t>
            </w:r>
          </w:p>
        </w:tc>
        <w:tc>
          <w:tcPr>
            <w:tcW w:w="994" w:type="pct"/>
            <w:noWrap w:val="0"/>
            <w:vAlign w:val="center"/>
          </w:tcPr>
          <w:p>
            <w:pPr>
              <w:widowControl/>
              <w:jc w:val="center"/>
              <w:textAlignment w:val="center"/>
              <w:rPr>
                <w:rFonts w:hint="default"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7.1</w:t>
            </w:r>
          </w:p>
        </w:tc>
        <w:tc>
          <w:tcPr>
            <w:tcW w:w="897" w:type="pct"/>
            <w:noWrap w:val="0"/>
            <w:vAlign w:val="center"/>
          </w:tcPr>
          <w:p>
            <w:pPr>
              <w:widowControl/>
              <w:jc w:val="center"/>
              <w:textAlignment w:val="center"/>
              <w:rPr>
                <w:rFonts w:hint="default"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7.1</w:t>
            </w:r>
          </w:p>
        </w:tc>
        <w:tc>
          <w:tcPr>
            <w:tcW w:w="873" w:type="pct"/>
            <w:noWrap w:val="0"/>
            <w:vAlign w:val="center"/>
          </w:tcPr>
          <w:p>
            <w:pPr>
              <w:widowControl/>
              <w:jc w:val="center"/>
              <w:textAlignment w:val="center"/>
              <w:rPr>
                <w:rFonts w:hint="default" w:ascii="Times New Roman" w:hAnsi="Times New Roman" w:eastAsia="宋体" w:cstheme="minorBidi"/>
                <w:kern w:val="2"/>
                <w:sz w:val="21"/>
                <w:szCs w:val="21"/>
                <w:lang w:val="en-US" w:eastAsia="zh-CN" w:bidi="ar-SA"/>
              </w:rPr>
            </w:pPr>
            <w:r>
              <w:rPr>
                <w:rFonts w:hint="eastAsia" w:ascii="Times New Roman" w:hAnsi="Times New Roman" w:eastAsia="宋体"/>
                <w:szCs w:val="21"/>
                <w:lang w:val="en-US" w:eastAsia="zh-CN"/>
              </w:rPr>
              <w:t>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ascii="Times New Roman" w:hAnsi="Times New Roman" w:eastAsiaTheme="minorEastAsia" w:cstheme="minorBidi"/>
                <w:kern w:val="2"/>
                <w:sz w:val="21"/>
                <w:szCs w:val="21"/>
                <w:lang w:val="en-US" w:eastAsia="zh-CN" w:bidi="ar"/>
              </w:rPr>
            </w:pPr>
            <w:r>
              <w:rPr>
                <w:rFonts w:hint="eastAsia" w:ascii="Times New Roman" w:hAnsi="Times New Roman"/>
                <w:color w:val="auto"/>
                <w:lang w:bidi="ar"/>
              </w:rPr>
              <w:t>SS</w:t>
            </w:r>
            <w:r>
              <w:rPr>
                <w:rFonts w:hint="eastAsia" w:ascii="Times New Roman" w:hAnsi="Times New Roman"/>
                <w:szCs w:val="21"/>
                <w:lang w:bidi="ar"/>
              </w:rPr>
              <w:t>（mg/L）</w:t>
            </w:r>
          </w:p>
        </w:tc>
        <w:tc>
          <w:tcPr>
            <w:tcW w:w="1152"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26</w:t>
            </w:r>
          </w:p>
        </w:tc>
        <w:tc>
          <w:tcPr>
            <w:tcW w:w="994" w:type="pct"/>
            <w:noWrap w:val="0"/>
            <w:vAlign w:val="center"/>
          </w:tcPr>
          <w:p>
            <w:pPr>
              <w:widowControl/>
              <w:jc w:val="center"/>
              <w:textAlignment w:val="center"/>
              <w:rPr>
                <w:rFonts w:hint="default" w:ascii="Times New Roman" w:hAnsi="Times New Roman" w:eastAsia="宋体" w:cstheme="minorBidi"/>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20</w:t>
            </w:r>
          </w:p>
        </w:tc>
        <w:tc>
          <w:tcPr>
            <w:tcW w:w="897" w:type="pct"/>
            <w:noWrap w:val="0"/>
            <w:vAlign w:val="center"/>
          </w:tcPr>
          <w:p>
            <w:pPr>
              <w:widowControl/>
              <w:jc w:val="center"/>
              <w:textAlignment w:val="center"/>
              <w:rPr>
                <w:rFonts w:hint="default" w:ascii="Times New Roman" w:hAnsi="Times New Roman" w:eastAsia="宋体" w:cstheme="minorBidi"/>
                <w:color w:val="auto"/>
                <w:kern w:val="2"/>
                <w:sz w:val="21"/>
                <w:szCs w:val="21"/>
                <w:highlight w:val="none"/>
                <w:lang w:val="en-US" w:eastAsia="zh-CN" w:bidi="ar-SA"/>
              </w:rPr>
            </w:pPr>
            <w:r>
              <w:rPr>
                <w:rFonts w:hint="eastAsia" w:ascii="Times New Roman" w:hAnsi="Times New Roman" w:eastAsia="宋体"/>
                <w:color w:val="auto"/>
                <w:szCs w:val="21"/>
                <w:highlight w:val="none"/>
                <w:lang w:val="en-US" w:eastAsia="zh-CN"/>
              </w:rPr>
              <w:t>19</w:t>
            </w:r>
          </w:p>
        </w:tc>
        <w:tc>
          <w:tcPr>
            <w:tcW w:w="873" w:type="pct"/>
            <w:noWrap w:val="0"/>
            <w:vAlign w:val="center"/>
          </w:tcPr>
          <w:p>
            <w:pPr>
              <w:widowControl/>
              <w:jc w:val="center"/>
              <w:textAlignment w:val="center"/>
              <w:rPr>
                <w:rFonts w:hint="default"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Theme="minorEastAsia" w:cstheme="minorBidi"/>
                <w:kern w:val="2"/>
                <w:sz w:val="21"/>
                <w:szCs w:val="22"/>
                <w:lang w:val="en-US" w:eastAsia="zh-CN" w:bidi="ar"/>
              </w:rPr>
            </w:pPr>
            <w:r>
              <w:rPr>
                <w:rFonts w:hint="eastAsia" w:ascii="Times New Roman" w:hAnsi="Times New Roman"/>
                <w:color w:val="auto"/>
                <w:lang w:bidi="ar"/>
              </w:rPr>
              <w:t>全盐量</w:t>
            </w:r>
            <w:r>
              <w:rPr>
                <w:rFonts w:hint="eastAsia" w:ascii="Times New Roman" w:hAnsi="Times New Roman"/>
                <w:szCs w:val="21"/>
                <w:lang w:bidi="ar"/>
              </w:rPr>
              <w:t>（mg/L）</w:t>
            </w:r>
          </w:p>
        </w:tc>
        <w:tc>
          <w:tcPr>
            <w:tcW w:w="1152" w:type="pct"/>
            <w:noWrap w:val="0"/>
            <w:vAlign w:val="center"/>
          </w:tcPr>
          <w:p>
            <w:pPr>
              <w:widowControl/>
              <w:jc w:val="center"/>
              <w:textAlignment w:val="center"/>
              <w:rPr>
                <w:rFonts w:hint="default" w:ascii="Times New Roman" w:hAnsi="Times New Roman" w:eastAsia="宋体" w:cs="Times New Roman"/>
                <w:kern w:val="2"/>
                <w:sz w:val="21"/>
                <w:szCs w:val="24"/>
                <w:lang w:val="en-US" w:eastAsia="zh-CN" w:bidi="ar"/>
              </w:rPr>
            </w:pPr>
            <w:r>
              <w:rPr>
                <w:rFonts w:hint="eastAsia" w:ascii="Times New Roman" w:hAnsi="Times New Roman" w:eastAsia="宋体" w:cs="Times New Roman"/>
                <w:kern w:val="2"/>
                <w:sz w:val="21"/>
                <w:szCs w:val="24"/>
                <w:lang w:val="en-US" w:eastAsia="zh-CN" w:bidi="ar"/>
              </w:rPr>
              <w:t>642</w:t>
            </w:r>
          </w:p>
        </w:tc>
        <w:tc>
          <w:tcPr>
            <w:tcW w:w="994" w:type="pct"/>
            <w:noWrap w:val="0"/>
            <w:vAlign w:val="center"/>
          </w:tcPr>
          <w:p>
            <w:pPr>
              <w:widowControl/>
              <w:jc w:val="center"/>
              <w:textAlignment w:val="center"/>
              <w:rPr>
                <w:rFonts w:hint="default" w:ascii="Times New Roman" w:hAnsi="Times New Roman" w:eastAsia="宋体" w:cstheme="minorBidi"/>
                <w:color w:val="auto"/>
                <w:kern w:val="2"/>
                <w:sz w:val="21"/>
                <w:szCs w:val="22"/>
                <w:lang w:val="en-US" w:eastAsia="zh-CN" w:bidi="ar"/>
              </w:rPr>
            </w:pPr>
            <w:r>
              <w:rPr>
                <w:rFonts w:hint="eastAsia" w:ascii="Times New Roman" w:hAnsi="Times New Roman" w:eastAsia="宋体"/>
                <w:color w:val="auto"/>
                <w:lang w:val="en-US" w:eastAsia="zh-CN" w:bidi="ar"/>
              </w:rPr>
              <w:t>589</w:t>
            </w:r>
          </w:p>
        </w:tc>
        <w:tc>
          <w:tcPr>
            <w:tcW w:w="897" w:type="pct"/>
            <w:noWrap w:val="0"/>
            <w:vAlign w:val="center"/>
          </w:tcPr>
          <w:p>
            <w:pPr>
              <w:widowControl/>
              <w:jc w:val="center"/>
              <w:textAlignment w:val="center"/>
              <w:rPr>
                <w:rFonts w:hint="default" w:ascii="Times New Roman" w:hAnsi="Times New Roman" w:eastAsia="宋体" w:cstheme="minorBidi"/>
                <w:color w:val="auto"/>
                <w:kern w:val="2"/>
                <w:sz w:val="21"/>
                <w:szCs w:val="21"/>
                <w:lang w:val="en-US" w:eastAsia="zh-CN" w:bidi="ar-SA"/>
              </w:rPr>
            </w:pPr>
            <w:r>
              <w:rPr>
                <w:rFonts w:hint="eastAsia" w:ascii="Times New Roman" w:hAnsi="Times New Roman" w:eastAsia="宋体"/>
                <w:color w:val="auto"/>
                <w:szCs w:val="21"/>
                <w:lang w:val="en-US" w:eastAsia="zh-CN"/>
              </w:rPr>
              <w:t>517</w:t>
            </w:r>
          </w:p>
        </w:tc>
        <w:tc>
          <w:tcPr>
            <w:tcW w:w="873" w:type="pct"/>
            <w:noWrap w:val="0"/>
            <w:vAlign w:val="center"/>
          </w:tcPr>
          <w:p>
            <w:pPr>
              <w:widowControl/>
              <w:jc w:val="center"/>
              <w:textAlignment w:val="center"/>
              <w:rPr>
                <w:rFonts w:hint="default"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611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ascii="Times New Roman" w:hAnsi="Times New Roman" w:eastAsiaTheme="minorEastAsia" w:cstheme="minorBidi"/>
                <w:color w:val="auto"/>
                <w:kern w:val="2"/>
                <w:sz w:val="21"/>
                <w:szCs w:val="22"/>
                <w:lang w:val="en-US" w:eastAsia="zh-CN" w:bidi="ar"/>
              </w:rPr>
            </w:pPr>
            <w:r>
              <w:rPr>
                <w:rFonts w:ascii="Times New Roman" w:hAnsi="Times New Roman"/>
                <w:color w:val="auto"/>
                <w:szCs w:val="21"/>
                <w:lang w:bidi="ar"/>
              </w:rPr>
              <w:t>COD</w:t>
            </w:r>
            <w:r>
              <w:rPr>
                <w:rFonts w:hint="eastAsia" w:ascii="Times New Roman" w:hAnsi="Times New Roman"/>
                <w:szCs w:val="21"/>
                <w:lang w:bidi="ar"/>
              </w:rPr>
              <w:t>（mg/L）</w:t>
            </w:r>
          </w:p>
        </w:tc>
        <w:tc>
          <w:tcPr>
            <w:tcW w:w="1152" w:type="pct"/>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szCs w:val="21"/>
                <w:lang w:val="en-US" w:eastAsia="zh-CN"/>
              </w:rPr>
              <w:t>71</w:t>
            </w:r>
          </w:p>
        </w:tc>
        <w:tc>
          <w:tcPr>
            <w:tcW w:w="994" w:type="pct"/>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szCs w:val="21"/>
                <w:lang w:val="en-US" w:eastAsia="zh-CN"/>
              </w:rPr>
              <w:t>69</w:t>
            </w:r>
          </w:p>
        </w:tc>
        <w:tc>
          <w:tcPr>
            <w:tcW w:w="897" w:type="pct"/>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szCs w:val="21"/>
                <w:lang w:val="en-US" w:eastAsia="zh-CN"/>
              </w:rPr>
              <w:t>62</w:t>
            </w:r>
          </w:p>
        </w:tc>
        <w:tc>
          <w:tcPr>
            <w:tcW w:w="873" w:type="pct"/>
            <w:noWrap w:val="0"/>
            <w:vAlign w:val="center"/>
          </w:tcPr>
          <w:p>
            <w:pPr>
              <w:widowControl/>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szCs w:val="21"/>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Theme="minorEastAsia" w:cstheme="minorBidi"/>
                <w:kern w:val="2"/>
                <w:sz w:val="21"/>
                <w:szCs w:val="22"/>
                <w:lang w:val="en-US" w:eastAsia="zh-CN" w:bidi="ar"/>
              </w:rPr>
            </w:pPr>
            <w:r>
              <w:rPr>
                <w:rFonts w:ascii="Times New Roman" w:hAnsi="Times New Roman"/>
                <w:color w:val="auto"/>
                <w:szCs w:val="21"/>
                <w:lang w:bidi="ar"/>
              </w:rPr>
              <w:t>氨氮</w:t>
            </w:r>
            <w:r>
              <w:rPr>
                <w:rFonts w:hint="eastAsia" w:ascii="Times New Roman" w:hAnsi="Times New Roman"/>
                <w:szCs w:val="21"/>
                <w:lang w:bidi="ar"/>
              </w:rPr>
              <w:t>（mg/L）</w:t>
            </w:r>
          </w:p>
        </w:tc>
        <w:tc>
          <w:tcPr>
            <w:tcW w:w="1152" w:type="pct"/>
            <w:noWrap w:val="0"/>
            <w:vAlign w:val="center"/>
          </w:tcPr>
          <w:p>
            <w:pPr>
              <w:widowControl/>
              <w:jc w:val="center"/>
              <w:textAlignment w:val="center"/>
              <w:rPr>
                <w:rFonts w:hint="default" w:ascii="Times New Roman" w:hAnsi="Times New Roman" w:eastAsia="宋体" w:cs="Times New Roman"/>
                <w:kern w:val="2"/>
                <w:sz w:val="21"/>
                <w:szCs w:val="24"/>
                <w:lang w:val="en-US" w:eastAsia="zh-CN" w:bidi="ar"/>
              </w:rPr>
            </w:pPr>
            <w:r>
              <w:rPr>
                <w:rFonts w:hint="eastAsia" w:ascii="Times New Roman" w:hAnsi="Times New Roman" w:eastAsia="宋体" w:cs="Times New Roman"/>
                <w:kern w:val="2"/>
                <w:sz w:val="21"/>
                <w:szCs w:val="24"/>
                <w:lang w:val="en-US" w:eastAsia="zh-CN" w:bidi="ar"/>
              </w:rPr>
              <w:t>2.87</w:t>
            </w:r>
          </w:p>
        </w:tc>
        <w:tc>
          <w:tcPr>
            <w:tcW w:w="994" w:type="pct"/>
            <w:noWrap w:val="0"/>
            <w:vAlign w:val="center"/>
          </w:tcPr>
          <w:p>
            <w:pPr>
              <w:widowControl/>
              <w:jc w:val="center"/>
              <w:textAlignment w:val="center"/>
              <w:rPr>
                <w:rFonts w:hint="default"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2.63</w:t>
            </w:r>
          </w:p>
        </w:tc>
        <w:tc>
          <w:tcPr>
            <w:tcW w:w="897" w:type="pct"/>
            <w:noWrap w:val="0"/>
            <w:vAlign w:val="center"/>
          </w:tcPr>
          <w:p>
            <w:pPr>
              <w:widowControl/>
              <w:jc w:val="center"/>
              <w:textAlignment w:val="center"/>
              <w:rPr>
                <w:rFonts w:hint="default"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2.80</w:t>
            </w:r>
          </w:p>
        </w:tc>
        <w:tc>
          <w:tcPr>
            <w:tcW w:w="873" w:type="pct"/>
            <w:noWrap w:val="0"/>
            <w:vAlign w:val="center"/>
          </w:tcPr>
          <w:p>
            <w:pPr>
              <w:widowControl/>
              <w:jc w:val="center"/>
              <w:textAlignment w:val="center"/>
              <w:rPr>
                <w:rFonts w:hint="default"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Theme="minorEastAsia" w:cstheme="minorBidi"/>
                <w:kern w:val="2"/>
                <w:sz w:val="21"/>
                <w:szCs w:val="21"/>
                <w:lang w:val="en-US" w:eastAsia="zh-CN" w:bidi="ar"/>
              </w:rPr>
            </w:pPr>
            <w:r>
              <w:rPr>
                <w:rFonts w:hint="eastAsia" w:ascii="Times New Roman" w:hAnsi="Times New Roman"/>
                <w:color w:val="auto"/>
                <w:szCs w:val="21"/>
                <w:lang w:bidi="ar"/>
              </w:rPr>
              <w:t>总磷</w:t>
            </w:r>
            <w:r>
              <w:rPr>
                <w:rFonts w:hint="eastAsia" w:ascii="Times New Roman" w:hAnsi="Times New Roman"/>
                <w:szCs w:val="21"/>
                <w:lang w:bidi="ar"/>
              </w:rPr>
              <w:t>（mg/L）</w:t>
            </w:r>
          </w:p>
        </w:tc>
        <w:tc>
          <w:tcPr>
            <w:tcW w:w="1152"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0.64</w:t>
            </w:r>
          </w:p>
        </w:tc>
        <w:tc>
          <w:tcPr>
            <w:tcW w:w="994" w:type="pct"/>
            <w:noWrap w:val="0"/>
            <w:vAlign w:val="center"/>
          </w:tcPr>
          <w:p>
            <w:pPr>
              <w:widowControl/>
              <w:jc w:val="center"/>
              <w:textAlignment w:val="center"/>
              <w:rPr>
                <w:rFonts w:hint="default" w:ascii="Times New Roman" w:hAnsi="Times New Roman" w:eastAsia="宋体" w:cstheme="minorBidi"/>
                <w:color w:val="auto"/>
                <w:kern w:val="2"/>
                <w:sz w:val="21"/>
                <w:szCs w:val="21"/>
                <w:lang w:val="en-US" w:eastAsia="zh-CN" w:bidi="ar-SA"/>
              </w:rPr>
            </w:pPr>
            <w:r>
              <w:rPr>
                <w:rFonts w:hint="eastAsia" w:ascii="Times New Roman" w:hAnsi="Times New Roman"/>
                <w:color w:val="auto"/>
                <w:szCs w:val="21"/>
                <w:lang w:val="en-US" w:eastAsia="zh-CN"/>
              </w:rPr>
              <w:t>0.59</w:t>
            </w:r>
          </w:p>
        </w:tc>
        <w:tc>
          <w:tcPr>
            <w:tcW w:w="897" w:type="pct"/>
            <w:noWrap w:val="0"/>
            <w:vAlign w:val="center"/>
          </w:tcPr>
          <w:p>
            <w:pPr>
              <w:widowControl/>
              <w:jc w:val="center"/>
              <w:textAlignment w:val="center"/>
              <w:rPr>
                <w:rFonts w:hint="default" w:ascii="Times New Roman" w:hAnsi="Times New Roman" w:eastAsia="宋体" w:cstheme="minorBidi"/>
                <w:color w:val="auto"/>
                <w:kern w:val="2"/>
                <w:sz w:val="21"/>
                <w:szCs w:val="21"/>
                <w:lang w:val="en-US" w:eastAsia="zh-CN" w:bidi="ar-SA"/>
              </w:rPr>
            </w:pPr>
            <w:r>
              <w:rPr>
                <w:rFonts w:hint="eastAsia" w:ascii="Times New Roman" w:hAnsi="Times New Roman" w:eastAsia="宋体"/>
                <w:color w:val="auto"/>
                <w:szCs w:val="21"/>
                <w:lang w:val="en-US" w:eastAsia="zh-CN"/>
              </w:rPr>
              <w:t>0.68</w:t>
            </w:r>
          </w:p>
        </w:tc>
        <w:tc>
          <w:tcPr>
            <w:tcW w:w="873" w:type="pct"/>
            <w:noWrap w:val="0"/>
            <w:vAlign w:val="center"/>
          </w:tcPr>
          <w:p>
            <w:pPr>
              <w:widowControl/>
              <w:jc w:val="center"/>
              <w:textAlignment w:val="center"/>
              <w:rPr>
                <w:rFonts w:hint="default" w:ascii="Times New Roman" w:hAnsi="Times New Roman" w:eastAsia="宋体" w:cstheme="minorBidi"/>
                <w:color w:val="auto"/>
                <w:kern w:val="2"/>
                <w:sz w:val="21"/>
                <w:szCs w:val="21"/>
                <w:lang w:val="en-US" w:eastAsia="zh-CN" w:bidi="ar-SA"/>
              </w:rPr>
            </w:pPr>
            <w:r>
              <w:rPr>
                <w:rFonts w:hint="eastAsia" w:ascii="Times New Roman" w:hAnsi="Times New Roman"/>
                <w:color w:val="auto"/>
                <w:szCs w:val="21"/>
                <w:lang w:val="en-US" w:eastAsia="zh-CN"/>
              </w:rPr>
              <w:t>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Theme="minorEastAsia" w:cstheme="minorBidi"/>
                <w:kern w:val="2"/>
                <w:sz w:val="21"/>
                <w:szCs w:val="21"/>
                <w:lang w:val="en-US" w:eastAsia="zh-CN" w:bidi="ar"/>
              </w:rPr>
            </w:pPr>
            <w:r>
              <w:rPr>
                <w:rFonts w:hint="eastAsia" w:ascii="Times New Roman" w:hAnsi="Times New Roman"/>
                <w:color w:val="auto"/>
                <w:szCs w:val="21"/>
                <w:lang w:bidi="ar"/>
              </w:rPr>
              <w:t>总氮</w:t>
            </w:r>
            <w:r>
              <w:rPr>
                <w:rFonts w:hint="eastAsia" w:ascii="Times New Roman" w:hAnsi="Times New Roman"/>
                <w:szCs w:val="21"/>
                <w:lang w:bidi="ar"/>
              </w:rPr>
              <w:t>（mg/L）</w:t>
            </w:r>
          </w:p>
        </w:tc>
        <w:tc>
          <w:tcPr>
            <w:tcW w:w="1152"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8.06</w:t>
            </w:r>
          </w:p>
        </w:tc>
        <w:tc>
          <w:tcPr>
            <w:tcW w:w="994" w:type="pct"/>
            <w:noWrap w:val="0"/>
            <w:vAlign w:val="center"/>
          </w:tcPr>
          <w:p>
            <w:pPr>
              <w:widowControl/>
              <w:jc w:val="center"/>
              <w:textAlignment w:val="center"/>
              <w:rPr>
                <w:rFonts w:hint="default" w:ascii="Times New Roman" w:hAnsi="Times New Roman" w:eastAsia="宋体" w:cstheme="minorBidi"/>
                <w:color w:val="auto"/>
                <w:kern w:val="2"/>
                <w:sz w:val="21"/>
                <w:szCs w:val="21"/>
                <w:lang w:val="en-US" w:eastAsia="zh-CN" w:bidi="ar-SA"/>
              </w:rPr>
            </w:pPr>
            <w:r>
              <w:rPr>
                <w:rFonts w:hint="eastAsia" w:ascii="Times New Roman" w:hAnsi="Times New Roman"/>
                <w:color w:val="auto"/>
                <w:szCs w:val="21"/>
                <w:lang w:val="en-US" w:eastAsia="zh-CN"/>
              </w:rPr>
              <w:t>8.63</w:t>
            </w:r>
          </w:p>
        </w:tc>
        <w:tc>
          <w:tcPr>
            <w:tcW w:w="897" w:type="pct"/>
            <w:noWrap w:val="0"/>
            <w:vAlign w:val="center"/>
          </w:tcPr>
          <w:p>
            <w:pPr>
              <w:widowControl/>
              <w:jc w:val="center"/>
              <w:textAlignment w:val="center"/>
              <w:rPr>
                <w:rFonts w:hint="default" w:ascii="Times New Roman" w:hAnsi="Times New Roman" w:eastAsia="宋体" w:cstheme="minorBidi"/>
                <w:color w:val="auto"/>
                <w:kern w:val="2"/>
                <w:sz w:val="21"/>
                <w:szCs w:val="21"/>
                <w:lang w:val="en-US" w:eastAsia="zh-CN" w:bidi="ar-SA"/>
              </w:rPr>
            </w:pPr>
            <w:r>
              <w:rPr>
                <w:rFonts w:hint="eastAsia" w:ascii="Times New Roman" w:hAnsi="Times New Roman"/>
                <w:color w:val="auto"/>
                <w:szCs w:val="21"/>
                <w:lang w:val="en-US" w:eastAsia="zh-CN"/>
              </w:rPr>
              <w:t>8.10</w:t>
            </w:r>
          </w:p>
        </w:tc>
        <w:tc>
          <w:tcPr>
            <w:tcW w:w="873" w:type="pct"/>
            <w:noWrap w:val="0"/>
            <w:vAlign w:val="center"/>
          </w:tcPr>
          <w:p>
            <w:pPr>
              <w:widowControl/>
              <w:jc w:val="center"/>
              <w:textAlignment w:val="center"/>
              <w:rPr>
                <w:rFonts w:hint="default"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8.83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Theme="minorEastAsia" w:cstheme="minorBidi"/>
                <w:kern w:val="2"/>
                <w:sz w:val="21"/>
                <w:szCs w:val="21"/>
                <w:lang w:val="en-US" w:eastAsia="zh-CN" w:bidi="ar"/>
              </w:rPr>
            </w:pPr>
            <w:r>
              <w:rPr>
                <w:rFonts w:hint="eastAsia" w:ascii="Times New Roman" w:hAnsi="Times New Roman"/>
                <w:color w:val="000000"/>
                <w:lang w:bidi="ar"/>
              </w:rPr>
              <w:t>BOD</w:t>
            </w:r>
            <w:r>
              <w:rPr>
                <w:rFonts w:hint="eastAsia" w:ascii="Times New Roman" w:hAnsi="Times New Roman"/>
                <w:color w:val="000000"/>
                <w:vertAlign w:val="subscript"/>
                <w:lang w:bidi="ar"/>
              </w:rPr>
              <w:t>5</w:t>
            </w:r>
            <w:r>
              <w:rPr>
                <w:rFonts w:hint="eastAsia" w:ascii="Times New Roman" w:hAnsi="Times New Roman"/>
                <w:szCs w:val="21"/>
                <w:lang w:bidi="ar"/>
              </w:rPr>
              <w:t>（mg/L）</w:t>
            </w:r>
          </w:p>
        </w:tc>
        <w:tc>
          <w:tcPr>
            <w:tcW w:w="1152"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20.5</w:t>
            </w:r>
          </w:p>
        </w:tc>
        <w:tc>
          <w:tcPr>
            <w:tcW w:w="994" w:type="pct"/>
            <w:noWrap w:val="0"/>
            <w:vAlign w:val="center"/>
          </w:tcPr>
          <w:p>
            <w:pPr>
              <w:widowControl/>
              <w:jc w:val="center"/>
              <w:textAlignment w:val="center"/>
              <w:rPr>
                <w:rFonts w:hint="default" w:ascii="Times New Roman" w:hAnsi="Times New Roman" w:eastAsia="宋体" w:cstheme="minorBidi"/>
                <w:color w:val="auto"/>
                <w:kern w:val="2"/>
                <w:sz w:val="21"/>
                <w:szCs w:val="21"/>
                <w:lang w:val="en-US" w:eastAsia="zh-CN" w:bidi="ar"/>
              </w:rPr>
            </w:pPr>
            <w:r>
              <w:rPr>
                <w:rFonts w:hint="eastAsia" w:ascii="Times New Roman" w:hAnsi="Times New Roman"/>
                <w:color w:val="auto"/>
                <w:szCs w:val="21"/>
                <w:lang w:val="en-US" w:eastAsia="zh-CN" w:bidi="ar"/>
              </w:rPr>
              <w:t>20.2</w:t>
            </w:r>
          </w:p>
        </w:tc>
        <w:tc>
          <w:tcPr>
            <w:tcW w:w="897" w:type="pct"/>
            <w:noWrap w:val="0"/>
            <w:vAlign w:val="center"/>
          </w:tcPr>
          <w:p>
            <w:pPr>
              <w:widowControl/>
              <w:jc w:val="center"/>
              <w:textAlignment w:val="center"/>
              <w:rPr>
                <w:rFonts w:hint="default" w:ascii="Times New Roman" w:hAnsi="Times New Roman" w:eastAsia="宋体" w:cstheme="minorBidi"/>
                <w:color w:val="auto"/>
                <w:kern w:val="2"/>
                <w:sz w:val="21"/>
                <w:szCs w:val="21"/>
                <w:lang w:val="en-US" w:eastAsia="zh-CN" w:bidi="ar-SA"/>
              </w:rPr>
            </w:pPr>
            <w:r>
              <w:rPr>
                <w:rFonts w:hint="eastAsia" w:ascii="Times New Roman" w:hAnsi="Times New Roman"/>
                <w:color w:val="auto"/>
                <w:szCs w:val="21"/>
                <w:lang w:val="en-US" w:eastAsia="zh-CN"/>
              </w:rPr>
              <w:t>19.7</w:t>
            </w:r>
          </w:p>
        </w:tc>
        <w:tc>
          <w:tcPr>
            <w:tcW w:w="873" w:type="pct"/>
            <w:noWrap w:val="0"/>
            <w:vAlign w:val="center"/>
          </w:tcPr>
          <w:p>
            <w:pPr>
              <w:widowControl/>
              <w:jc w:val="center"/>
              <w:textAlignment w:val="center"/>
              <w:rPr>
                <w:rFonts w:hint="default" w:ascii="Times New Roman" w:hAnsi="Times New Roman" w:eastAsia="宋体" w:cstheme="minorBidi"/>
                <w:color w:val="auto"/>
                <w:kern w:val="2"/>
                <w:sz w:val="21"/>
                <w:szCs w:val="21"/>
                <w:lang w:val="en-US" w:eastAsia="zh-CN" w:bidi="ar-SA"/>
              </w:rPr>
            </w:pPr>
            <w:r>
              <w:rPr>
                <w:rFonts w:hint="eastAsia" w:ascii="Times New Roman" w:hAnsi="Times New Roman"/>
                <w:color w:val="auto"/>
                <w:szCs w:val="21"/>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Theme="minorEastAsia" w:cstheme="minorBidi"/>
                <w:kern w:val="2"/>
                <w:sz w:val="21"/>
                <w:szCs w:val="21"/>
                <w:lang w:val="en-US" w:eastAsia="zh-CN" w:bidi="ar"/>
              </w:rPr>
            </w:pPr>
            <w:r>
              <w:rPr>
                <w:rFonts w:hint="eastAsia" w:ascii="Times New Roman" w:hAnsi="Times New Roman"/>
                <w:color w:val="000000"/>
                <w:lang w:bidi="ar"/>
              </w:rPr>
              <w:t>氟化物</w:t>
            </w:r>
            <w:r>
              <w:rPr>
                <w:rFonts w:hint="eastAsia" w:ascii="Times New Roman" w:hAnsi="Times New Roman"/>
                <w:szCs w:val="21"/>
                <w:lang w:bidi="ar"/>
              </w:rPr>
              <w:t>（mg/L）</w:t>
            </w:r>
          </w:p>
        </w:tc>
        <w:tc>
          <w:tcPr>
            <w:tcW w:w="1152" w:type="pct"/>
            <w:noWrap w:val="0"/>
            <w:vAlign w:val="center"/>
          </w:tcPr>
          <w:p>
            <w:pPr>
              <w:widowControl/>
              <w:jc w:val="center"/>
              <w:textAlignment w:val="center"/>
              <w:rPr>
                <w:rFonts w:hint="default" w:ascii="Times New Roman" w:hAnsi="Times New Roman" w:eastAsia="宋体" w:cs="Times New Roman"/>
                <w:kern w:val="2"/>
                <w:sz w:val="21"/>
                <w:szCs w:val="21"/>
                <w:lang w:val="en-US" w:eastAsia="zh-CN" w:bidi="ar"/>
              </w:rPr>
            </w:pPr>
            <w:r>
              <w:rPr>
                <w:rFonts w:hint="eastAsia" w:ascii="Times New Roman" w:hAnsi="Times New Roman" w:eastAsia="宋体" w:cs="Times New Roman"/>
                <w:kern w:val="2"/>
                <w:sz w:val="21"/>
                <w:szCs w:val="21"/>
                <w:lang w:val="en-US" w:eastAsia="zh-CN" w:bidi="ar"/>
              </w:rPr>
              <w:t>1.64</w:t>
            </w:r>
          </w:p>
        </w:tc>
        <w:tc>
          <w:tcPr>
            <w:tcW w:w="994" w:type="pct"/>
            <w:noWrap w:val="0"/>
            <w:vAlign w:val="center"/>
          </w:tcPr>
          <w:p>
            <w:pPr>
              <w:widowControl/>
              <w:jc w:val="center"/>
              <w:textAlignment w:val="center"/>
              <w:rPr>
                <w:rFonts w:hint="default"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1.81</w:t>
            </w:r>
          </w:p>
        </w:tc>
        <w:tc>
          <w:tcPr>
            <w:tcW w:w="897" w:type="pct"/>
            <w:noWrap w:val="0"/>
            <w:vAlign w:val="center"/>
          </w:tcPr>
          <w:p>
            <w:pPr>
              <w:widowControl/>
              <w:jc w:val="center"/>
              <w:textAlignment w:val="center"/>
              <w:rPr>
                <w:rFonts w:hint="default"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1.86</w:t>
            </w:r>
          </w:p>
        </w:tc>
        <w:tc>
          <w:tcPr>
            <w:tcW w:w="873" w:type="pct"/>
            <w:noWrap w:val="0"/>
            <w:vAlign w:val="center"/>
          </w:tcPr>
          <w:p>
            <w:pPr>
              <w:widowControl/>
              <w:jc w:val="center"/>
              <w:textAlignment w:val="center"/>
              <w:rPr>
                <w:rFonts w:hint="default" w:ascii="Times New Roman" w:hAnsi="Times New Roman" w:eastAsia="宋体" w:cstheme="minorBidi"/>
                <w:color w:val="auto"/>
                <w:kern w:val="2"/>
                <w:sz w:val="21"/>
                <w:szCs w:val="21"/>
                <w:lang w:val="en-US" w:eastAsia="zh-CN" w:bidi="ar-SA"/>
              </w:rPr>
            </w:pPr>
            <w:r>
              <w:rPr>
                <w:rFonts w:hint="eastAsia" w:ascii="Times New Roman" w:hAnsi="Times New Roman" w:eastAsia="宋体"/>
                <w:color w:val="auto"/>
                <w:szCs w:val="21"/>
                <w:lang w:val="en-US" w:eastAsia="zh-CN"/>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Cs w:val="21"/>
              </w:rPr>
              <w:t>采样点位</w:t>
            </w:r>
          </w:p>
        </w:tc>
        <w:tc>
          <w:tcPr>
            <w:tcW w:w="3917" w:type="pct"/>
            <w:gridSpan w:val="4"/>
            <w:noWrap w:val="0"/>
            <w:vAlign w:val="center"/>
          </w:tcPr>
          <w:p>
            <w:pPr>
              <w:widowControl/>
              <w:spacing w:before="100" w:beforeAutospacing="1" w:after="100" w:afterAutospacing="1"/>
              <w:jc w:val="center"/>
              <w:rPr>
                <w:rFonts w:hint="eastAsia" w:ascii="宋体" w:hAnsi="宋体" w:eastAsia="宋体" w:cs="Times New Roman"/>
                <w:kern w:val="0"/>
                <w:sz w:val="21"/>
                <w:szCs w:val="21"/>
                <w:lang w:val="en-US" w:eastAsia="zh-CN" w:bidi="ar-SA"/>
              </w:rPr>
            </w:pPr>
            <w:r>
              <w:rPr>
                <w:rFonts w:hint="eastAsia" w:ascii="宋体" w:hAnsi="宋体" w:eastAsia="宋体" w:cs="Times New Roman"/>
                <w:kern w:val="0"/>
                <w:sz w:val="21"/>
                <w:szCs w:val="21"/>
                <w:lang w:val="en-US" w:eastAsia="zh-CN" w:bidi="ar-SA"/>
              </w:rPr>
              <w:t>污水处理站出水口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widowControl/>
              <w:jc w:val="center"/>
              <w:textAlignment w:val="center"/>
              <w:rPr>
                <w:rFonts w:hint="eastAsia" w:ascii="Times New Roman" w:hAnsi="Times New Roman" w:eastAsiaTheme="minorEastAsia" w:cstheme="minorBidi"/>
                <w:kern w:val="2"/>
                <w:sz w:val="21"/>
                <w:szCs w:val="21"/>
                <w:lang w:val="en-US" w:eastAsia="zh-CN" w:bidi="ar-SA"/>
              </w:rPr>
            </w:pPr>
            <w:r>
              <w:rPr>
                <w:rFonts w:hint="eastAsia" w:ascii="Times New Roman" w:hAnsi="Times New Roman"/>
                <w:szCs w:val="21"/>
              </w:rPr>
              <w:t>样品编号</w:t>
            </w:r>
          </w:p>
        </w:tc>
        <w:tc>
          <w:tcPr>
            <w:tcW w:w="1152"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rPr>
              <w:t>HC24010303-</w:t>
            </w:r>
            <w:r>
              <w:rPr>
                <w:rFonts w:hint="eastAsia" w:ascii="Times New Roman" w:hAnsi="Times New Roman"/>
                <w:szCs w:val="21"/>
                <w:lang w:val="en-US" w:eastAsia="zh-CN"/>
              </w:rPr>
              <w:t xml:space="preserve"> </w:t>
            </w:r>
            <w:r>
              <w:rPr>
                <w:rFonts w:hint="eastAsia" w:ascii="Times New Roman" w:hAnsi="Times New Roman"/>
                <w:szCs w:val="21"/>
              </w:rPr>
              <w:t>20</w:t>
            </w:r>
            <w:r>
              <w:rPr>
                <w:rFonts w:hint="eastAsia" w:ascii="Times New Roman" w:hAnsi="Times New Roman"/>
                <w:szCs w:val="21"/>
                <w:lang w:val="en-US" w:eastAsia="zh-CN"/>
              </w:rPr>
              <w:t>82</w:t>
            </w:r>
          </w:p>
        </w:tc>
        <w:tc>
          <w:tcPr>
            <w:tcW w:w="994"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rPr>
              <w:t>HC24010303-</w:t>
            </w:r>
            <w:r>
              <w:rPr>
                <w:rFonts w:hint="eastAsia" w:ascii="Times New Roman" w:hAnsi="Times New Roman"/>
                <w:szCs w:val="21"/>
                <w:lang w:val="en-US" w:eastAsia="zh-CN"/>
              </w:rPr>
              <w:t xml:space="preserve"> </w:t>
            </w:r>
            <w:r>
              <w:rPr>
                <w:rFonts w:hint="eastAsia" w:ascii="Times New Roman" w:hAnsi="Times New Roman"/>
                <w:szCs w:val="21"/>
              </w:rPr>
              <w:t>20</w:t>
            </w:r>
            <w:r>
              <w:rPr>
                <w:rFonts w:hint="eastAsia" w:ascii="Times New Roman" w:hAnsi="Times New Roman"/>
                <w:szCs w:val="21"/>
                <w:lang w:val="en-US" w:eastAsia="zh-CN"/>
              </w:rPr>
              <w:t>83</w:t>
            </w:r>
          </w:p>
        </w:tc>
        <w:tc>
          <w:tcPr>
            <w:tcW w:w="897"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rPr>
              <w:t>HC24010303-</w:t>
            </w:r>
            <w:r>
              <w:rPr>
                <w:rFonts w:hint="eastAsia" w:ascii="Times New Roman" w:hAnsi="Times New Roman"/>
                <w:szCs w:val="21"/>
                <w:lang w:val="en-US" w:eastAsia="zh-CN"/>
              </w:rPr>
              <w:t xml:space="preserve"> </w:t>
            </w:r>
            <w:r>
              <w:rPr>
                <w:rFonts w:hint="eastAsia" w:ascii="Times New Roman" w:hAnsi="Times New Roman"/>
                <w:szCs w:val="21"/>
              </w:rPr>
              <w:t>20</w:t>
            </w:r>
            <w:r>
              <w:rPr>
                <w:rFonts w:hint="eastAsia" w:ascii="Times New Roman" w:hAnsi="Times New Roman"/>
                <w:szCs w:val="21"/>
                <w:lang w:val="en-US" w:eastAsia="zh-CN"/>
              </w:rPr>
              <w:t>84</w:t>
            </w:r>
          </w:p>
        </w:tc>
        <w:tc>
          <w:tcPr>
            <w:tcW w:w="873"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rPr>
              <w:t>HC24010303-</w:t>
            </w:r>
            <w:r>
              <w:rPr>
                <w:rFonts w:hint="eastAsia" w:ascii="Times New Roman" w:hAnsi="Times New Roman"/>
                <w:szCs w:val="21"/>
                <w:lang w:val="en-US" w:eastAsia="zh-CN"/>
              </w:rPr>
              <w:t xml:space="preserve"> </w:t>
            </w:r>
            <w:r>
              <w:rPr>
                <w:rFonts w:hint="eastAsia" w:ascii="Times New Roman" w:hAnsi="Times New Roman"/>
                <w:szCs w:val="21"/>
              </w:rPr>
              <w:t>20</w:t>
            </w:r>
            <w:r>
              <w:rPr>
                <w:rFonts w:hint="eastAsia" w:ascii="Times New Roman" w:hAnsi="Times New Roman"/>
                <w:szCs w:val="21"/>
                <w:lang w:val="en-US" w:eastAsia="zh-CN"/>
              </w:rPr>
              <w:t>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Theme="minorEastAsia" w:cstheme="minorBidi"/>
                <w:kern w:val="2"/>
                <w:sz w:val="21"/>
                <w:szCs w:val="21"/>
                <w:lang w:val="en-US" w:eastAsia="zh-CN" w:bidi="ar-SA"/>
              </w:rPr>
            </w:pPr>
            <w:r>
              <w:rPr>
                <w:rFonts w:ascii="Times New Roman" w:hAnsi="Times New Roman"/>
                <w:szCs w:val="21"/>
                <w:lang w:bidi="ar"/>
              </w:rPr>
              <w:t>pH</w:t>
            </w:r>
            <w:r>
              <w:rPr>
                <w:rFonts w:hint="eastAsia" w:ascii="Times New Roman" w:hAnsi="Times New Roman"/>
                <w:szCs w:val="21"/>
                <w:lang w:bidi="ar"/>
              </w:rPr>
              <w:t>（无量纲）</w:t>
            </w:r>
          </w:p>
        </w:tc>
        <w:tc>
          <w:tcPr>
            <w:tcW w:w="1152"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7.0</w:t>
            </w:r>
          </w:p>
        </w:tc>
        <w:tc>
          <w:tcPr>
            <w:tcW w:w="994"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7.0</w:t>
            </w:r>
          </w:p>
        </w:tc>
        <w:tc>
          <w:tcPr>
            <w:tcW w:w="897"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7.0</w:t>
            </w:r>
          </w:p>
        </w:tc>
        <w:tc>
          <w:tcPr>
            <w:tcW w:w="873"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Theme="minorEastAsia" w:cstheme="minorBidi"/>
                <w:kern w:val="2"/>
                <w:sz w:val="21"/>
                <w:szCs w:val="21"/>
                <w:lang w:val="en-US" w:eastAsia="zh-CN" w:bidi="ar"/>
              </w:rPr>
            </w:pPr>
            <w:r>
              <w:rPr>
                <w:rFonts w:hint="eastAsia" w:ascii="Times New Roman" w:hAnsi="Times New Roman"/>
                <w:color w:val="auto"/>
                <w:lang w:bidi="ar"/>
              </w:rPr>
              <w:t>SS</w:t>
            </w:r>
            <w:r>
              <w:rPr>
                <w:rFonts w:hint="eastAsia" w:ascii="Times New Roman" w:hAnsi="Times New Roman"/>
                <w:szCs w:val="21"/>
                <w:lang w:bidi="ar"/>
              </w:rPr>
              <w:t>（mg/L）</w:t>
            </w:r>
          </w:p>
        </w:tc>
        <w:tc>
          <w:tcPr>
            <w:tcW w:w="1152"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11</w:t>
            </w:r>
          </w:p>
        </w:tc>
        <w:tc>
          <w:tcPr>
            <w:tcW w:w="994"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9</w:t>
            </w:r>
          </w:p>
        </w:tc>
        <w:tc>
          <w:tcPr>
            <w:tcW w:w="897"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7</w:t>
            </w:r>
          </w:p>
        </w:tc>
        <w:tc>
          <w:tcPr>
            <w:tcW w:w="873"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Theme="minorEastAsia" w:cstheme="minorBidi"/>
                <w:kern w:val="2"/>
                <w:sz w:val="21"/>
                <w:szCs w:val="22"/>
                <w:lang w:val="en-US" w:eastAsia="zh-CN" w:bidi="ar"/>
              </w:rPr>
            </w:pPr>
            <w:r>
              <w:rPr>
                <w:rFonts w:hint="eastAsia" w:ascii="Times New Roman" w:hAnsi="Times New Roman"/>
                <w:color w:val="auto"/>
                <w:lang w:bidi="ar"/>
              </w:rPr>
              <w:t>全盐量</w:t>
            </w:r>
            <w:r>
              <w:rPr>
                <w:rFonts w:hint="eastAsia" w:ascii="Times New Roman" w:hAnsi="Times New Roman"/>
                <w:szCs w:val="21"/>
                <w:lang w:bidi="ar"/>
              </w:rPr>
              <w:t>（mg/L）</w:t>
            </w:r>
          </w:p>
        </w:tc>
        <w:tc>
          <w:tcPr>
            <w:tcW w:w="1152"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506</w:t>
            </w:r>
          </w:p>
        </w:tc>
        <w:tc>
          <w:tcPr>
            <w:tcW w:w="994"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476</w:t>
            </w:r>
          </w:p>
        </w:tc>
        <w:tc>
          <w:tcPr>
            <w:tcW w:w="897"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460</w:t>
            </w:r>
          </w:p>
        </w:tc>
        <w:tc>
          <w:tcPr>
            <w:tcW w:w="873"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512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Theme="minorEastAsia" w:cstheme="minorBidi"/>
                <w:color w:val="auto"/>
                <w:kern w:val="2"/>
                <w:sz w:val="21"/>
                <w:szCs w:val="22"/>
                <w:lang w:val="en-US" w:eastAsia="zh-CN" w:bidi="ar"/>
              </w:rPr>
            </w:pPr>
            <w:r>
              <w:rPr>
                <w:rFonts w:ascii="Times New Roman" w:hAnsi="Times New Roman"/>
                <w:color w:val="auto"/>
                <w:szCs w:val="21"/>
                <w:lang w:bidi="ar"/>
              </w:rPr>
              <w:t>COD</w:t>
            </w:r>
            <w:r>
              <w:rPr>
                <w:rFonts w:hint="eastAsia" w:ascii="Times New Roman" w:hAnsi="Times New Roman"/>
                <w:szCs w:val="21"/>
                <w:lang w:bidi="ar"/>
              </w:rPr>
              <w:t>（mg/L）</w:t>
            </w:r>
          </w:p>
        </w:tc>
        <w:tc>
          <w:tcPr>
            <w:tcW w:w="1152"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szCs w:val="21"/>
                <w:lang w:val="en-US" w:eastAsia="zh-CN"/>
              </w:rPr>
              <w:t>33</w:t>
            </w:r>
          </w:p>
        </w:tc>
        <w:tc>
          <w:tcPr>
            <w:tcW w:w="994"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szCs w:val="21"/>
                <w:lang w:val="en-US" w:eastAsia="zh-CN"/>
              </w:rPr>
              <w:t>29</w:t>
            </w:r>
          </w:p>
        </w:tc>
        <w:tc>
          <w:tcPr>
            <w:tcW w:w="897" w:type="pct"/>
            <w:noWrap w:val="0"/>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olor w:val="auto"/>
                <w:szCs w:val="21"/>
                <w:lang w:val="en-US" w:eastAsia="zh-CN"/>
              </w:rPr>
              <w:t>28</w:t>
            </w:r>
          </w:p>
        </w:tc>
        <w:tc>
          <w:tcPr>
            <w:tcW w:w="873" w:type="pct"/>
            <w:noWrap w:val="0"/>
            <w:vAlign w:val="center"/>
          </w:tcPr>
          <w:p>
            <w:pPr>
              <w:widowControl/>
              <w:jc w:val="center"/>
              <w:textAlignment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eastAsia="宋体"/>
                <w:color w:val="auto"/>
                <w:szCs w:val="21"/>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Theme="minorEastAsia" w:cstheme="minorBidi"/>
                <w:kern w:val="2"/>
                <w:sz w:val="21"/>
                <w:szCs w:val="22"/>
                <w:lang w:val="en-US" w:eastAsia="zh-CN" w:bidi="ar"/>
              </w:rPr>
            </w:pPr>
            <w:r>
              <w:rPr>
                <w:rFonts w:ascii="Times New Roman" w:hAnsi="Times New Roman"/>
                <w:color w:val="auto"/>
                <w:szCs w:val="21"/>
                <w:lang w:bidi="ar"/>
              </w:rPr>
              <w:t>氨氮</w:t>
            </w:r>
            <w:r>
              <w:rPr>
                <w:rFonts w:hint="eastAsia" w:ascii="Times New Roman" w:hAnsi="Times New Roman"/>
                <w:szCs w:val="21"/>
                <w:lang w:bidi="ar"/>
              </w:rPr>
              <w:t>（mg/L）</w:t>
            </w:r>
          </w:p>
        </w:tc>
        <w:tc>
          <w:tcPr>
            <w:tcW w:w="1152"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0.397</w:t>
            </w:r>
          </w:p>
        </w:tc>
        <w:tc>
          <w:tcPr>
            <w:tcW w:w="994"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eastAsia="宋体"/>
                <w:szCs w:val="21"/>
                <w:lang w:val="en-US" w:eastAsia="zh-CN"/>
              </w:rPr>
              <w:t>0.421</w:t>
            </w:r>
          </w:p>
        </w:tc>
        <w:tc>
          <w:tcPr>
            <w:tcW w:w="897"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eastAsia="宋体"/>
                <w:szCs w:val="21"/>
                <w:lang w:val="en-US" w:eastAsia="zh-CN"/>
              </w:rPr>
              <w:t>0.338</w:t>
            </w:r>
          </w:p>
        </w:tc>
        <w:tc>
          <w:tcPr>
            <w:tcW w:w="873"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eastAsia="宋体"/>
                <w:szCs w:val="21"/>
                <w:lang w:val="en-US" w:eastAsia="zh-CN"/>
              </w:rPr>
              <w:t>0.303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Theme="minorEastAsia" w:cstheme="minorBidi"/>
                <w:kern w:val="2"/>
                <w:sz w:val="21"/>
                <w:szCs w:val="21"/>
                <w:lang w:val="en-US" w:eastAsia="zh-CN" w:bidi="ar"/>
              </w:rPr>
            </w:pPr>
            <w:r>
              <w:rPr>
                <w:rFonts w:hint="eastAsia" w:ascii="Times New Roman" w:hAnsi="Times New Roman"/>
                <w:color w:val="auto"/>
                <w:szCs w:val="21"/>
                <w:lang w:bidi="ar"/>
              </w:rPr>
              <w:t>总磷</w:t>
            </w:r>
            <w:r>
              <w:rPr>
                <w:rFonts w:hint="eastAsia" w:ascii="Times New Roman" w:hAnsi="Times New Roman"/>
                <w:szCs w:val="21"/>
                <w:lang w:bidi="ar"/>
              </w:rPr>
              <w:t>（mg/L）</w:t>
            </w:r>
          </w:p>
        </w:tc>
        <w:tc>
          <w:tcPr>
            <w:tcW w:w="1152" w:type="pct"/>
            <w:noWrap w:val="0"/>
            <w:vAlign w:val="center"/>
          </w:tcPr>
          <w:p>
            <w:pPr>
              <w:widowControl/>
              <w:jc w:val="center"/>
              <w:textAlignment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color w:val="auto"/>
                <w:szCs w:val="21"/>
                <w:lang w:val="en-US" w:eastAsia="zh-CN"/>
              </w:rPr>
              <w:t>0.27</w:t>
            </w:r>
          </w:p>
        </w:tc>
        <w:tc>
          <w:tcPr>
            <w:tcW w:w="994" w:type="pct"/>
            <w:noWrap w:val="0"/>
            <w:vAlign w:val="center"/>
          </w:tcPr>
          <w:p>
            <w:pPr>
              <w:widowControl/>
              <w:jc w:val="center"/>
              <w:textAlignment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color w:val="auto"/>
                <w:szCs w:val="21"/>
                <w:lang w:val="en-US" w:eastAsia="zh-CN"/>
              </w:rPr>
              <w:t>0.28</w:t>
            </w:r>
          </w:p>
        </w:tc>
        <w:tc>
          <w:tcPr>
            <w:tcW w:w="897" w:type="pct"/>
            <w:noWrap w:val="0"/>
            <w:vAlign w:val="center"/>
          </w:tcPr>
          <w:p>
            <w:pPr>
              <w:widowControl/>
              <w:jc w:val="center"/>
              <w:textAlignment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color w:val="auto"/>
                <w:szCs w:val="21"/>
                <w:lang w:val="en-US" w:eastAsia="zh-CN"/>
              </w:rPr>
              <w:t>0.30</w:t>
            </w:r>
          </w:p>
        </w:tc>
        <w:tc>
          <w:tcPr>
            <w:tcW w:w="873" w:type="pct"/>
            <w:noWrap w:val="0"/>
            <w:vAlign w:val="center"/>
          </w:tcPr>
          <w:p>
            <w:pPr>
              <w:widowControl/>
              <w:jc w:val="center"/>
              <w:textAlignment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color w:val="auto"/>
                <w:szCs w:val="21"/>
                <w:lang w:val="en-US" w:eastAsia="zh-CN"/>
              </w:rPr>
              <w:t>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Theme="minorEastAsia" w:cstheme="minorBidi"/>
                <w:kern w:val="2"/>
                <w:sz w:val="21"/>
                <w:szCs w:val="21"/>
                <w:lang w:val="en-US" w:eastAsia="zh-CN" w:bidi="ar"/>
              </w:rPr>
            </w:pPr>
            <w:r>
              <w:rPr>
                <w:rFonts w:hint="eastAsia" w:ascii="Times New Roman" w:hAnsi="Times New Roman"/>
                <w:color w:val="auto"/>
                <w:szCs w:val="21"/>
                <w:lang w:bidi="ar"/>
              </w:rPr>
              <w:t>总氮</w:t>
            </w:r>
            <w:r>
              <w:rPr>
                <w:rFonts w:hint="eastAsia" w:ascii="Times New Roman" w:hAnsi="Times New Roman"/>
                <w:szCs w:val="21"/>
                <w:lang w:bidi="ar"/>
              </w:rPr>
              <w:t>（mg/L）</w:t>
            </w:r>
          </w:p>
        </w:tc>
        <w:tc>
          <w:tcPr>
            <w:tcW w:w="1152"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3.57</w:t>
            </w:r>
          </w:p>
        </w:tc>
        <w:tc>
          <w:tcPr>
            <w:tcW w:w="994"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4.06</w:t>
            </w:r>
          </w:p>
        </w:tc>
        <w:tc>
          <w:tcPr>
            <w:tcW w:w="897"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3.72</w:t>
            </w:r>
          </w:p>
        </w:tc>
        <w:tc>
          <w:tcPr>
            <w:tcW w:w="873" w:type="pct"/>
            <w:noWrap w:val="0"/>
            <w:vAlign w:val="center"/>
          </w:tcPr>
          <w:p>
            <w:pPr>
              <w:widowControl/>
              <w:jc w:val="center"/>
              <w:textAlignment w:val="center"/>
              <w:rPr>
                <w:rFonts w:hint="eastAsia" w:ascii="Times New Roman" w:hAnsi="Times New Roman" w:eastAsia="宋体" w:cstheme="minorBidi"/>
                <w:kern w:val="2"/>
                <w:sz w:val="21"/>
                <w:szCs w:val="21"/>
                <w:lang w:val="en-US" w:eastAsia="zh-CN" w:bidi="ar-SA"/>
              </w:rPr>
            </w:pPr>
            <w:r>
              <w:rPr>
                <w:rFonts w:hint="eastAsia" w:ascii="Times New Roman" w:hAnsi="Times New Roman"/>
                <w:szCs w:val="21"/>
                <w:lang w:val="en-US" w:eastAsia="zh-CN"/>
              </w:rPr>
              <w:t>3.54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Theme="minorEastAsia" w:cstheme="minorBidi"/>
                <w:kern w:val="2"/>
                <w:sz w:val="21"/>
                <w:szCs w:val="21"/>
                <w:lang w:val="en-US" w:eastAsia="zh-CN" w:bidi="ar"/>
              </w:rPr>
            </w:pPr>
            <w:r>
              <w:rPr>
                <w:rFonts w:hint="eastAsia" w:ascii="Times New Roman" w:hAnsi="Times New Roman"/>
                <w:color w:val="000000"/>
                <w:lang w:bidi="ar"/>
              </w:rPr>
              <w:t>BOD</w:t>
            </w:r>
            <w:r>
              <w:rPr>
                <w:rFonts w:hint="eastAsia" w:ascii="Times New Roman" w:hAnsi="Times New Roman"/>
                <w:color w:val="000000"/>
                <w:vertAlign w:val="subscript"/>
                <w:lang w:bidi="ar"/>
              </w:rPr>
              <w:t>5</w:t>
            </w:r>
            <w:r>
              <w:rPr>
                <w:rFonts w:hint="eastAsia" w:ascii="Times New Roman" w:hAnsi="Times New Roman"/>
                <w:szCs w:val="21"/>
                <w:lang w:bidi="ar"/>
              </w:rPr>
              <w:t>（mg/L）</w:t>
            </w:r>
          </w:p>
        </w:tc>
        <w:tc>
          <w:tcPr>
            <w:tcW w:w="1152" w:type="pct"/>
            <w:noWrap w:val="0"/>
            <w:vAlign w:val="center"/>
          </w:tcPr>
          <w:p>
            <w:pPr>
              <w:widowControl/>
              <w:jc w:val="center"/>
              <w:textAlignment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color w:val="auto"/>
                <w:szCs w:val="21"/>
                <w:lang w:val="en-US" w:eastAsia="zh-CN"/>
              </w:rPr>
              <w:t>9.5</w:t>
            </w:r>
          </w:p>
        </w:tc>
        <w:tc>
          <w:tcPr>
            <w:tcW w:w="994" w:type="pct"/>
            <w:noWrap w:val="0"/>
            <w:vAlign w:val="center"/>
          </w:tcPr>
          <w:p>
            <w:pPr>
              <w:widowControl/>
              <w:jc w:val="center"/>
              <w:textAlignment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eastAsia="宋体"/>
                <w:color w:val="auto"/>
                <w:szCs w:val="21"/>
                <w:lang w:val="en-US" w:eastAsia="zh-CN"/>
              </w:rPr>
              <w:t>8.3</w:t>
            </w:r>
          </w:p>
        </w:tc>
        <w:tc>
          <w:tcPr>
            <w:tcW w:w="897" w:type="pct"/>
            <w:noWrap w:val="0"/>
            <w:vAlign w:val="center"/>
          </w:tcPr>
          <w:p>
            <w:pPr>
              <w:widowControl/>
              <w:jc w:val="center"/>
              <w:textAlignment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eastAsia="宋体"/>
                <w:color w:val="auto"/>
                <w:szCs w:val="21"/>
                <w:lang w:val="en-US" w:eastAsia="zh-CN"/>
              </w:rPr>
              <w:t>8.1</w:t>
            </w:r>
          </w:p>
        </w:tc>
        <w:tc>
          <w:tcPr>
            <w:tcW w:w="873" w:type="pct"/>
            <w:noWrap w:val="0"/>
            <w:vAlign w:val="center"/>
          </w:tcPr>
          <w:p>
            <w:pPr>
              <w:widowControl/>
              <w:jc w:val="center"/>
              <w:textAlignment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eastAsia="宋体"/>
                <w:color w:val="auto"/>
                <w:szCs w:val="21"/>
                <w:lang w:val="en-US" w:eastAsia="zh-CN"/>
              </w:rPr>
              <w:t>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82" w:type="pct"/>
            <w:noWrap w:val="0"/>
            <w:vAlign w:val="center"/>
          </w:tcPr>
          <w:p>
            <w:pPr>
              <w:adjustRightInd w:val="0"/>
              <w:snapToGrid w:val="0"/>
              <w:spacing w:line="360" w:lineRule="exact"/>
              <w:jc w:val="center"/>
              <w:rPr>
                <w:rFonts w:hint="eastAsia" w:ascii="Times New Roman" w:hAnsi="Times New Roman" w:eastAsiaTheme="minorEastAsia" w:cstheme="minorBidi"/>
                <w:kern w:val="2"/>
                <w:sz w:val="21"/>
                <w:szCs w:val="21"/>
                <w:lang w:val="en-US" w:eastAsia="zh-CN" w:bidi="ar"/>
              </w:rPr>
            </w:pPr>
            <w:r>
              <w:rPr>
                <w:rFonts w:hint="eastAsia" w:ascii="Times New Roman" w:hAnsi="Times New Roman"/>
                <w:color w:val="000000"/>
                <w:lang w:bidi="ar"/>
              </w:rPr>
              <w:t>氟化物</w:t>
            </w:r>
            <w:r>
              <w:rPr>
                <w:rFonts w:hint="eastAsia" w:ascii="Times New Roman" w:hAnsi="Times New Roman"/>
                <w:szCs w:val="21"/>
                <w:lang w:bidi="ar"/>
              </w:rPr>
              <w:t>（mg/L）</w:t>
            </w:r>
          </w:p>
        </w:tc>
        <w:tc>
          <w:tcPr>
            <w:tcW w:w="1152" w:type="pct"/>
            <w:noWrap w:val="0"/>
            <w:vAlign w:val="center"/>
          </w:tcPr>
          <w:p>
            <w:pPr>
              <w:widowControl/>
              <w:jc w:val="center"/>
              <w:textAlignment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color w:val="auto"/>
                <w:szCs w:val="21"/>
                <w:lang w:val="en-US" w:eastAsia="zh-CN"/>
              </w:rPr>
              <w:t>0.62</w:t>
            </w:r>
          </w:p>
        </w:tc>
        <w:tc>
          <w:tcPr>
            <w:tcW w:w="994" w:type="pct"/>
            <w:noWrap w:val="0"/>
            <w:vAlign w:val="center"/>
          </w:tcPr>
          <w:p>
            <w:pPr>
              <w:widowControl/>
              <w:jc w:val="center"/>
              <w:textAlignment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color w:val="auto"/>
                <w:szCs w:val="21"/>
                <w:lang w:val="en-US" w:eastAsia="zh-CN"/>
              </w:rPr>
              <w:t>0.65</w:t>
            </w:r>
          </w:p>
        </w:tc>
        <w:tc>
          <w:tcPr>
            <w:tcW w:w="897" w:type="pct"/>
            <w:noWrap w:val="0"/>
            <w:vAlign w:val="center"/>
          </w:tcPr>
          <w:p>
            <w:pPr>
              <w:widowControl/>
              <w:jc w:val="center"/>
              <w:textAlignment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color w:val="auto"/>
                <w:szCs w:val="21"/>
                <w:lang w:val="en-US" w:eastAsia="zh-CN"/>
              </w:rPr>
              <w:t>0.69</w:t>
            </w:r>
          </w:p>
        </w:tc>
        <w:tc>
          <w:tcPr>
            <w:tcW w:w="873" w:type="pct"/>
            <w:noWrap w:val="0"/>
            <w:vAlign w:val="center"/>
          </w:tcPr>
          <w:p>
            <w:pPr>
              <w:widowControl/>
              <w:jc w:val="center"/>
              <w:textAlignment w:val="center"/>
              <w:rPr>
                <w:rFonts w:hint="eastAsia" w:ascii="Times New Roman" w:hAnsi="Times New Roman" w:eastAsia="宋体" w:cstheme="minorBidi"/>
                <w:color w:val="auto"/>
                <w:kern w:val="2"/>
                <w:sz w:val="21"/>
                <w:szCs w:val="21"/>
                <w:lang w:val="en-US" w:eastAsia="zh-CN" w:bidi="ar-SA"/>
              </w:rPr>
            </w:pPr>
            <w:r>
              <w:rPr>
                <w:rFonts w:hint="eastAsia" w:ascii="Times New Roman" w:hAnsi="Times New Roman"/>
                <w:color w:val="auto"/>
                <w:szCs w:val="21"/>
                <w:lang w:val="en-US" w:eastAsia="zh-CN"/>
              </w:rPr>
              <w:t>0.70</w:t>
            </w:r>
          </w:p>
        </w:tc>
      </w:tr>
    </w:tbl>
    <w:p>
      <w:pPr>
        <w:widowControl w:val="0"/>
        <w:spacing w:after="0" w:line="360" w:lineRule="auto"/>
        <w:ind w:left="0" w:leftChars="0" w:firstLine="480" w:firstLineChars="200"/>
        <w:jc w:val="both"/>
        <w:rPr>
          <w:rFonts w:ascii="Times New Roman" w:hAnsi="Times New Roman" w:eastAsia="宋体" w:cs="Times New Roman"/>
          <w:color w:val="000000"/>
          <w:kern w:val="2"/>
          <w:sz w:val="24"/>
          <w:szCs w:val="28"/>
          <w:lang w:val="en-US" w:eastAsia="zh-CN" w:bidi="ar-SA"/>
        </w:rPr>
      </w:pPr>
      <w:r>
        <w:rPr>
          <w:rFonts w:ascii="Times New Roman" w:hAnsi="Times New Roman" w:eastAsia="宋体" w:cs="Times New Roman"/>
          <w:color w:val="000000"/>
          <w:kern w:val="2"/>
          <w:sz w:val="24"/>
          <w:szCs w:val="28"/>
          <w:lang w:val="en-US" w:eastAsia="zh-CN" w:bidi="ar-SA"/>
        </w:rPr>
        <w:t>由表</w:t>
      </w:r>
      <w:r>
        <w:rPr>
          <w:rFonts w:hint="eastAsia" w:ascii="Times New Roman" w:hAnsi="Times New Roman" w:eastAsia="宋体" w:cs="Times New Roman"/>
          <w:color w:val="000000"/>
          <w:kern w:val="2"/>
          <w:sz w:val="24"/>
          <w:szCs w:val="28"/>
          <w:lang w:val="en-US" w:eastAsia="zh-CN" w:bidi="ar-SA"/>
        </w:rPr>
        <w:t>9-2</w:t>
      </w:r>
      <w:r>
        <w:rPr>
          <w:rFonts w:ascii="Times New Roman" w:hAnsi="Times New Roman" w:eastAsia="宋体" w:cs="Times New Roman"/>
          <w:color w:val="000000"/>
          <w:kern w:val="2"/>
          <w:sz w:val="24"/>
          <w:szCs w:val="28"/>
          <w:lang w:val="en-US" w:eastAsia="zh-CN" w:bidi="ar-SA"/>
        </w:rPr>
        <w:t>可知，验收监测期间，</w:t>
      </w:r>
      <w:r>
        <w:rPr>
          <w:rFonts w:hint="eastAsia" w:ascii="Times New Roman" w:hAnsi="Times New Roman" w:eastAsia="宋体" w:cs="Times New Roman"/>
          <w:color w:val="000000"/>
          <w:kern w:val="2"/>
          <w:sz w:val="24"/>
          <w:szCs w:val="28"/>
          <w:lang w:val="en-US" w:eastAsia="zh-CN" w:bidi="ar-SA"/>
        </w:rPr>
        <w:t>废水各项检测因子均</w:t>
      </w:r>
      <w:r>
        <w:rPr>
          <w:rFonts w:ascii="Times New Roman" w:hAnsi="Times New Roman" w:eastAsia="宋体" w:cs="Times New Roman"/>
          <w:color w:val="000000"/>
          <w:kern w:val="2"/>
          <w:sz w:val="24"/>
          <w:szCs w:val="28"/>
          <w:lang w:val="en-US" w:eastAsia="zh-CN" w:bidi="ar-SA"/>
        </w:rPr>
        <w:t>满足</w:t>
      </w:r>
      <w:r>
        <w:rPr>
          <w:rFonts w:hint="eastAsia" w:ascii="Times New Roman" w:hAnsi="Times New Roman" w:eastAsia="宋体" w:cs="Times New Roman"/>
          <w:sz w:val="24"/>
        </w:rPr>
        <w:t>执行《污水</w:t>
      </w:r>
      <w:r>
        <w:rPr>
          <w:rFonts w:hint="eastAsia" w:ascii="Times New Roman" w:hAnsi="Times New Roman" w:eastAsia="宋体" w:cs="Times New Roman"/>
          <w:sz w:val="24"/>
          <w:lang w:val="en-US" w:eastAsia="zh-CN"/>
        </w:rPr>
        <w:t>综合排放</w:t>
      </w:r>
      <w:r>
        <w:rPr>
          <w:rFonts w:hint="eastAsia" w:ascii="Times New Roman" w:hAnsi="Times New Roman" w:eastAsia="宋体" w:cs="Times New Roman"/>
          <w:sz w:val="24"/>
        </w:rPr>
        <w:t>标准》（GB</w:t>
      </w:r>
      <w:r>
        <w:rPr>
          <w:rFonts w:hint="eastAsia" w:ascii="Times New Roman" w:hAnsi="Times New Roman" w:eastAsia="宋体" w:cs="Times New Roman"/>
          <w:sz w:val="24"/>
          <w:lang w:val="en-US" w:eastAsia="zh-CN"/>
        </w:rPr>
        <w:t>8978</w:t>
      </w:r>
      <w:r>
        <w:rPr>
          <w:rFonts w:hint="eastAsia" w:ascii="Times New Roman" w:hAnsi="Times New Roman" w:eastAsia="宋体" w:cs="Times New Roman"/>
          <w:sz w:val="24"/>
        </w:rPr>
        <w:t>-</w:t>
      </w:r>
      <w:r>
        <w:rPr>
          <w:rFonts w:hint="eastAsia" w:ascii="Times New Roman" w:hAnsi="Times New Roman" w:eastAsia="宋体" w:cs="Times New Roman"/>
          <w:sz w:val="24"/>
          <w:lang w:val="en-US" w:eastAsia="zh-CN"/>
        </w:rPr>
        <w:t>1996</w:t>
      </w:r>
      <w:r>
        <w:rPr>
          <w:rFonts w:hint="eastAsia" w:ascii="Times New Roman" w:hAnsi="Times New Roman" w:eastAsia="宋体" w:cs="Times New Roman"/>
          <w:sz w:val="24"/>
        </w:rPr>
        <w:t>）</w:t>
      </w:r>
      <w:r>
        <w:rPr>
          <w:rFonts w:hint="eastAsia" w:ascii="Times New Roman" w:hAnsi="Times New Roman" w:eastAsia="宋体" w:cs="Times New Roman"/>
          <w:sz w:val="24"/>
          <w:lang w:val="en-US" w:eastAsia="zh-CN"/>
        </w:rPr>
        <w:t>表2三级标准、《混装制剂类制药工业水污染物排放标准》（GB 21908-2008）中表2标准</w:t>
      </w:r>
      <w:r>
        <w:rPr>
          <w:rFonts w:hint="eastAsia" w:ascii="Times New Roman" w:hAnsi="Times New Roman" w:eastAsia="宋体" w:cs="Times New Roman"/>
          <w:sz w:val="24"/>
        </w:rPr>
        <w:t>及</w:t>
      </w:r>
      <w:r>
        <w:rPr>
          <w:rFonts w:hint="eastAsia" w:ascii="Times New Roman" w:hAnsi="Times New Roman" w:eastAsia="宋体" w:cs="Times New Roman"/>
          <w:sz w:val="24"/>
          <w:lang w:eastAsia="zh-CN"/>
        </w:rPr>
        <w:t>菏泽众兴牡丹水环境有限公司污水处理厂</w:t>
      </w:r>
      <w:r>
        <w:rPr>
          <w:rFonts w:hint="eastAsia" w:ascii="Times New Roman" w:hAnsi="Times New Roman" w:eastAsia="宋体" w:cs="Times New Roman"/>
          <w:sz w:val="24"/>
        </w:rPr>
        <w:t>接管标准</w:t>
      </w:r>
      <w:r>
        <w:rPr>
          <w:rFonts w:ascii="Times New Roman" w:hAnsi="Times New Roman" w:eastAsia="宋体" w:cs="Times New Roman"/>
          <w:color w:val="000000"/>
          <w:kern w:val="2"/>
          <w:sz w:val="24"/>
          <w:szCs w:val="28"/>
          <w:lang w:val="en-US" w:eastAsia="zh-CN" w:bidi="ar-SA"/>
        </w:rPr>
        <w:t>。</w:t>
      </w:r>
    </w:p>
    <w:bookmarkEnd w:id="71"/>
    <w:p>
      <w:pPr>
        <w:pStyle w:val="38"/>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9.2.1.2废气</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1、有组织排放</w:t>
      </w:r>
    </w:p>
    <w:p>
      <w:pPr>
        <w:widowControl w:val="0"/>
        <w:spacing w:after="0" w:line="360" w:lineRule="auto"/>
        <w:ind w:left="0" w:leftChars="0" w:firstLine="480" w:firstLineChars="200"/>
        <w:jc w:val="both"/>
        <w:rPr>
          <w:rFonts w:hint="default" w:ascii="Times New Roman" w:hAnsi="Times New Roman" w:eastAsia="宋体" w:cs="Times New Roman"/>
          <w:color w:val="000000"/>
          <w:kern w:val="2"/>
          <w:sz w:val="24"/>
          <w:szCs w:val="28"/>
          <w:lang w:val="en-US" w:eastAsia="zh-CN" w:bidi="ar-SA"/>
        </w:rPr>
      </w:pPr>
      <w:r>
        <w:rPr>
          <w:rFonts w:hint="eastAsia" w:ascii="Times New Roman" w:hAnsi="Times New Roman" w:eastAsia="宋体" w:cs="Times New Roman"/>
          <w:color w:val="000000"/>
          <w:kern w:val="2"/>
          <w:sz w:val="24"/>
          <w:szCs w:val="28"/>
          <w:lang w:val="en-US" w:eastAsia="zh-CN" w:bidi="ar-SA"/>
        </w:rPr>
        <w:t>污</w:t>
      </w:r>
      <w:r>
        <w:rPr>
          <w:rFonts w:hint="default" w:ascii="Times New Roman" w:hAnsi="Times New Roman" w:eastAsia="宋体" w:cs="Times New Roman"/>
          <w:color w:val="000000"/>
          <w:kern w:val="2"/>
          <w:sz w:val="24"/>
          <w:szCs w:val="28"/>
          <w:lang w:val="en-US" w:eastAsia="zh-CN" w:bidi="ar-SA"/>
        </w:rPr>
        <w:t>水处理站恶臭气体经</w:t>
      </w:r>
      <w:r>
        <w:rPr>
          <w:rFonts w:hint="eastAsia" w:ascii="Times New Roman" w:hAnsi="Times New Roman" w:eastAsia="宋体" w:cs="Times New Roman"/>
          <w:color w:val="000000"/>
          <w:kern w:val="2"/>
          <w:sz w:val="24"/>
          <w:szCs w:val="28"/>
          <w:lang w:val="en-US" w:eastAsia="zh-CN" w:bidi="ar-SA"/>
        </w:rPr>
        <w:t>“碱液喷淋塔+二级活性炭吸附装置”处</w:t>
      </w:r>
      <w:r>
        <w:rPr>
          <w:rFonts w:hint="default" w:ascii="Times New Roman" w:hAnsi="Times New Roman" w:eastAsia="宋体" w:cs="Times New Roman"/>
          <w:color w:val="000000"/>
          <w:kern w:val="2"/>
          <w:sz w:val="24"/>
          <w:szCs w:val="28"/>
          <w:lang w:val="en-US" w:eastAsia="zh-CN" w:bidi="ar-SA"/>
        </w:rPr>
        <w:t>理后，最终通过1根15米高的排气筒（DA001）排放；</w:t>
      </w:r>
    </w:p>
    <w:p>
      <w:pPr>
        <w:widowControl w:val="0"/>
        <w:spacing w:after="0" w:line="360" w:lineRule="auto"/>
        <w:ind w:left="0" w:leftChars="0" w:firstLine="480" w:firstLineChars="200"/>
        <w:jc w:val="both"/>
        <w:rPr>
          <w:rFonts w:hint="default" w:ascii="Times New Roman" w:hAnsi="Times New Roman" w:eastAsia="宋体" w:cs="Times New Roman"/>
          <w:color w:val="000000"/>
          <w:kern w:val="2"/>
          <w:sz w:val="24"/>
          <w:szCs w:val="28"/>
          <w:lang w:val="en-US" w:eastAsia="zh-CN" w:bidi="ar-SA"/>
        </w:rPr>
      </w:pPr>
      <w:r>
        <w:rPr>
          <w:rFonts w:hint="default" w:ascii="Times New Roman" w:hAnsi="Times New Roman" w:eastAsia="宋体" w:cs="Times New Roman"/>
          <w:color w:val="000000"/>
          <w:kern w:val="2"/>
          <w:sz w:val="24"/>
          <w:szCs w:val="28"/>
          <w:lang w:val="en-US" w:eastAsia="zh-CN" w:bidi="ar-SA"/>
        </w:rPr>
        <w:t>化验中心产生的有机废气经通风柜收集经“碱液喷淋塔+二级活性炭吸附装置”处理后，最终通过1根</w:t>
      </w:r>
      <w:r>
        <w:rPr>
          <w:rFonts w:hint="eastAsia" w:ascii="Times New Roman" w:hAnsi="Times New Roman" w:eastAsia="宋体" w:cs="Times New Roman"/>
          <w:color w:val="000000"/>
          <w:kern w:val="2"/>
          <w:sz w:val="24"/>
          <w:szCs w:val="28"/>
          <w:lang w:val="en-US" w:eastAsia="zh-CN" w:bidi="ar-SA"/>
        </w:rPr>
        <w:t>20</w:t>
      </w:r>
      <w:r>
        <w:rPr>
          <w:rFonts w:hint="default" w:ascii="Times New Roman" w:hAnsi="Times New Roman" w:eastAsia="宋体" w:cs="Times New Roman"/>
          <w:color w:val="000000"/>
          <w:kern w:val="2"/>
          <w:sz w:val="24"/>
          <w:szCs w:val="28"/>
          <w:lang w:val="en-US" w:eastAsia="zh-CN" w:bidi="ar-SA"/>
        </w:rPr>
        <w:t>米高的排气筒（DA002）排放（排气筒出口距离地面高度</w:t>
      </w:r>
      <w:r>
        <w:rPr>
          <w:rFonts w:hint="eastAsia" w:ascii="Times New Roman" w:hAnsi="Times New Roman" w:eastAsia="宋体" w:cs="Times New Roman"/>
          <w:color w:val="000000"/>
          <w:kern w:val="2"/>
          <w:sz w:val="24"/>
          <w:szCs w:val="28"/>
          <w:lang w:val="en-US" w:eastAsia="zh-CN" w:bidi="ar-SA"/>
        </w:rPr>
        <w:t>20</w:t>
      </w:r>
      <w:r>
        <w:rPr>
          <w:rFonts w:hint="default" w:ascii="Times New Roman" w:hAnsi="Times New Roman" w:eastAsia="宋体" w:cs="Times New Roman"/>
          <w:color w:val="000000"/>
          <w:kern w:val="2"/>
          <w:sz w:val="24"/>
          <w:szCs w:val="28"/>
          <w:lang w:val="en-US" w:eastAsia="zh-CN" w:bidi="ar-SA"/>
        </w:rPr>
        <w:t>m，排气筒高于楼层5米)。</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有组织废气监测结果见表9-</w:t>
      </w:r>
      <w:r>
        <w:rPr>
          <w:rFonts w:hint="eastAsia" w:cs="Times New Roman"/>
          <w:color w:val="000000"/>
          <w:sz w:val="24"/>
          <w:szCs w:val="28"/>
          <w:lang w:val="en-US" w:eastAsia="zh-CN"/>
        </w:rPr>
        <w:t>3</w:t>
      </w:r>
      <w:r>
        <w:rPr>
          <w:rFonts w:hint="default" w:ascii="Times New Roman" w:hAnsi="Times New Roman" w:eastAsia="宋体" w:cs="Times New Roman"/>
          <w:color w:val="000000"/>
          <w:sz w:val="24"/>
          <w:szCs w:val="28"/>
        </w:rPr>
        <w:t>。</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表9-</w:t>
      </w:r>
      <w:r>
        <w:rPr>
          <w:rFonts w:hint="eastAsia" w:ascii="Times New Roman" w:hAnsi="Times New Roman" w:eastAsia="宋体" w:cs="Times New Roman"/>
          <w:b/>
          <w:sz w:val="21"/>
          <w:szCs w:val="21"/>
          <w:lang w:val="en-US" w:eastAsia="zh-CN"/>
        </w:rPr>
        <w:t>3</w:t>
      </w:r>
      <w:r>
        <w:rPr>
          <w:rFonts w:hint="default" w:ascii="Times New Roman" w:hAnsi="Times New Roman" w:eastAsia="宋体" w:cs="Times New Roman"/>
          <w:b/>
          <w:sz w:val="21"/>
          <w:szCs w:val="21"/>
          <w:lang w:val="en-US" w:eastAsia="zh-CN"/>
        </w:rPr>
        <w:t xml:space="preserve">  </w:t>
      </w:r>
      <w:r>
        <w:rPr>
          <w:rFonts w:hint="eastAsia" w:ascii="Times New Roman" w:hAnsi="Times New Roman" w:eastAsia="宋体" w:cs="Times New Roman"/>
          <w:b/>
          <w:sz w:val="21"/>
          <w:szCs w:val="21"/>
          <w:lang w:val="en-US" w:eastAsia="zh-CN"/>
        </w:rPr>
        <w:t>污</w:t>
      </w:r>
      <w:r>
        <w:rPr>
          <w:rFonts w:hint="default" w:ascii="Times New Roman" w:hAnsi="Times New Roman" w:eastAsia="宋体" w:cs="Times New Roman"/>
          <w:b/>
          <w:sz w:val="21"/>
          <w:szCs w:val="21"/>
          <w:lang w:val="en-US" w:eastAsia="zh-CN"/>
        </w:rPr>
        <w:t>水处理站有组织废气监测结果汇总</w:t>
      </w:r>
    </w:p>
    <w:tbl>
      <w:tblPr>
        <w:tblStyle w:val="25"/>
        <w:tblW w:w="5000" w:type="pct"/>
        <w:jc w:val="center"/>
        <w:tblLayout w:type="fixed"/>
        <w:tblCellMar>
          <w:top w:w="15" w:type="dxa"/>
          <w:left w:w="15" w:type="dxa"/>
          <w:bottom w:w="15" w:type="dxa"/>
          <w:right w:w="15" w:type="dxa"/>
        </w:tblCellMar>
      </w:tblPr>
      <w:tblGrid>
        <w:gridCol w:w="1813"/>
        <w:gridCol w:w="750"/>
        <w:gridCol w:w="795"/>
        <w:gridCol w:w="705"/>
        <w:gridCol w:w="705"/>
        <w:gridCol w:w="735"/>
        <w:gridCol w:w="705"/>
        <w:gridCol w:w="690"/>
        <w:gridCol w:w="735"/>
        <w:gridCol w:w="703"/>
      </w:tblGrid>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z w:val="21"/>
                <w:szCs w:val="21"/>
              </w:rPr>
              <w:t>采样日期</w:t>
            </w:r>
          </w:p>
        </w:tc>
        <w:tc>
          <w:tcPr>
            <w:tcW w:w="3912" w:type="pct"/>
            <w:gridSpan w:val="9"/>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36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sz w:val="21"/>
                <w:szCs w:val="21"/>
                <w:lang w:val="en-US" w:eastAsia="zh-CN"/>
              </w:rPr>
              <w:t>2024.01.04</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sz w:val="21"/>
                <w:szCs w:val="21"/>
              </w:rPr>
            </w:pPr>
            <w:r>
              <w:rPr>
                <w:rFonts w:hint="default" w:ascii="Times New Roman" w:hAnsi="Times New Roman" w:eastAsia="宋体" w:cs="Times New Roman"/>
                <w:color w:val="auto"/>
                <w:sz w:val="21"/>
                <w:szCs w:val="21"/>
              </w:rPr>
              <w:t>检测点位</w:t>
            </w:r>
          </w:p>
        </w:tc>
        <w:tc>
          <w:tcPr>
            <w:tcW w:w="3912" w:type="pct"/>
            <w:gridSpan w:val="9"/>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污水处理站排气筒（DA001）进口</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排气筒高度</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eastAsia="zh-CN"/>
              </w:rPr>
              <w:t>内径（m）</w:t>
            </w:r>
          </w:p>
        </w:tc>
        <w:tc>
          <w:tcPr>
            <w:tcW w:w="3912" w:type="pct"/>
            <w:gridSpan w:val="9"/>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检测项目</w:t>
            </w:r>
          </w:p>
        </w:tc>
        <w:tc>
          <w:tcPr>
            <w:tcW w:w="1349"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氨</w:t>
            </w:r>
            <w:r>
              <w:rPr>
                <w:rFonts w:hint="default" w:ascii="Times New Roman" w:hAnsi="Times New Roman" w:eastAsia="宋体" w:cs="Times New Roman"/>
                <w:sz w:val="21"/>
                <w:szCs w:val="21"/>
              </w:rPr>
              <w:t>（</w:t>
            </w:r>
            <w:r>
              <w:rPr>
                <w:rFonts w:hint="default" w:ascii="Times New Roman" w:hAnsi="Times New Roman" w:eastAsia="宋体" w:cs="Times New Roman"/>
                <w:color w:val="000000"/>
                <w:sz w:val="21"/>
                <w:szCs w:val="21"/>
              </w:rPr>
              <w:t>mg/m</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sz w:val="21"/>
                <w:szCs w:val="21"/>
              </w:rPr>
              <w:t>）</w:t>
            </w:r>
          </w:p>
        </w:tc>
        <w:tc>
          <w:tcPr>
            <w:tcW w:w="1286"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硫化氢</w:t>
            </w:r>
            <w:r>
              <w:rPr>
                <w:rFonts w:hint="default" w:ascii="Times New Roman" w:hAnsi="Times New Roman" w:eastAsia="宋体" w:cs="Times New Roman"/>
                <w:sz w:val="21"/>
                <w:szCs w:val="21"/>
              </w:rPr>
              <w:t>（</w:t>
            </w:r>
            <w:r>
              <w:rPr>
                <w:rFonts w:hint="default" w:ascii="Times New Roman" w:hAnsi="Times New Roman" w:eastAsia="宋体" w:cs="Times New Roman"/>
                <w:color w:val="000000"/>
                <w:sz w:val="21"/>
                <w:szCs w:val="21"/>
              </w:rPr>
              <w:t>mg/m</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sz w:val="21"/>
                <w:szCs w:val="21"/>
              </w:rPr>
              <w:t>）</w:t>
            </w:r>
          </w:p>
        </w:tc>
        <w:tc>
          <w:tcPr>
            <w:tcW w:w="1276"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臭气浓度（无量纲）</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采样频次</w:t>
            </w:r>
          </w:p>
        </w:tc>
        <w:tc>
          <w:tcPr>
            <w:tcW w:w="449"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z w:val="21"/>
                <w:szCs w:val="21"/>
              </w:rPr>
              <w:t>第一次</w:t>
            </w:r>
          </w:p>
        </w:tc>
        <w:tc>
          <w:tcPr>
            <w:tcW w:w="476"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z w:val="21"/>
                <w:szCs w:val="21"/>
              </w:rPr>
              <w:t>第</w:t>
            </w:r>
            <w:r>
              <w:rPr>
                <w:rFonts w:hint="default" w:ascii="Times New Roman" w:hAnsi="Times New Roman" w:eastAsia="宋体" w:cs="Times New Roman"/>
                <w:sz w:val="21"/>
                <w:szCs w:val="21"/>
                <w:lang w:val="en-US" w:eastAsia="zh-CN"/>
              </w:rPr>
              <w:t>二</w:t>
            </w:r>
            <w:r>
              <w:rPr>
                <w:rFonts w:hint="default" w:ascii="Times New Roman" w:hAnsi="Times New Roman" w:eastAsia="宋体" w:cs="Times New Roman"/>
                <w:sz w:val="21"/>
                <w:szCs w:val="21"/>
              </w:rPr>
              <w:t>次</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sz w:val="21"/>
                <w:szCs w:val="21"/>
              </w:rPr>
              <w:t>第</w:t>
            </w:r>
            <w:r>
              <w:rPr>
                <w:rFonts w:hint="default" w:ascii="Times New Roman" w:hAnsi="Times New Roman" w:eastAsia="宋体" w:cs="Times New Roman"/>
                <w:sz w:val="21"/>
                <w:szCs w:val="21"/>
                <w:lang w:val="en-US" w:eastAsia="zh-CN"/>
              </w:rPr>
              <w:t>三</w:t>
            </w:r>
            <w:r>
              <w:rPr>
                <w:rFonts w:hint="default" w:ascii="Times New Roman" w:hAnsi="Times New Roman" w:eastAsia="宋体" w:cs="Times New Roman"/>
                <w:sz w:val="21"/>
                <w:szCs w:val="21"/>
              </w:rPr>
              <w:t>次</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第一次</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第</w:t>
            </w:r>
            <w:r>
              <w:rPr>
                <w:rFonts w:hint="default" w:ascii="Times New Roman" w:hAnsi="Times New Roman" w:eastAsia="宋体" w:cs="Times New Roman"/>
                <w:sz w:val="21"/>
                <w:szCs w:val="21"/>
                <w:lang w:val="en-US" w:eastAsia="zh-CN"/>
              </w:rPr>
              <w:t>二</w:t>
            </w:r>
            <w:r>
              <w:rPr>
                <w:rFonts w:hint="default" w:ascii="Times New Roman" w:hAnsi="Times New Roman" w:eastAsia="宋体" w:cs="Times New Roman"/>
                <w:sz w:val="21"/>
                <w:szCs w:val="21"/>
              </w:rPr>
              <w:t>次</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第</w:t>
            </w:r>
            <w:r>
              <w:rPr>
                <w:rFonts w:hint="default" w:ascii="Times New Roman" w:hAnsi="Times New Roman" w:eastAsia="宋体" w:cs="Times New Roman"/>
                <w:sz w:val="21"/>
                <w:szCs w:val="21"/>
                <w:lang w:val="en-US" w:eastAsia="zh-CN"/>
              </w:rPr>
              <w:t>三</w:t>
            </w:r>
            <w:r>
              <w:rPr>
                <w:rFonts w:hint="default" w:ascii="Times New Roman" w:hAnsi="Times New Roman" w:eastAsia="宋体" w:cs="Times New Roman"/>
                <w:sz w:val="21"/>
                <w:szCs w:val="21"/>
              </w:rPr>
              <w:t>次</w:t>
            </w:r>
          </w:p>
        </w:tc>
        <w:tc>
          <w:tcPr>
            <w:tcW w:w="413"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z w:val="21"/>
                <w:szCs w:val="21"/>
              </w:rPr>
              <w:t>第一次</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z w:val="21"/>
                <w:szCs w:val="21"/>
              </w:rPr>
              <w:t>第</w:t>
            </w:r>
            <w:r>
              <w:rPr>
                <w:rFonts w:hint="default" w:ascii="Times New Roman" w:hAnsi="Times New Roman" w:eastAsia="宋体" w:cs="Times New Roman"/>
                <w:sz w:val="21"/>
                <w:szCs w:val="21"/>
                <w:lang w:val="en-US" w:eastAsia="zh-CN"/>
              </w:rPr>
              <w:t>二</w:t>
            </w:r>
            <w:r>
              <w:rPr>
                <w:rFonts w:hint="default" w:ascii="Times New Roman" w:hAnsi="Times New Roman" w:eastAsia="宋体" w:cs="Times New Roman"/>
                <w:sz w:val="21"/>
                <w:szCs w:val="21"/>
              </w:rPr>
              <w:t>次</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z w:val="21"/>
                <w:szCs w:val="21"/>
              </w:rPr>
              <w:t>第</w:t>
            </w:r>
            <w:r>
              <w:rPr>
                <w:rFonts w:hint="default" w:ascii="Times New Roman" w:hAnsi="Times New Roman" w:eastAsia="宋体" w:cs="Times New Roman"/>
                <w:sz w:val="21"/>
                <w:szCs w:val="21"/>
                <w:lang w:val="en-US" w:eastAsia="zh-CN"/>
              </w:rPr>
              <w:t>三</w:t>
            </w:r>
            <w:r>
              <w:rPr>
                <w:rFonts w:hint="default" w:ascii="Times New Roman" w:hAnsi="Times New Roman" w:eastAsia="宋体" w:cs="Times New Roman"/>
                <w:sz w:val="21"/>
                <w:szCs w:val="21"/>
              </w:rPr>
              <w:t>次</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样品编号</w:t>
            </w:r>
          </w:p>
        </w:tc>
        <w:tc>
          <w:tcPr>
            <w:tcW w:w="44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HC24010303-1001</w:t>
            </w:r>
          </w:p>
        </w:tc>
        <w:tc>
          <w:tcPr>
            <w:tcW w:w="47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HC24010303-1002</w:t>
            </w:r>
          </w:p>
        </w:tc>
        <w:tc>
          <w:tcPr>
            <w:tcW w:w="4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HC24010303-1003</w:t>
            </w:r>
          </w:p>
        </w:tc>
        <w:tc>
          <w:tcPr>
            <w:tcW w:w="4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HC24010303-1004</w:t>
            </w:r>
          </w:p>
        </w:tc>
        <w:tc>
          <w:tcPr>
            <w:tcW w:w="44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HC24010303-1005</w:t>
            </w:r>
          </w:p>
        </w:tc>
        <w:tc>
          <w:tcPr>
            <w:tcW w:w="4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HC24010303-1006</w:t>
            </w:r>
          </w:p>
        </w:tc>
        <w:tc>
          <w:tcPr>
            <w:tcW w:w="41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HC24010303-1007</w:t>
            </w:r>
          </w:p>
        </w:tc>
        <w:tc>
          <w:tcPr>
            <w:tcW w:w="44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HC24010303-1008</w:t>
            </w:r>
          </w:p>
        </w:tc>
        <w:tc>
          <w:tcPr>
            <w:tcW w:w="42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HC24010303-1009</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检测结果</w:t>
            </w:r>
          </w:p>
        </w:tc>
        <w:tc>
          <w:tcPr>
            <w:tcW w:w="449"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19.5</w:t>
            </w:r>
          </w:p>
        </w:tc>
        <w:tc>
          <w:tcPr>
            <w:tcW w:w="476"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19.8</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19.4</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1.24</w:t>
            </w:r>
          </w:p>
        </w:tc>
        <w:tc>
          <w:tcPr>
            <w:tcW w:w="44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1.30</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1.27</w:t>
            </w:r>
          </w:p>
        </w:tc>
        <w:tc>
          <w:tcPr>
            <w:tcW w:w="413"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1995</w:t>
            </w:r>
          </w:p>
        </w:tc>
        <w:tc>
          <w:tcPr>
            <w:tcW w:w="44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2290</w:t>
            </w:r>
          </w:p>
        </w:tc>
        <w:tc>
          <w:tcPr>
            <w:tcW w:w="421"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1995</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标干流量（Nm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/h）</w:t>
            </w:r>
          </w:p>
        </w:tc>
        <w:tc>
          <w:tcPr>
            <w:tcW w:w="449"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714</w:t>
            </w:r>
          </w:p>
        </w:tc>
        <w:tc>
          <w:tcPr>
            <w:tcW w:w="476"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668</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668</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714</w:t>
            </w:r>
          </w:p>
        </w:tc>
        <w:tc>
          <w:tcPr>
            <w:tcW w:w="44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668</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668</w:t>
            </w:r>
          </w:p>
        </w:tc>
        <w:tc>
          <w:tcPr>
            <w:tcW w:w="413"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44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421"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spacing w:after="0"/>
              <w:jc w:val="center"/>
              <w:textAlignment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sz w:val="21"/>
                <w:szCs w:val="21"/>
              </w:rPr>
              <w:t>排放速率（kg/h）</w:t>
            </w:r>
          </w:p>
        </w:tc>
        <w:tc>
          <w:tcPr>
            <w:tcW w:w="449"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0.014 </w:t>
            </w:r>
          </w:p>
        </w:tc>
        <w:tc>
          <w:tcPr>
            <w:tcW w:w="476"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0.013 </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0.013 </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0.00089 </w:t>
            </w:r>
          </w:p>
        </w:tc>
        <w:tc>
          <w:tcPr>
            <w:tcW w:w="44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0.00087</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0.00085 </w:t>
            </w:r>
          </w:p>
        </w:tc>
        <w:tc>
          <w:tcPr>
            <w:tcW w:w="413"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44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c>
          <w:tcPr>
            <w:tcW w:w="421"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检测点位</w:t>
            </w:r>
          </w:p>
        </w:tc>
        <w:tc>
          <w:tcPr>
            <w:tcW w:w="3912" w:type="pct"/>
            <w:gridSpan w:val="9"/>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360" w:lineRule="exact"/>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污水处理站排气筒（DA001）出口</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排气筒高度</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eastAsia="zh-CN"/>
              </w:rPr>
              <w:t>内径（m）</w:t>
            </w:r>
          </w:p>
        </w:tc>
        <w:tc>
          <w:tcPr>
            <w:tcW w:w="3912" w:type="pct"/>
            <w:gridSpan w:val="9"/>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15/0.30</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检测项目</w:t>
            </w:r>
          </w:p>
        </w:tc>
        <w:tc>
          <w:tcPr>
            <w:tcW w:w="1349"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氨</w:t>
            </w:r>
            <w:r>
              <w:rPr>
                <w:rFonts w:hint="default" w:ascii="Times New Roman" w:hAnsi="Times New Roman" w:eastAsia="宋体" w:cs="Times New Roman"/>
                <w:sz w:val="21"/>
                <w:szCs w:val="21"/>
              </w:rPr>
              <w:t>（</w:t>
            </w:r>
            <w:r>
              <w:rPr>
                <w:rFonts w:hint="default" w:ascii="Times New Roman" w:hAnsi="Times New Roman" w:eastAsia="宋体" w:cs="Times New Roman"/>
                <w:color w:val="000000"/>
                <w:sz w:val="21"/>
                <w:szCs w:val="21"/>
              </w:rPr>
              <w:t>mg/m</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sz w:val="21"/>
                <w:szCs w:val="21"/>
              </w:rPr>
              <w:t>）</w:t>
            </w:r>
          </w:p>
        </w:tc>
        <w:tc>
          <w:tcPr>
            <w:tcW w:w="1286"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硫化氢</w:t>
            </w:r>
            <w:r>
              <w:rPr>
                <w:rFonts w:hint="default" w:ascii="Times New Roman" w:hAnsi="Times New Roman" w:eastAsia="宋体" w:cs="Times New Roman"/>
                <w:sz w:val="21"/>
                <w:szCs w:val="21"/>
              </w:rPr>
              <w:t>（</w:t>
            </w:r>
            <w:r>
              <w:rPr>
                <w:rFonts w:hint="default" w:ascii="Times New Roman" w:hAnsi="Times New Roman" w:eastAsia="宋体" w:cs="Times New Roman"/>
                <w:color w:val="000000"/>
                <w:sz w:val="21"/>
                <w:szCs w:val="21"/>
              </w:rPr>
              <w:t>mg/m</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sz w:val="21"/>
                <w:szCs w:val="21"/>
              </w:rPr>
              <w:t>）</w:t>
            </w:r>
          </w:p>
        </w:tc>
        <w:tc>
          <w:tcPr>
            <w:tcW w:w="1276"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臭气浓度（无量纲）</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采样频次</w:t>
            </w:r>
          </w:p>
        </w:tc>
        <w:tc>
          <w:tcPr>
            <w:tcW w:w="449"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第一次</w:t>
            </w:r>
          </w:p>
        </w:tc>
        <w:tc>
          <w:tcPr>
            <w:tcW w:w="476"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第</w:t>
            </w:r>
            <w:r>
              <w:rPr>
                <w:rFonts w:hint="default" w:ascii="Times New Roman" w:hAnsi="Times New Roman" w:eastAsia="宋体" w:cs="Times New Roman"/>
                <w:sz w:val="21"/>
                <w:szCs w:val="21"/>
                <w:lang w:val="en-US" w:eastAsia="zh-CN"/>
              </w:rPr>
              <w:t>二</w:t>
            </w:r>
            <w:r>
              <w:rPr>
                <w:rFonts w:hint="default" w:ascii="Times New Roman" w:hAnsi="Times New Roman" w:eastAsia="宋体" w:cs="Times New Roman"/>
                <w:sz w:val="21"/>
                <w:szCs w:val="21"/>
              </w:rPr>
              <w:t>次</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第</w:t>
            </w:r>
            <w:r>
              <w:rPr>
                <w:rFonts w:hint="default" w:ascii="Times New Roman" w:hAnsi="Times New Roman" w:eastAsia="宋体" w:cs="Times New Roman"/>
                <w:sz w:val="21"/>
                <w:szCs w:val="21"/>
                <w:lang w:val="en-US" w:eastAsia="zh-CN"/>
              </w:rPr>
              <w:t>三</w:t>
            </w:r>
            <w:r>
              <w:rPr>
                <w:rFonts w:hint="default" w:ascii="Times New Roman" w:hAnsi="Times New Roman" w:eastAsia="宋体" w:cs="Times New Roman"/>
                <w:sz w:val="21"/>
                <w:szCs w:val="21"/>
              </w:rPr>
              <w:t>次</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第一次</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第</w:t>
            </w:r>
            <w:r>
              <w:rPr>
                <w:rFonts w:hint="default" w:ascii="Times New Roman" w:hAnsi="Times New Roman" w:eastAsia="宋体" w:cs="Times New Roman"/>
                <w:sz w:val="21"/>
                <w:szCs w:val="21"/>
                <w:lang w:val="en-US" w:eastAsia="zh-CN"/>
              </w:rPr>
              <w:t>二</w:t>
            </w:r>
            <w:r>
              <w:rPr>
                <w:rFonts w:hint="default" w:ascii="Times New Roman" w:hAnsi="Times New Roman" w:eastAsia="宋体" w:cs="Times New Roman"/>
                <w:sz w:val="21"/>
                <w:szCs w:val="21"/>
              </w:rPr>
              <w:t>次</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第</w:t>
            </w:r>
            <w:r>
              <w:rPr>
                <w:rFonts w:hint="default" w:ascii="Times New Roman" w:hAnsi="Times New Roman" w:eastAsia="宋体" w:cs="Times New Roman"/>
                <w:sz w:val="21"/>
                <w:szCs w:val="21"/>
                <w:lang w:val="en-US" w:eastAsia="zh-CN"/>
              </w:rPr>
              <w:t>三</w:t>
            </w:r>
            <w:r>
              <w:rPr>
                <w:rFonts w:hint="default" w:ascii="Times New Roman" w:hAnsi="Times New Roman" w:eastAsia="宋体" w:cs="Times New Roman"/>
                <w:sz w:val="21"/>
                <w:szCs w:val="21"/>
              </w:rPr>
              <w:t>次</w:t>
            </w:r>
          </w:p>
        </w:tc>
        <w:tc>
          <w:tcPr>
            <w:tcW w:w="413"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第一次</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第</w:t>
            </w:r>
            <w:r>
              <w:rPr>
                <w:rFonts w:hint="default" w:ascii="Times New Roman" w:hAnsi="Times New Roman" w:eastAsia="宋体" w:cs="Times New Roman"/>
                <w:sz w:val="21"/>
                <w:szCs w:val="21"/>
                <w:lang w:val="en-US" w:eastAsia="zh-CN"/>
              </w:rPr>
              <w:t>二</w:t>
            </w:r>
            <w:r>
              <w:rPr>
                <w:rFonts w:hint="default" w:ascii="Times New Roman" w:hAnsi="Times New Roman" w:eastAsia="宋体" w:cs="Times New Roman"/>
                <w:sz w:val="21"/>
                <w:szCs w:val="21"/>
              </w:rPr>
              <w:t>次</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第</w:t>
            </w:r>
            <w:r>
              <w:rPr>
                <w:rFonts w:hint="default" w:ascii="Times New Roman" w:hAnsi="Times New Roman" w:eastAsia="宋体" w:cs="Times New Roman"/>
                <w:sz w:val="21"/>
                <w:szCs w:val="21"/>
                <w:lang w:val="en-US" w:eastAsia="zh-CN"/>
              </w:rPr>
              <w:t>三</w:t>
            </w:r>
            <w:r>
              <w:rPr>
                <w:rFonts w:hint="default" w:ascii="Times New Roman" w:hAnsi="Times New Roman" w:eastAsia="宋体" w:cs="Times New Roman"/>
                <w:sz w:val="21"/>
                <w:szCs w:val="21"/>
              </w:rPr>
              <w:t>次</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样品编号</w:t>
            </w:r>
          </w:p>
        </w:tc>
        <w:tc>
          <w:tcPr>
            <w:tcW w:w="44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HC24010303-1013</w:t>
            </w:r>
          </w:p>
        </w:tc>
        <w:tc>
          <w:tcPr>
            <w:tcW w:w="47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HC24010303-1014</w:t>
            </w:r>
          </w:p>
        </w:tc>
        <w:tc>
          <w:tcPr>
            <w:tcW w:w="4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HC24010303-1015</w:t>
            </w:r>
          </w:p>
        </w:tc>
        <w:tc>
          <w:tcPr>
            <w:tcW w:w="4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HC24010303-1017</w:t>
            </w:r>
          </w:p>
        </w:tc>
        <w:tc>
          <w:tcPr>
            <w:tcW w:w="44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HC24010303-1018</w:t>
            </w:r>
          </w:p>
        </w:tc>
        <w:tc>
          <w:tcPr>
            <w:tcW w:w="4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HC24010303-1019</w:t>
            </w:r>
          </w:p>
        </w:tc>
        <w:tc>
          <w:tcPr>
            <w:tcW w:w="41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HC24010303-1010</w:t>
            </w:r>
          </w:p>
        </w:tc>
        <w:tc>
          <w:tcPr>
            <w:tcW w:w="44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HC24010303-1011</w:t>
            </w:r>
          </w:p>
        </w:tc>
        <w:tc>
          <w:tcPr>
            <w:tcW w:w="42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HC24010303-1012</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检测结果</w:t>
            </w:r>
          </w:p>
        </w:tc>
        <w:tc>
          <w:tcPr>
            <w:tcW w:w="449"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1.52</w:t>
            </w:r>
          </w:p>
        </w:tc>
        <w:tc>
          <w:tcPr>
            <w:tcW w:w="476"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1.82</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1.61</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0.45</w:t>
            </w:r>
          </w:p>
        </w:tc>
        <w:tc>
          <w:tcPr>
            <w:tcW w:w="44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0.49</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0.47</w:t>
            </w:r>
          </w:p>
        </w:tc>
        <w:tc>
          <w:tcPr>
            <w:tcW w:w="413"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416</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549</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478</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标干流量（Nm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/h）</w:t>
            </w:r>
          </w:p>
        </w:tc>
        <w:tc>
          <w:tcPr>
            <w:tcW w:w="449"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1048</w:t>
            </w:r>
          </w:p>
        </w:tc>
        <w:tc>
          <w:tcPr>
            <w:tcW w:w="476"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1050</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1018</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1048</w:t>
            </w:r>
          </w:p>
        </w:tc>
        <w:tc>
          <w:tcPr>
            <w:tcW w:w="44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1050</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1018</w:t>
            </w:r>
          </w:p>
        </w:tc>
        <w:tc>
          <w:tcPr>
            <w:tcW w:w="413"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spacing w:after="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rPr>
              <w:t>排放速率（kg/h）</w:t>
            </w:r>
          </w:p>
        </w:tc>
        <w:tc>
          <w:tcPr>
            <w:tcW w:w="449"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0.0016</w:t>
            </w:r>
          </w:p>
        </w:tc>
        <w:tc>
          <w:tcPr>
            <w:tcW w:w="476"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0.0019 </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0.0016 </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0.00047 </w:t>
            </w:r>
          </w:p>
        </w:tc>
        <w:tc>
          <w:tcPr>
            <w:tcW w:w="440"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0.00051 </w:t>
            </w:r>
          </w:p>
        </w:tc>
        <w:tc>
          <w:tcPr>
            <w:tcW w:w="422"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 xml:space="preserve">0.00048 </w:t>
            </w:r>
          </w:p>
        </w:tc>
        <w:tc>
          <w:tcPr>
            <w:tcW w:w="413"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sz w:val="21"/>
                <w:szCs w:val="21"/>
              </w:rPr>
              <w:t>采样日期</w:t>
            </w:r>
          </w:p>
        </w:tc>
        <w:tc>
          <w:tcPr>
            <w:tcW w:w="3912" w:type="pct"/>
            <w:gridSpan w:val="9"/>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36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2024.01.05</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sz w:val="21"/>
                <w:szCs w:val="21"/>
              </w:rPr>
            </w:pPr>
            <w:r>
              <w:rPr>
                <w:rFonts w:hint="default" w:ascii="Times New Roman" w:hAnsi="Times New Roman" w:eastAsia="宋体" w:cs="Times New Roman"/>
                <w:color w:val="auto"/>
                <w:sz w:val="21"/>
                <w:szCs w:val="21"/>
              </w:rPr>
              <w:t>检测点位</w:t>
            </w:r>
          </w:p>
        </w:tc>
        <w:tc>
          <w:tcPr>
            <w:tcW w:w="3912" w:type="pct"/>
            <w:gridSpan w:val="9"/>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污水处理站排气筒（DA001）进口</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排气筒高度</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eastAsia="zh-CN"/>
              </w:rPr>
              <w:t>内径（m）</w:t>
            </w:r>
          </w:p>
        </w:tc>
        <w:tc>
          <w:tcPr>
            <w:tcW w:w="3912" w:type="pct"/>
            <w:gridSpan w:val="9"/>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检测项目</w:t>
            </w:r>
          </w:p>
        </w:tc>
        <w:tc>
          <w:tcPr>
            <w:tcW w:w="1349"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氨</w:t>
            </w:r>
            <w:r>
              <w:rPr>
                <w:rFonts w:hint="default" w:ascii="Times New Roman" w:hAnsi="Times New Roman" w:cs="Times New Roman"/>
                <w:sz w:val="21"/>
                <w:szCs w:val="21"/>
              </w:rPr>
              <w:t>（</w:t>
            </w:r>
            <w:r>
              <w:rPr>
                <w:rFonts w:hint="default" w:ascii="Times New Roman" w:hAnsi="Times New Roman" w:cs="Times New Roman"/>
                <w:color w:val="000000"/>
                <w:sz w:val="21"/>
                <w:szCs w:val="21"/>
              </w:rPr>
              <w:t>mg/m</w:t>
            </w:r>
            <w:r>
              <w:rPr>
                <w:rFonts w:hint="default" w:ascii="Times New Roman" w:hAnsi="Times New Roman" w:cs="Times New Roman"/>
                <w:color w:val="000000"/>
                <w:sz w:val="21"/>
                <w:szCs w:val="21"/>
                <w:vertAlign w:val="superscript"/>
              </w:rPr>
              <w:t>3</w:t>
            </w:r>
            <w:r>
              <w:rPr>
                <w:rFonts w:hint="default" w:ascii="Times New Roman" w:hAnsi="Times New Roman" w:cs="Times New Roman"/>
                <w:sz w:val="21"/>
                <w:szCs w:val="21"/>
              </w:rPr>
              <w:t>）</w:t>
            </w:r>
          </w:p>
        </w:tc>
        <w:tc>
          <w:tcPr>
            <w:tcW w:w="1286"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硫化氢</w:t>
            </w:r>
            <w:r>
              <w:rPr>
                <w:rFonts w:hint="default" w:ascii="Times New Roman" w:hAnsi="Times New Roman" w:cs="Times New Roman"/>
                <w:sz w:val="21"/>
                <w:szCs w:val="21"/>
              </w:rPr>
              <w:t>（</w:t>
            </w:r>
            <w:r>
              <w:rPr>
                <w:rFonts w:hint="default" w:ascii="Times New Roman" w:hAnsi="Times New Roman" w:cs="Times New Roman"/>
                <w:color w:val="000000"/>
                <w:sz w:val="21"/>
                <w:szCs w:val="21"/>
              </w:rPr>
              <w:t>mg/m</w:t>
            </w:r>
            <w:r>
              <w:rPr>
                <w:rFonts w:hint="default" w:ascii="Times New Roman" w:hAnsi="Times New Roman" w:cs="Times New Roman"/>
                <w:color w:val="000000"/>
                <w:sz w:val="21"/>
                <w:szCs w:val="21"/>
                <w:vertAlign w:val="superscript"/>
              </w:rPr>
              <w:t>3</w:t>
            </w:r>
            <w:r>
              <w:rPr>
                <w:rFonts w:hint="default" w:ascii="Times New Roman" w:hAnsi="Times New Roman" w:cs="Times New Roman"/>
                <w:sz w:val="21"/>
                <w:szCs w:val="21"/>
              </w:rPr>
              <w:t>）</w:t>
            </w:r>
          </w:p>
        </w:tc>
        <w:tc>
          <w:tcPr>
            <w:tcW w:w="1276"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臭气浓度（无量纲）</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采样频次</w:t>
            </w:r>
          </w:p>
        </w:tc>
        <w:tc>
          <w:tcPr>
            <w:tcW w:w="449"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sz w:val="21"/>
                <w:szCs w:val="21"/>
              </w:rPr>
              <w:t>第一次</w:t>
            </w:r>
          </w:p>
        </w:tc>
        <w:tc>
          <w:tcPr>
            <w:tcW w:w="476"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sz w:val="21"/>
                <w:szCs w:val="21"/>
              </w:rPr>
              <w:t>第</w:t>
            </w:r>
            <w:r>
              <w:rPr>
                <w:rFonts w:hint="default" w:ascii="Times New Roman" w:hAnsi="Times New Roman" w:cs="Times New Roman"/>
                <w:sz w:val="21"/>
                <w:szCs w:val="21"/>
                <w:lang w:val="en-US" w:eastAsia="zh-CN"/>
              </w:rPr>
              <w:t>二</w:t>
            </w:r>
            <w:r>
              <w:rPr>
                <w:rFonts w:hint="default" w:ascii="Times New Roman" w:hAnsi="Times New Roman" w:cs="Times New Roman"/>
                <w:sz w:val="21"/>
                <w:szCs w:val="21"/>
              </w:rPr>
              <w:t>次</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sz w:val="21"/>
                <w:szCs w:val="21"/>
              </w:rPr>
              <w:t>第</w:t>
            </w:r>
            <w:r>
              <w:rPr>
                <w:rFonts w:hint="default" w:ascii="Times New Roman" w:hAnsi="Times New Roman" w:cs="Times New Roman"/>
                <w:sz w:val="21"/>
                <w:szCs w:val="21"/>
                <w:lang w:val="en-US" w:eastAsia="zh-CN"/>
              </w:rPr>
              <w:t>三</w:t>
            </w:r>
            <w:r>
              <w:rPr>
                <w:rFonts w:hint="default" w:ascii="Times New Roman" w:hAnsi="Times New Roman" w:cs="Times New Roman"/>
                <w:sz w:val="21"/>
                <w:szCs w:val="21"/>
              </w:rPr>
              <w:t>次</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第一次</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第</w:t>
            </w:r>
            <w:r>
              <w:rPr>
                <w:rFonts w:hint="default" w:ascii="Times New Roman" w:hAnsi="Times New Roman" w:cs="Times New Roman"/>
                <w:sz w:val="21"/>
                <w:szCs w:val="21"/>
                <w:lang w:val="en-US" w:eastAsia="zh-CN"/>
              </w:rPr>
              <w:t>二</w:t>
            </w:r>
            <w:r>
              <w:rPr>
                <w:rFonts w:hint="default" w:ascii="Times New Roman" w:hAnsi="Times New Roman" w:cs="Times New Roman"/>
                <w:sz w:val="21"/>
                <w:szCs w:val="21"/>
              </w:rPr>
              <w:t>次</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第</w:t>
            </w:r>
            <w:r>
              <w:rPr>
                <w:rFonts w:hint="default" w:ascii="Times New Roman" w:hAnsi="Times New Roman" w:cs="Times New Roman"/>
                <w:sz w:val="21"/>
                <w:szCs w:val="21"/>
                <w:lang w:val="en-US" w:eastAsia="zh-CN"/>
              </w:rPr>
              <w:t>三</w:t>
            </w:r>
            <w:r>
              <w:rPr>
                <w:rFonts w:hint="default" w:ascii="Times New Roman" w:hAnsi="Times New Roman" w:cs="Times New Roman"/>
                <w:sz w:val="21"/>
                <w:szCs w:val="21"/>
              </w:rPr>
              <w:t>次</w:t>
            </w:r>
          </w:p>
        </w:tc>
        <w:tc>
          <w:tcPr>
            <w:tcW w:w="413"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sz w:val="21"/>
                <w:szCs w:val="21"/>
              </w:rPr>
              <w:t>第一次</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sz w:val="21"/>
                <w:szCs w:val="21"/>
              </w:rPr>
              <w:t>第</w:t>
            </w:r>
            <w:r>
              <w:rPr>
                <w:rFonts w:hint="default" w:ascii="Times New Roman" w:hAnsi="Times New Roman" w:cs="Times New Roman"/>
                <w:sz w:val="21"/>
                <w:szCs w:val="21"/>
                <w:lang w:val="en-US" w:eastAsia="zh-CN"/>
              </w:rPr>
              <w:t>二</w:t>
            </w:r>
            <w:r>
              <w:rPr>
                <w:rFonts w:hint="default" w:ascii="Times New Roman" w:hAnsi="Times New Roman" w:cs="Times New Roman"/>
                <w:sz w:val="21"/>
                <w:szCs w:val="21"/>
              </w:rPr>
              <w:t>次</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sz w:val="21"/>
                <w:szCs w:val="21"/>
              </w:rPr>
              <w:t>第</w:t>
            </w:r>
            <w:r>
              <w:rPr>
                <w:rFonts w:hint="default" w:ascii="Times New Roman" w:hAnsi="Times New Roman" w:cs="Times New Roman"/>
                <w:sz w:val="21"/>
                <w:szCs w:val="21"/>
                <w:lang w:val="en-US" w:eastAsia="zh-CN"/>
              </w:rPr>
              <w:t>三</w:t>
            </w:r>
            <w:r>
              <w:rPr>
                <w:rFonts w:hint="default" w:ascii="Times New Roman" w:hAnsi="Times New Roman" w:cs="Times New Roman"/>
                <w:sz w:val="21"/>
                <w:szCs w:val="21"/>
              </w:rPr>
              <w:t>次</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样品编号</w:t>
            </w:r>
          </w:p>
        </w:tc>
        <w:tc>
          <w:tcPr>
            <w:tcW w:w="44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HC24010303-2001</w:t>
            </w:r>
          </w:p>
        </w:tc>
        <w:tc>
          <w:tcPr>
            <w:tcW w:w="47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HC24010303-2002</w:t>
            </w:r>
          </w:p>
        </w:tc>
        <w:tc>
          <w:tcPr>
            <w:tcW w:w="4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HC24010303-2003</w:t>
            </w:r>
          </w:p>
        </w:tc>
        <w:tc>
          <w:tcPr>
            <w:tcW w:w="4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HC24010303-2004</w:t>
            </w:r>
          </w:p>
        </w:tc>
        <w:tc>
          <w:tcPr>
            <w:tcW w:w="44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HC24010303-2005</w:t>
            </w:r>
          </w:p>
        </w:tc>
        <w:tc>
          <w:tcPr>
            <w:tcW w:w="4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HC24010303-2006</w:t>
            </w:r>
          </w:p>
        </w:tc>
        <w:tc>
          <w:tcPr>
            <w:tcW w:w="41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HC24010303-2007</w:t>
            </w:r>
          </w:p>
        </w:tc>
        <w:tc>
          <w:tcPr>
            <w:tcW w:w="44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HC24010303-2008</w:t>
            </w:r>
          </w:p>
        </w:tc>
        <w:tc>
          <w:tcPr>
            <w:tcW w:w="42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HC24010303-2009</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检测结果</w:t>
            </w:r>
          </w:p>
        </w:tc>
        <w:tc>
          <w:tcPr>
            <w:tcW w:w="449" w:type="pct"/>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19.2</w:t>
            </w:r>
          </w:p>
        </w:tc>
        <w:tc>
          <w:tcPr>
            <w:tcW w:w="476"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19.6</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19.0</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1.24</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1.32</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1.23</w:t>
            </w:r>
          </w:p>
        </w:tc>
        <w:tc>
          <w:tcPr>
            <w:tcW w:w="413"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2290</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1995</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1995</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标干流量（Nm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/h）</w:t>
            </w:r>
          </w:p>
        </w:tc>
        <w:tc>
          <w:tcPr>
            <w:tcW w:w="449"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730</w:t>
            </w:r>
          </w:p>
        </w:tc>
        <w:tc>
          <w:tcPr>
            <w:tcW w:w="476"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714</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668</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730</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714</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668</w:t>
            </w:r>
          </w:p>
        </w:tc>
        <w:tc>
          <w:tcPr>
            <w:tcW w:w="413"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spacing w:after="0"/>
              <w:jc w:val="center"/>
              <w:textAlignment w:val="center"/>
              <w:rPr>
                <w:rFonts w:hint="default" w:ascii="Times New Roman" w:hAnsi="Times New Roman" w:eastAsia="宋体" w:cs="Times New Roman"/>
                <w:color w:val="000000"/>
                <w:sz w:val="21"/>
                <w:szCs w:val="21"/>
                <w:lang w:val="en-US" w:eastAsia="zh-CN" w:bidi="ar-SA"/>
              </w:rPr>
            </w:pPr>
            <w:r>
              <w:rPr>
                <w:rFonts w:hint="default" w:ascii="Times New Roman" w:hAnsi="Times New Roman" w:eastAsia="宋体" w:cs="Times New Roman"/>
                <w:sz w:val="21"/>
                <w:szCs w:val="21"/>
              </w:rPr>
              <w:t>排放速率（kg/h）</w:t>
            </w:r>
          </w:p>
        </w:tc>
        <w:tc>
          <w:tcPr>
            <w:tcW w:w="449"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 xml:space="preserve">0.014 </w:t>
            </w:r>
          </w:p>
        </w:tc>
        <w:tc>
          <w:tcPr>
            <w:tcW w:w="476"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 xml:space="preserve">0.014 </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 xml:space="preserve">0.013 </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 xml:space="preserve">0.00091 </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 xml:space="preserve">0.00094 </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 xml:space="preserve">0.00082 </w:t>
            </w:r>
          </w:p>
        </w:tc>
        <w:tc>
          <w:tcPr>
            <w:tcW w:w="413"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color w:val="auto"/>
                <w:sz w:val="21"/>
                <w:szCs w:val="21"/>
              </w:rPr>
              <w:t>检测点位</w:t>
            </w:r>
          </w:p>
        </w:tc>
        <w:tc>
          <w:tcPr>
            <w:tcW w:w="3912" w:type="pct"/>
            <w:gridSpan w:val="9"/>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360" w:lineRule="exact"/>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污水处理站排气筒（DA001）</w:t>
            </w:r>
            <w:r>
              <w:rPr>
                <w:rFonts w:hint="eastAsia" w:ascii="Times New Roman" w:hAnsi="Times New Roman" w:cs="Times New Roman"/>
                <w:sz w:val="21"/>
                <w:szCs w:val="21"/>
                <w:lang w:val="en-US" w:eastAsia="zh-CN"/>
              </w:rPr>
              <w:t>出</w:t>
            </w:r>
            <w:r>
              <w:rPr>
                <w:rFonts w:hint="eastAsia" w:ascii="Times New Roman" w:hAnsi="Times New Roman" w:eastAsia="宋体" w:cs="Times New Roman"/>
                <w:sz w:val="21"/>
                <w:szCs w:val="21"/>
                <w:lang w:val="en-US" w:eastAsia="zh-CN"/>
              </w:rPr>
              <w:t>口</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排气筒高度</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eastAsia="zh-CN"/>
              </w:rPr>
              <w:t>内径（m）</w:t>
            </w:r>
          </w:p>
        </w:tc>
        <w:tc>
          <w:tcPr>
            <w:tcW w:w="3912" w:type="pct"/>
            <w:gridSpan w:val="9"/>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15/0.30</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检测项目</w:t>
            </w:r>
          </w:p>
        </w:tc>
        <w:tc>
          <w:tcPr>
            <w:tcW w:w="1349"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氨</w:t>
            </w:r>
            <w:r>
              <w:rPr>
                <w:rFonts w:hint="default" w:ascii="Times New Roman" w:hAnsi="Times New Roman" w:cs="Times New Roman"/>
                <w:sz w:val="21"/>
                <w:szCs w:val="21"/>
              </w:rPr>
              <w:t>（</w:t>
            </w:r>
            <w:r>
              <w:rPr>
                <w:rFonts w:hint="default" w:ascii="Times New Roman" w:hAnsi="Times New Roman" w:cs="Times New Roman"/>
                <w:color w:val="000000"/>
                <w:sz w:val="21"/>
                <w:szCs w:val="21"/>
              </w:rPr>
              <w:t>mg/m</w:t>
            </w:r>
            <w:r>
              <w:rPr>
                <w:rFonts w:hint="default" w:ascii="Times New Roman" w:hAnsi="Times New Roman" w:cs="Times New Roman"/>
                <w:color w:val="000000"/>
                <w:sz w:val="21"/>
                <w:szCs w:val="21"/>
                <w:vertAlign w:val="superscript"/>
              </w:rPr>
              <w:t>3</w:t>
            </w:r>
            <w:r>
              <w:rPr>
                <w:rFonts w:hint="default" w:ascii="Times New Roman" w:hAnsi="Times New Roman" w:cs="Times New Roman"/>
                <w:sz w:val="21"/>
                <w:szCs w:val="21"/>
              </w:rPr>
              <w:t>）</w:t>
            </w:r>
          </w:p>
        </w:tc>
        <w:tc>
          <w:tcPr>
            <w:tcW w:w="1286"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硫化氢</w:t>
            </w:r>
            <w:r>
              <w:rPr>
                <w:rFonts w:hint="default" w:ascii="Times New Roman" w:hAnsi="Times New Roman" w:cs="Times New Roman"/>
                <w:sz w:val="21"/>
                <w:szCs w:val="21"/>
              </w:rPr>
              <w:t>（</w:t>
            </w:r>
            <w:r>
              <w:rPr>
                <w:rFonts w:hint="default" w:ascii="Times New Roman" w:hAnsi="Times New Roman" w:cs="Times New Roman"/>
                <w:color w:val="000000"/>
                <w:sz w:val="21"/>
                <w:szCs w:val="21"/>
              </w:rPr>
              <w:t>mg/m</w:t>
            </w:r>
            <w:r>
              <w:rPr>
                <w:rFonts w:hint="default" w:ascii="Times New Roman" w:hAnsi="Times New Roman" w:cs="Times New Roman"/>
                <w:color w:val="000000"/>
                <w:sz w:val="21"/>
                <w:szCs w:val="21"/>
                <w:vertAlign w:val="superscript"/>
              </w:rPr>
              <w:t>3</w:t>
            </w:r>
            <w:r>
              <w:rPr>
                <w:rFonts w:hint="default" w:ascii="Times New Roman" w:hAnsi="Times New Roman" w:cs="Times New Roman"/>
                <w:sz w:val="21"/>
                <w:szCs w:val="21"/>
              </w:rPr>
              <w:t>）</w:t>
            </w:r>
          </w:p>
        </w:tc>
        <w:tc>
          <w:tcPr>
            <w:tcW w:w="1276"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臭气浓度（无量纲）</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采样频次</w:t>
            </w:r>
          </w:p>
        </w:tc>
        <w:tc>
          <w:tcPr>
            <w:tcW w:w="449"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第一次</w:t>
            </w:r>
          </w:p>
        </w:tc>
        <w:tc>
          <w:tcPr>
            <w:tcW w:w="476"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第</w:t>
            </w:r>
            <w:r>
              <w:rPr>
                <w:rFonts w:hint="default" w:ascii="Times New Roman" w:hAnsi="Times New Roman" w:cs="Times New Roman"/>
                <w:sz w:val="21"/>
                <w:szCs w:val="21"/>
                <w:lang w:val="en-US" w:eastAsia="zh-CN"/>
              </w:rPr>
              <w:t>二</w:t>
            </w:r>
            <w:r>
              <w:rPr>
                <w:rFonts w:hint="default" w:ascii="Times New Roman" w:hAnsi="Times New Roman" w:cs="Times New Roman"/>
                <w:sz w:val="21"/>
                <w:szCs w:val="21"/>
              </w:rPr>
              <w:t>次</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第</w:t>
            </w:r>
            <w:r>
              <w:rPr>
                <w:rFonts w:hint="default" w:ascii="Times New Roman" w:hAnsi="Times New Roman" w:cs="Times New Roman"/>
                <w:sz w:val="21"/>
                <w:szCs w:val="21"/>
                <w:lang w:val="en-US" w:eastAsia="zh-CN"/>
              </w:rPr>
              <w:t>三</w:t>
            </w:r>
            <w:r>
              <w:rPr>
                <w:rFonts w:hint="default" w:ascii="Times New Roman" w:hAnsi="Times New Roman" w:cs="Times New Roman"/>
                <w:sz w:val="21"/>
                <w:szCs w:val="21"/>
              </w:rPr>
              <w:t>次</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第一次</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第</w:t>
            </w:r>
            <w:r>
              <w:rPr>
                <w:rFonts w:hint="default" w:ascii="Times New Roman" w:hAnsi="Times New Roman" w:cs="Times New Roman"/>
                <w:sz w:val="21"/>
                <w:szCs w:val="21"/>
                <w:lang w:val="en-US" w:eastAsia="zh-CN"/>
              </w:rPr>
              <w:t>二</w:t>
            </w:r>
            <w:r>
              <w:rPr>
                <w:rFonts w:hint="default" w:ascii="Times New Roman" w:hAnsi="Times New Roman" w:cs="Times New Roman"/>
                <w:sz w:val="21"/>
                <w:szCs w:val="21"/>
              </w:rPr>
              <w:t>次</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第</w:t>
            </w:r>
            <w:r>
              <w:rPr>
                <w:rFonts w:hint="default" w:ascii="Times New Roman" w:hAnsi="Times New Roman" w:cs="Times New Roman"/>
                <w:sz w:val="21"/>
                <w:szCs w:val="21"/>
                <w:lang w:val="en-US" w:eastAsia="zh-CN"/>
              </w:rPr>
              <w:t>三</w:t>
            </w:r>
            <w:r>
              <w:rPr>
                <w:rFonts w:hint="default" w:ascii="Times New Roman" w:hAnsi="Times New Roman" w:cs="Times New Roman"/>
                <w:sz w:val="21"/>
                <w:szCs w:val="21"/>
              </w:rPr>
              <w:t>次</w:t>
            </w:r>
          </w:p>
        </w:tc>
        <w:tc>
          <w:tcPr>
            <w:tcW w:w="413"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eastAsia"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第一次</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第</w:t>
            </w:r>
            <w:r>
              <w:rPr>
                <w:rFonts w:hint="default" w:ascii="Times New Roman" w:hAnsi="Times New Roman" w:cs="Times New Roman"/>
                <w:sz w:val="21"/>
                <w:szCs w:val="21"/>
                <w:lang w:val="en-US" w:eastAsia="zh-CN"/>
              </w:rPr>
              <w:t>二</w:t>
            </w:r>
            <w:r>
              <w:rPr>
                <w:rFonts w:hint="default" w:ascii="Times New Roman" w:hAnsi="Times New Roman" w:cs="Times New Roman"/>
                <w:sz w:val="21"/>
                <w:szCs w:val="21"/>
              </w:rPr>
              <w:t>次</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cs="Times New Roman" w:eastAsiaTheme="minorEastAsia"/>
                <w:kern w:val="2"/>
                <w:sz w:val="21"/>
                <w:szCs w:val="21"/>
                <w:lang w:val="en-US" w:eastAsia="zh-CN" w:bidi="ar-SA"/>
              </w:rPr>
            </w:pPr>
            <w:r>
              <w:rPr>
                <w:rFonts w:hint="default" w:ascii="Times New Roman" w:hAnsi="Times New Roman" w:cs="Times New Roman"/>
                <w:sz w:val="21"/>
                <w:szCs w:val="21"/>
              </w:rPr>
              <w:t>第</w:t>
            </w:r>
            <w:r>
              <w:rPr>
                <w:rFonts w:hint="default" w:ascii="Times New Roman" w:hAnsi="Times New Roman" w:cs="Times New Roman"/>
                <w:sz w:val="21"/>
                <w:szCs w:val="21"/>
                <w:lang w:val="en-US" w:eastAsia="zh-CN"/>
              </w:rPr>
              <w:t>三</w:t>
            </w:r>
            <w:r>
              <w:rPr>
                <w:rFonts w:hint="default" w:ascii="Times New Roman" w:hAnsi="Times New Roman" w:cs="Times New Roman"/>
                <w:sz w:val="21"/>
                <w:szCs w:val="21"/>
              </w:rPr>
              <w:t>次</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样品编号</w:t>
            </w:r>
          </w:p>
        </w:tc>
        <w:tc>
          <w:tcPr>
            <w:tcW w:w="44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HC24010303-2013</w:t>
            </w:r>
          </w:p>
        </w:tc>
        <w:tc>
          <w:tcPr>
            <w:tcW w:w="47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HC24010303-2014</w:t>
            </w:r>
          </w:p>
        </w:tc>
        <w:tc>
          <w:tcPr>
            <w:tcW w:w="4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HC24010303-2015</w:t>
            </w:r>
          </w:p>
        </w:tc>
        <w:tc>
          <w:tcPr>
            <w:tcW w:w="4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HC24010303-2017</w:t>
            </w:r>
          </w:p>
        </w:tc>
        <w:tc>
          <w:tcPr>
            <w:tcW w:w="44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HC24010303-2018</w:t>
            </w:r>
          </w:p>
        </w:tc>
        <w:tc>
          <w:tcPr>
            <w:tcW w:w="42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HC24010303-2019</w:t>
            </w:r>
          </w:p>
        </w:tc>
        <w:tc>
          <w:tcPr>
            <w:tcW w:w="41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HC24010303-2010</w:t>
            </w:r>
          </w:p>
        </w:tc>
        <w:tc>
          <w:tcPr>
            <w:tcW w:w="44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HC24010303-2011</w:t>
            </w:r>
          </w:p>
        </w:tc>
        <w:tc>
          <w:tcPr>
            <w:tcW w:w="421"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HC24010303-2012</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检测结果</w:t>
            </w:r>
          </w:p>
        </w:tc>
        <w:tc>
          <w:tcPr>
            <w:tcW w:w="449"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1.50</w:t>
            </w:r>
          </w:p>
        </w:tc>
        <w:tc>
          <w:tcPr>
            <w:tcW w:w="476"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1.66</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1.54</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0.42</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0.46</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0.44</w:t>
            </w:r>
          </w:p>
        </w:tc>
        <w:tc>
          <w:tcPr>
            <w:tcW w:w="413"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478</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549</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478</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widowControl/>
              <w:adjustRightInd w:val="0"/>
              <w:snapToGrid w:val="0"/>
              <w:spacing w:line="360" w:lineRule="exac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标干流量（Nm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/h）</w:t>
            </w:r>
          </w:p>
        </w:tc>
        <w:tc>
          <w:tcPr>
            <w:tcW w:w="449"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1008</w:t>
            </w:r>
          </w:p>
        </w:tc>
        <w:tc>
          <w:tcPr>
            <w:tcW w:w="476"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1045</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1045</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1008</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1045</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1045</w:t>
            </w:r>
          </w:p>
        </w:tc>
        <w:tc>
          <w:tcPr>
            <w:tcW w:w="413"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r>
        <w:tblPrEx>
          <w:tblCellMar>
            <w:top w:w="15" w:type="dxa"/>
            <w:left w:w="15" w:type="dxa"/>
            <w:bottom w:w="15" w:type="dxa"/>
            <w:right w:w="15" w:type="dxa"/>
          </w:tblCellMar>
        </w:tblPrEx>
        <w:trPr>
          <w:trHeight w:val="340" w:hRule="atLeast"/>
          <w:jc w:val="center"/>
        </w:trPr>
        <w:tc>
          <w:tcPr>
            <w:tcW w:w="1087" w:type="pct"/>
            <w:tcBorders>
              <w:top w:val="single" w:color="auto" w:sz="4" w:space="0"/>
              <w:left w:val="single" w:color="auto" w:sz="4" w:space="0"/>
              <w:bottom w:val="single" w:color="auto" w:sz="4" w:space="0"/>
              <w:right w:val="single" w:color="auto" w:sz="4" w:space="0"/>
            </w:tcBorders>
            <w:noWrap w:val="0"/>
            <w:vAlign w:val="center"/>
          </w:tcPr>
          <w:p>
            <w:pPr>
              <w:spacing w:after="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sz w:val="21"/>
                <w:szCs w:val="21"/>
              </w:rPr>
              <w:t>排放速率（kg/h）</w:t>
            </w:r>
          </w:p>
        </w:tc>
        <w:tc>
          <w:tcPr>
            <w:tcW w:w="449"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 xml:space="preserve">0.0015 </w:t>
            </w:r>
          </w:p>
        </w:tc>
        <w:tc>
          <w:tcPr>
            <w:tcW w:w="476"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 xml:space="preserve">0.0017 </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 xml:space="preserve">0.0016 </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 xml:space="preserve">0.00042 </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 xml:space="preserve">0.00048 </w:t>
            </w:r>
          </w:p>
        </w:tc>
        <w:tc>
          <w:tcPr>
            <w:tcW w:w="422"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 xml:space="preserve">0.00046 </w:t>
            </w:r>
          </w:p>
        </w:tc>
        <w:tc>
          <w:tcPr>
            <w:tcW w:w="413"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44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c>
          <w:tcPr>
            <w:tcW w:w="421"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eastAsia" w:ascii="Times New Roman" w:hAnsi="Times New Roman" w:eastAsia="宋体" w:cs="Times New Roman"/>
                <w:kern w:val="2"/>
                <w:sz w:val="21"/>
                <w:szCs w:val="21"/>
                <w:lang w:val="en-US" w:eastAsia="zh-CN" w:bidi="ar-SA"/>
              </w:rPr>
            </w:pPr>
            <w:r>
              <w:rPr>
                <w:rFonts w:hint="eastAsia" w:ascii="Times New Roman" w:hAnsi="Times New Roman" w:eastAsia="宋体" w:cs="Times New Roman"/>
                <w:kern w:val="2"/>
                <w:sz w:val="21"/>
                <w:szCs w:val="21"/>
                <w:lang w:val="en-US" w:eastAsia="zh-CN" w:bidi="ar-SA"/>
              </w:rPr>
              <w:t>/</w:t>
            </w:r>
          </w:p>
        </w:tc>
      </w:tr>
    </w:tbl>
    <w:p>
      <w:pPr>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kern w:val="2"/>
          <w:sz w:val="21"/>
          <w:szCs w:val="21"/>
          <w:lang w:val="en-US" w:eastAsia="zh-CN" w:bidi="ar-SA"/>
        </w:rPr>
      </w:pPr>
      <w:r>
        <w:rPr>
          <w:rFonts w:hint="default" w:ascii="Times New Roman" w:hAnsi="Times New Roman" w:eastAsia="宋体" w:cs="Times New Roman"/>
          <w:b/>
          <w:kern w:val="2"/>
          <w:sz w:val="21"/>
          <w:szCs w:val="21"/>
          <w:lang w:val="en-US" w:eastAsia="zh-CN" w:bidi="ar-SA"/>
        </w:rPr>
        <w:t>表9-</w:t>
      </w:r>
      <w:r>
        <w:rPr>
          <w:rFonts w:hint="eastAsia" w:ascii="Times New Roman" w:hAnsi="Times New Roman" w:eastAsia="宋体" w:cs="Times New Roman"/>
          <w:b/>
          <w:kern w:val="2"/>
          <w:sz w:val="21"/>
          <w:szCs w:val="21"/>
          <w:lang w:val="en-US" w:eastAsia="zh-CN" w:bidi="ar-SA"/>
        </w:rPr>
        <w:t>4</w:t>
      </w:r>
      <w:r>
        <w:rPr>
          <w:rFonts w:hint="default" w:ascii="Times New Roman" w:hAnsi="Times New Roman" w:eastAsia="宋体" w:cs="Times New Roman"/>
          <w:b/>
          <w:kern w:val="2"/>
          <w:sz w:val="21"/>
          <w:szCs w:val="21"/>
          <w:lang w:val="en-US" w:eastAsia="zh-CN" w:bidi="ar-SA"/>
        </w:rPr>
        <w:t xml:space="preserve">  化验中心有组织废气监测结果汇总</w:t>
      </w:r>
    </w:p>
    <w:tbl>
      <w:tblPr>
        <w:tblStyle w:val="25"/>
        <w:tblW w:w="5000" w:type="pct"/>
        <w:jc w:val="center"/>
        <w:tblLayout w:type="fixed"/>
        <w:tblCellMar>
          <w:top w:w="15" w:type="dxa"/>
          <w:left w:w="15" w:type="dxa"/>
          <w:bottom w:w="15" w:type="dxa"/>
          <w:right w:w="15" w:type="dxa"/>
        </w:tblCellMar>
      </w:tblPr>
      <w:tblGrid>
        <w:gridCol w:w="2518"/>
        <w:gridCol w:w="945"/>
        <w:gridCol w:w="1035"/>
        <w:gridCol w:w="960"/>
        <w:gridCol w:w="1095"/>
        <w:gridCol w:w="915"/>
        <w:gridCol w:w="868"/>
      </w:tblGrid>
      <w:tr>
        <w:tblPrEx>
          <w:tblCellMar>
            <w:top w:w="15" w:type="dxa"/>
            <w:left w:w="15" w:type="dxa"/>
            <w:bottom w:w="15" w:type="dxa"/>
            <w:right w:w="15" w:type="dxa"/>
          </w:tblCellMar>
        </w:tblPrEx>
        <w:trPr>
          <w:trHeight w:val="340" w:hRule="atLeast"/>
          <w:jc w:val="center"/>
        </w:trPr>
        <w:tc>
          <w:tcPr>
            <w:tcW w:w="151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采样日期</w:t>
            </w:r>
          </w:p>
        </w:tc>
        <w:tc>
          <w:tcPr>
            <w:tcW w:w="3489" w:type="pct"/>
            <w:gridSpan w:val="6"/>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2024.01.04</w:t>
            </w:r>
          </w:p>
        </w:tc>
      </w:tr>
      <w:tr>
        <w:tblPrEx>
          <w:tblCellMar>
            <w:top w:w="15" w:type="dxa"/>
            <w:left w:w="15" w:type="dxa"/>
            <w:bottom w:w="15" w:type="dxa"/>
            <w:right w:w="15" w:type="dxa"/>
          </w:tblCellMar>
        </w:tblPrEx>
        <w:trPr>
          <w:trHeight w:val="340" w:hRule="atLeast"/>
          <w:jc w:val="center"/>
        </w:trPr>
        <w:tc>
          <w:tcPr>
            <w:tcW w:w="151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检测项目</w:t>
            </w:r>
          </w:p>
        </w:tc>
        <w:tc>
          <w:tcPr>
            <w:tcW w:w="3489" w:type="pct"/>
            <w:gridSpan w:val="6"/>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VOCs（以非甲烷总烃计）</w:t>
            </w:r>
          </w:p>
        </w:tc>
      </w:tr>
      <w:tr>
        <w:tblPrEx>
          <w:tblCellMar>
            <w:top w:w="15" w:type="dxa"/>
            <w:left w:w="15" w:type="dxa"/>
            <w:bottom w:w="15" w:type="dxa"/>
            <w:right w:w="15" w:type="dxa"/>
          </w:tblCellMar>
        </w:tblPrEx>
        <w:trPr>
          <w:trHeight w:val="340" w:hRule="atLeast"/>
          <w:jc w:val="center"/>
        </w:trPr>
        <w:tc>
          <w:tcPr>
            <w:tcW w:w="1510"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检测点位</w:t>
            </w:r>
          </w:p>
        </w:tc>
        <w:tc>
          <w:tcPr>
            <w:tcW w:w="1763"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化验中心排气筒（DA002）进口</w:t>
            </w:r>
          </w:p>
        </w:tc>
        <w:tc>
          <w:tcPr>
            <w:tcW w:w="1726"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化验中心排气筒（DA002）出口</w:t>
            </w:r>
          </w:p>
        </w:tc>
      </w:tr>
      <w:tr>
        <w:tblPrEx>
          <w:tblCellMar>
            <w:top w:w="15" w:type="dxa"/>
            <w:left w:w="15" w:type="dxa"/>
            <w:bottom w:w="15" w:type="dxa"/>
            <w:right w:w="15" w:type="dxa"/>
          </w:tblCellMar>
        </w:tblPrEx>
        <w:trPr>
          <w:trHeight w:val="340" w:hRule="atLeast"/>
          <w:jc w:val="center"/>
        </w:trPr>
        <w:tc>
          <w:tcPr>
            <w:tcW w:w="1510"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排气筒高度</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eastAsia="zh-CN"/>
              </w:rPr>
              <w:t>内径（m）</w:t>
            </w:r>
          </w:p>
        </w:tc>
        <w:tc>
          <w:tcPr>
            <w:tcW w:w="1763"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1726"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20/0.30</w:t>
            </w:r>
          </w:p>
        </w:tc>
      </w:tr>
      <w:tr>
        <w:tblPrEx>
          <w:tblCellMar>
            <w:top w:w="15" w:type="dxa"/>
            <w:left w:w="15" w:type="dxa"/>
            <w:bottom w:w="15" w:type="dxa"/>
            <w:right w:w="15" w:type="dxa"/>
          </w:tblCellMar>
        </w:tblPrEx>
        <w:trPr>
          <w:trHeight w:val="340" w:hRule="atLeast"/>
          <w:jc w:val="center"/>
        </w:trPr>
        <w:tc>
          <w:tcPr>
            <w:tcW w:w="1510"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样品编号</w:t>
            </w:r>
          </w:p>
        </w:tc>
        <w:tc>
          <w:tcPr>
            <w:tcW w:w="56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HC24010303-1021</w:t>
            </w:r>
          </w:p>
        </w:tc>
        <w:tc>
          <w:tcPr>
            <w:tcW w:w="6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HC24010303-1022</w:t>
            </w:r>
          </w:p>
        </w:tc>
        <w:tc>
          <w:tcPr>
            <w:tcW w:w="57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HC24010303-1023</w:t>
            </w:r>
          </w:p>
        </w:tc>
        <w:tc>
          <w:tcPr>
            <w:tcW w:w="65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HC24010303-1024</w:t>
            </w:r>
          </w:p>
        </w:tc>
        <w:tc>
          <w:tcPr>
            <w:tcW w:w="5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HC24010303-1025</w:t>
            </w:r>
          </w:p>
        </w:tc>
        <w:tc>
          <w:tcPr>
            <w:tcW w:w="5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HC24010303-1026</w:t>
            </w:r>
          </w:p>
        </w:tc>
      </w:tr>
      <w:tr>
        <w:tblPrEx>
          <w:tblCellMar>
            <w:top w:w="15" w:type="dxa"/>
            <w:left w:w="15" w:type="dxa"/>
            <w:bottom w:w="15" w:type="dxa"/>
            <w:right w:w="15" w:type="dxa"/>
          </w:tblCellMar>
        </w:tblPrEx>
        <w:trPr>
          <w:trHeight w:val="340" w:hRule="atLeast"/>
          <w:jc w:val="center"/>
        </w:trPr>
        <w:tc>
          <w:tcPr>
            <w:tcW w:w="1510"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检测结果</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56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14.0</w:t>
            </w:r>
          </w:p>
        </w:tc>
        <w:tc>
          <w:tcPr>
            <w:tcW w:w="6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12.7</w:t>
            </w:r>
          </w:p>
        </w:tc>
        <w:tc>
          <w:tcPr>
            <w:tcW w:w="57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11.8</w:t>
            </w:r>
          </w:p>
        </w:tc>
        <w:tc>
          <w:tcPr>
            <w:tcW w:w="65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1.56</w:t>
            </w:r>
          </w:p>
        </w:tc>
        <w:tc>
          <w:tcPr>
            <w:tcW w:w="5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1.54</w:t>
            </w:r>
          </w:p>
        </w:tc>
        <w:tc>
          <w:tcPr>
            <w:tcW w:w="5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1.56</w:t>
            </w:r>
          </w:p>
        </w:tc>
      </w:tr>
      <w:tr>
        <w:tblPrEx>
          <w:tblCellMar>
            <w:top w:w="15" w:type="dxa"/>
            <w:left w:w="15" w:type="dxa"/>
            <w:bottom w:w="15" w:type="dxa"/>
            <w:right w:w="15" w:type="dxa"/>
          </w:tblCellMar>
        </w:tblPrEx>
        <w:trPr>
          <w:trHeight w:val="340" w:hRule="atLeast"/>
          <w:jc w:val="center"/>
        </w:trPr>
        <w:tc>
          <w:tcPr>
            <w:tcW w:w="1510" w:type="pct"/>
            <w:tcBorders>
              <w:top w:val="single" w:color="auto" w:sz="4" w:space="0"/>
              <w:left w:val="single" w:color="auto" w:sz="4" w:space="0"/>
              <w:bottom w:val="single" w:color="auto" w:sz="4" w:space="0"/>
              <w:right w:val="single" w:color="auto" w:sz="4" w:space="0"/>
            </w:tcBorders>
            <w:noWrap w:val="0"/>
            <w:vAlign w:val="center"/>
          </w:tcPr>
          <w:p>
            <w:pPr>
              <w:spacing w:after="0"/>
              <w:jc w:val="center"/>
              <w:textAlignment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标干流量（Nm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56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615</w:t>
            </w:r>
          </w:p>
        </w:tc>
        <w:tc>
          <w:tcPr>
            <w:tcW w:w="6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664</w:t>
            </w:r>
          </w:p>
        </w:tc>
        <w:tc>
          <w:tcPr>
            <w:tcW w:w="57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615</w:t>
            </w:r>
          </w:p>
        </w:tc>
        <w:tc>
          <w:tcPr>
            <w:tcW w:w="65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615</w:t>
            </w:r>
          </w:p>
        </w:tc>
        <w:tc>
          <w:tcPr>
            <w:tcW w:w="5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664</w:t>
            </w:r>
          </w:p>
        </w:tc>
        <w:tc>
          <w:tcPr>
            <w:tcW w:w="5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615</w:t>
            </w:r>
          </w:p>
        </w:tc>
      </w:tr>
      <w:tr>
        <w:tblPrEx>
          <w:tblCellMar>
            <w:top w:w="15" w:type="dxa"/>
            <w:left w:w="15" w:type="dxa"/>
            <w:bottom w:w="15" w:type="dxa"/>
            <w:right w:w="15" w:type="dxa"/>
          </w:tblCellMar>
        </w:tblPrEx>
        <w:trPr>
          <w:trHeight w:val="340" w:hRule="atLeast"/>
          <w:jc w:val="center"/>
        </w:trPr>
        <w:tc>
          <w:tcPr>
            <w:tcW w:w="1510" w:type="pct"/>
            <w:tcBorders>
              <w:top w:val="single" w:color="auto" w:sz="4" w:space="0"/>
              <w:left w:val="single" w:color="auto" w:sz="4" w:space="0"/>
              <w:bottom w:val="single" w:color="auto" w:sz="4" w:space="0"/>
              <w:right w:val="single" w:color="auto" w:sz="4" w:space="0"/>
            </w:tcBorders>
            <w:noWrap w:val="0"/>
            <w:vAlign w:val="center"/>
          </w:tcPr>
          <w:p>
            <w:pPr>
              <w:spacing w:after="0"/>
              <w:jc w:val="center"/>
              <w:textAlignment w:val="center"/>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rPr>
              <w:t>排放速率（kg/h）</w:t>
            </w:r>
          </w:p>
        </w:tc>
        <w:tc>
          <w:tcPr>
            <w:tcW w:w="56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0.0086</w:t>
            </w:r>
          </w:p>
        </w:tc>
        <w:tc>
          <w:tcPr>
            <w:tcW w:w="6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0.0084</w:t>
            </w:r>
          </w:p>
        </w:tc>
        <w:tc>
          <w:tcPr>
            <w:tcW w:w="57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0.0073</w:t>
            </w:r>
          </w:p>
        </w:tc>
        <w:tc>
          <w:tcPr>
            <w:tcW w:w="65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0.00096</w:t>
            </w:r>
          </w:p>
        </w:tc>
        <w:tc>
          <w:tcPr>
            <w:tcW w:w="5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0.0010</w:t>
            </w:r>
          </w:p>
        </w:tc>
        <w:tc>
          <w:tcPr>
            <w:tcW w:w="5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0.00096</w:t>
            </w:r>
          </w:p>
        </w:tc>
      </w:tr>
      <w:tr>
        <w:tblPrEx>
          <w:tblCellMar>
            <w:top w:w="15" w:type="dxa"/>
            <w:left w:w="15" w:type="dxa"/>
            <w:bottom w:w="15" w:type="dxa"/>
            <w:right w:w="15" w:type="dxa"/>
          </w:tblCellMar>
        </w:tblPrEx>
        <w:trPr>
          <w:trHeight w:val="340" w:hRule="atLeast"/>
          <w:jc w:val="center"/>
        </w:trPr>
        <w:tc>
          <w:tcPr>
            <w:tcW w:w="151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采样日期</w:t>
            </w:r>
          </w:p>
        </w:tc>
        <w:tc>
          <w:tcPr>
            <w:tcW w:w="3489" w:type="pct"/>
            <w:gridSpan w:val="6"/>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2024.01.05</w:t>
            </w:r>
          </w:p>
        </w:tc>
      </w:tr>
      <w:tr>
        <w:tblPrEx>
          <w:tblCellMar>
            <w:top w:w="15" w:type="dxa"/>
            <w:left w:w="15" w:type="dxa"/>
            <w:bottom w:w="15" w:type="dxa"/>
            <w:right w:w="15" w:type="dxa"/>
          </w:tblCellMar>
        </w:tblPrEx>
        <w:trPr>
          <w:trHeight w:val="340" w:hRule="atLeast"/>
          <w:jc w:val="center"/>
        </w:trPr>
        <w:tc>
          <w:tcPr>
            <w:tcW w:w="1510" w:type="pct"/>
            <w:tcBorders>
              <w:top w:val="single" w:color="auto" w:sz="4" w:space="0"/>
              <w:left w:val="single" w:color="auto" w:sz="4" w:space="0"/>
              <w:bottom w:val="single" w:color="auto" w:sz="4" w:space="0"/>
              <w:right w:val="single" w:color="auto" w:sz="4" w:space="0"/>
            </w:tcBorders>
            <w:noWrap w:val="0"/>
            <w:vAlign w:val="center"/>
          </w:tcPr>
          <w:p>
            <w:pPr>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检测项目</w:t>
            </w:r>
          </w:p>
        </w:tc>
        <w:tc>
          <w:tcPr>
            <w:tcW w:w="3489" w:type="pct"/>
            <w:gridSpan w:val="6"/>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VOCs（以非甲烷总烃计）</w:t>
            </w:r>
          </w:p>
        </w:tc>
      </w:tr>
      <w:tr>
        <w:tblPrEx>
          <w:tblCellMar>
            <w:top w:w="15" w:type="dxa"/>
            <w:left w:w="15" w:type="dxa"/>
            <w:bottom w:w="15" w:type="dxa"/>
            <w:right w:w="15" w:type="dxa"/>
          </w:tblCellMar>
        </w:tblPrEx>
        <w:trPr>
          <w:trHeight w:val="340" w:hRule="atLeast"/>
          <w:jc w:val="center"/>
        </w:trPr>
        <w:tc>
          <w:tcPr>
            <w:tcW w:w="1510"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检测点位</w:t>
            </w:r>
          </w:p>
        </w:tc>
        <w:tc>
          <w:tcPr>
            <w:tcW w:w="1763"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化验中心排气筒（DA002）进口</w:t>
            </w:r>
          </w:p>
        </w:tc>
        <w:tc>
          <w:tcPr>
            <w:tcW w:w="1726"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化验中心排气筒（DA002）出口</w:t>
            </w:r>
          </w:p>
        </w:tc>
      </w:tr>
      <w:tr>
        <w:tblPrEx>
          <w:tblCellMar>
            <w:top w:w="15" w:type="dxa"/>
            <w:left w:w="15" w:type="dxa"/>
            <w:bottom w:w="15" w:type="dxa"/>
            <w:right w:w="15" w:type="dxa"/>
          </w:tblCellMar>
        </w:tblPrEx>
        <w:trPr>
          <w:trHeight w:val="340" w:hRule="atLeast"/>
          <w:jc w:val="center"/>
        </w:trPr>
        <w:tc>
          <w:tcPr>
            <w:tcW w:w="1510"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eastAsia="zh-CN"/>
              </w:rPr>
              <w:t>排气筒高度</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eastAsia="zh-CN"/>
              </w:rPr>
              <w:t>内径（m）</w:t>
            </w:r>
          </w:p>
        </w:tc>
        <w:tc>
          <w:tcPr>
            <w:tcW w:w="1763"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w:t>
            </w:r>
          </w:p>
        </w:tc>
        <w:tc>
          <w:tcPr>
            <w:tcW w:w="1726" w:type="pct"/>
            <w:gridSpan w:val="3"/>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20/0.30</w:t>
            </w:r>
          </w:p>
        </w:tc>
      </w:tr>
      <w:tr>
        <w:tblPrEx>
          <w:tblCellMar>
            <w:top w:w="15" w:type="dxa"/>
            <w:left w:w="15" w:type="dxa"/>
            <w:bottom w:w="15" w:type="dxa"/>
            <w:right w:w="15" w:type="dxa"/>
          </w:tblCellMar>
        </w:tblPrEx>
        <w:trPr>
          <w:trHeight w:val="340" w:hRule="atLeast"/>
          <w:jc w:val="center"/>
        </w:trPr>
        <w:tc>
          <w:tcPr>
            <w:tcW w:w="1510"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样品编号</w:t>
            </w:r>
          </w:p>
        </w:tc>
        <w:tc>
          <w:tcPr>
            <w:tcW w:w="56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HC24010303-2021</w:t>
            </w:r>
          </w:p>
        </w:tc>
        <w:tc>
          <w:tcPr>
            <w:tcW w:w="6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HC24010303-2022</w:t>
            </w:r>
          </w:p>
        </w:tc>
        <w:tc>
          <w:tcPr>
            <w:tcW w:w="57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HC24010303-2023</w:t>
            </w:r>
          </w:p>
        </w:tc>
        <w:tc>
          <w:tcPr>
            <w:tcW w:w="65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HC24010303-2024</w:t>
            </w:r>
          </w:p>
        </w:tc>
        <w:tc>
          <w:tcPr>
            <w:tcW w:w="5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HC24010303-2025</w:t>
            </w:r>
          </w:p>
        </w:tc>
        <w:tc>
          <w:tcPr>
            <w:tcW w:w="5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HC24010303-2026</w:t>
            </w:r>
          </w:p>
        </w:tc>
      </w:tr>
      <w:tr>
        <w:tblPrEx>
          <w:tblCellMar>
            <w:top w:w="15" w:type="dxa"/>
            <w:left w:w="15" w:type="dxa"/>
            <w:bottom w:w="15" w:type="dxa"/>
            <w:right w:w="15" w:type="dxa"/>
          </w:tblCellMar>
        </w:tblPrEx>
        <w:trPr>
          <w:trHeight w:val="340" w:hRule="atLeast"/>
          <w:jc w:val="center"/>
        </w:trPr>
        <w:tc>
          <w:tcPr>
            <w:tcW w:w="1510" w:type="pct"/>
            <w:tcBorders>
              <w:top w:val="single" w:color="auto" w:sz="4" w:space="0"/>
              <w:left w:val="single" w:color="auto" w:sz="4" w:space="0"/>
              <w:bottom w:val="single" w:color="auto" w:sz="4" w:space="0"/>
              <w:right w:val="single" w:color="auto" w:sz="4" w:space="0"/>
            </w:tcBorders>
            <w:noWrap w:val="0"/>
            <w:vAlign w:val="center"/>
          </w:tcPr>
          <w:p>
            <w:pPr>
              <w:tabs>
                <w:tab w:val="left" w:pos="7020"/>
              </w:tabs>
              <w:spacing w:after="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检测结果</w:t>
            </w:r>
            <w:r>
              <w:rPr>
                <w:rFonts w:hint="default" w:ascii="Times New Roman" w:hAnsi="Times New Roman" w:eastAsia="宋体" w:cs="Times New Roman"/>
                <w:color w:val="auto"/>
                <w:sz w:val="21"/>
                <w:szCs w:val="21"/>
              </w:rPr>
              <w:t>（mg/m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56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10.9</w:t>
            </w:r>
          </w:p>
        </w:tc>
        <w:tc>
          <w:tcPr>
            <w:tcW w:w="6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9.67</w:t>
            </w:r>
          </w:p>
        </w:tc>
        <w:tc>
          <w:tcPr>
            <w:tcW w:w="57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10.8</w:t>
            </w:r>
          </w:p>
        </w:tc>
        <w:tc>
          <w:tcPr>
            <w:tcW w:w="65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1.57</w:t>
            </w:r>
          </w:p>
        </w:tc>
        <w:tc>
          <w:tcPr>
            <w:tcW w:w="5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1.41</w:t>
            </w:r>
          </w:p>
        </w:tc>
        <w:tc>
          <w:tcPr>
            <w:tcW w:w="5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1.33</w:t>
            </w:r>
          </w:p>
        </w:tc>
      </w:tr>
      <w:tr>
        <w:tblPrEx>
          <w:tblCellMar>
            <w:top w:w="15" w:type="dxa"/>
            <w:left w:w="15" w:type="dxa"/>
            <w:bottom w:w="15" w:type="dxa"/>
            <w:right w:w="15" w:type="dxa"/>
          </w:tblCellMar>
        </w:tblPrEx>
        <w:trPr>
          <w:trHeight w:val="340" w:hRule="atLeast"/>
          <w:jc w:val="center"/>
        </w:trPr>
        <w:tc>
          <w:tcPr>
            <w:tcW w:w="1510" w:type="pct"/>
            <w:tcBorders>
              <w:top w:val="single" w:color="auto" w:sz="4" w:space="0"/>
              <w:left w:val="single" w:color="auto" w:sz="4" w:space="0"/>
              <w:bottom w:val="single" w:color="auto" w:sz="4" w:space="0"/>
              <w:right w:val="single" w:color="auto" w:sz="4" w:space="0"/>
            </w:tcBorders>
            <w:noWrap w:val="0"/>
            <w:vAlign w:val="center"/>
          </w:tcPr>
          <w:p>
            <w:pPr>
              <w:spacing w:after="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标干流量（Nm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/h）</w:t>
            </w:r>
          </w:p>
        </w:tc>
        <w:tc>
          <w:tcPr>
            <w:tcW w:w="56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664</w:t>
            </w:r>
          </w:p>
        </w:tc>
        <w:tc>
          <w:tcPr>
            <w:tcW w:w="6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664</w:t>
            </w:r>
          </w:p>
        </w:tc>
        <w:tc>
          <w:tcPr>
            <w:tcW w:w="57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602</w:t>
            </w:r>
          </w:p>
        </w:tc>
        <w:tc>
          <w:tcPr>
            <w:tcW w:w="65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615</w:t>
            </w:r>
          </w:p>
        </w:tc>
        <w:tc>
          <w:tcPr>
            <w:tcW w:w="5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615</w:t>
            </w:r>
          </w:p>
        </w:tc>
        <w:tc>
          <w:tcPr>
            <w:tcW w:w="5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664</w:t>
            </w:r>
          </w:p>
        </w:tc>
      </w:tr>
      <w:tr>
        <w:tblPrEx>
          <w:tblCellMar>
            <w:top w:w="15" w:type="dxa"/>
            <w:left w:w="15" w:type="dxa"/>
            <w:bottom w:w="15" w:type="dxa"/>
            <w:right w:w="15" w:type="dxa"/>
          </w:tblCellMar>
        </w:tblPrEx>
        <w:trPr>
          <w:trHeight w:val="340" w:hRule="atLeast"/>
          <w:jc w:val="center"/>
        </w:trPr>
        <w:tc>
          <w:tcPr>
            <w:tcW w:w="1510" w:type="pct"/>
            <w:tcBorders>
              <w:top w:val="single" w:color="auto" w:sz="4" w:space="0"/>
              <w:left w:val="single" w:color="auto" w:sz="4" w:space="0"/>
              <w:bottom w:val="single" w:color="auto" w:sz="4" w:space="0"/>
              <w:right w:val="single" w:color="auto" w:sz="4" w:space="0"/>
            </w:tcBorders>
            <w:noWrap w:val="0"/>
            <w:vAlign w:val="center"/>
          </w:tcPr>
          <w:p>
            <w:pPr>
              <w:spacing w:after="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排放速率（kg/h）</w:t>
            </w:r>
          </w:p>
        </w:tc>
        <w:tc>
          <w:tcPr>
            <w:tcW w:w="56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0.0072</w:t>
            </w:r>
          </w:p>
        </w:tc>
        <w:tc>
          <w:tcPr>
            <w:tcW w:w="6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0.0064</w:t>
            </w:r>
          </w:p>
        </w:tc>
        <w:tc>
          <w:tcPr>
            <w:tcW w:w="575"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0.0065 </w:t>
            </w:r>
          </w:p>
        </w:tc>
        <w:tc>
          <w:tcPr>
            <w:tcW w:w="656"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0.00097 </w:t>
            </w:r>
          </w:p>
        </w:tc>
        <w:tc>
          <w:tcPr>
            <w:tcW w:w="548"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0.00087 </w:t>
            </w:r>
          </w:p>
        </w:tc>
        <w:tc>
          <w:tcPr>
            <w:tcW w:w="520" w:type="pct"/>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0.00088 </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rPr>
        <w:t>由</w:t>
      </w:r>
      <w:r>
        <w:rPr>
          <w:rFonts w:hint="default" w:ascii="Times New Roman" w:hAnsi="Times New Roman" w:eastAsia="宋体" w:cs="Times New Roman"/>
          <w:color w:val="000000"/>
          <w:sz w:val="24"/>
          <w:szCs w:val="24"/>
          <w:lang w:val="en-US" w:eastAsia="zh-CN"/>
        </w:rPr>
        <w:t>上表</w:t>
      </w:r>
      <w:r>
        <w:rPr>
          <w:rFonts w:hint="default" w:ascii="Times New Roman" w:hAnsi="Times New Roman" w:eastAsia="宋体" w:cs="Times New Roman"/>
          <w:color w:val="000000"/>
          <w:sz w:val="24"/>
          <w:szCs w:val="24"/>
        </w:rPr>
        <w:t>可知，验收监测期间，</w:t>
      </w:r>
      <w:r>
        <w:rPr>
          <w:rFonts w:hint="default" w:ascii="Times New Roman" w:hAnsi="Times New Roman" w:eastAsia="宋体" w:cs="Times New Roman"/>
          <w:sz w:val="24"/>
          <w:szCs w:val="24"/>
        </w:rPr>
        <w:t>污水处理站有组织NH</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color w:val="000000"/>
          <w:sz w:val="24"/>
          <w:szCs w:val="24"/>
        </w:rPr>
        <w:t>的最大排放速率</w:t>
      </w:r>
      <w:r>
        <w:rPr>
          <w:rFonts w:hint="default" w:ascii="Times New Roman" w:hAnsi="Times New Roman" w:eastAsia="宋体" w:cs="Times New Roman"/>
          <w:sz w:val="24"/>
          <w:szCs w:val="24"/>
          <w:lang w:val="en-US" w:eastAsia="zh-CN"/>
        </w:rPr>
        <w:t>0.0019</w:t>
      </w:r>
      <w:r>
        <w:rPr>
          <w:rFonts w:hint="default" w:ascii="Times New Roman" w:hAnsi="Times New Roman" w:eastAsia="宋体" w:cs="Times New Roman"/>
          <w:color w:val="000000"/>
          <w:sz w:val="24"/>
          <w:szCs w:val="24"/>
        </w:rPr>
        <w:t>kg/h、最高排放浓度为</w:t>
      </w:r>
      <w:r>
        <w:rPr>
          <w:rFonts w:hint="default" w:ascii="Times New Roman" w:hAnsi="Times New Roman" w:eastAsia="宋体" w:cs="Times New Roman"/>
          <w:color w:val="000000"/>
          <w:sz w:val="24"/>
          <w:szCs w:val="24"/>
          <w:lang w:val="en-US" w:eastAsia="zh-CN"/>
        </w:rPr>
        <w:t>1.82</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w:t>
      </w:r>
      <w:r>
        <w:rPr>
          <w:rFonts w:hint="default" w:ascii="Times New Roman" w:hAnsi="Times New Roman" w:eastAsia="宋体" w:cs="Times New Roman"/>
          <w:color w:val="000000"/>
          <w:sz w:val="24"/>
          <w:szCs w:val="24"/>
        </w:rPr>
        <w:t>的最大排放速率</w:t>
      </w:r>
      <w:r>
        <w:rPr>
          <w:rFonts w:hint="default" w:ascii="Times New Roman" w:hAnsi="Times New Roman" w:eastAsia="宋体" w:cs="Times New Roman"/>
          <w:sz w:val="24"/>
          <w:szCs w:val="24"/>
          <w:lang w:val="en-US" w:eastAsia="zh-CN"/>
        </w:rPr>
        <w:t>0.00051</w:t>
      </w:r>
      <w:r>
        <w:rPr>
          <w:rFonts w:hint="default" w:ascii="Times New Roman" w:hAnsi="Times New Roman" w:eastAsia="宋体" w:cs="Times New Roman"/>
          <w:color w:val="000000"/>
          <w:sz w:val="24"/>
          <w:szCs w:val="24"/>
        </w:rPr>
        <w:t>kg/h、最高排放浓度为</w:t>
      </w:r>
      <w:r>
        <w:rPr>
          <w:rFonts w:hint="default" w:ascii="Times New Roman" w:hAnsi="Times New Roman" w:eastAsia="宋体" w:cs="Times New Roman"/>
          <w:color w:val="000000"/>
          <w:sz w:val="24"/>
          <w:szCs w:val="24"/>
          <w:lang w:val="en-US" w:eastAsia="zh-CN"/>
        </w:rPr>
        <w:t>0.49</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臭气浓度未检出</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NH</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sz w:val="24"/>
          <w:szCs w:val="24"/>
          <w:vertAlign w:val="baseline"/>
          <w:lang w:eastAsia="zh-CN"/>
        </w:rPr>
        <w:t>、</w:t>
      </w:r>
      <w:r>
        <w:rPr>
          <w:rFonts w:hint="default" w:ascii="Times New Roman" w:hAnsi="Times New Roman" w:eastAsia="宋体" w:cs="Times New Roman"/>
          <w:sz w:val="24"/>
          <w:szCs w:val="24"/>
        </w:rPr>
        <w:t>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S、臭气浓度</w:t>
      </w:r>
      <w:r>
        <w:rPr>
          <w:rFonts w:hint="default" w:ascii="Times New Roman" w:hAnsi="Times New Roman" w:eastAsia="宋体" w:cs="Times New Roman"/>
          <w:sz w:val="24"/>
          <w:szCs w:val="24"/>
          <w:lang w:val="en-US" w:eastAsia="zh-CN"/>
        </w:rPr>
        <w:t>分别满足</w:t>
      </w:r>
      <w:r>
        <w:rPr>
          <w:rFonts w:hint="default" w:ascii="Times New Roman" w:hAnsi="Times New Roman" w:eastAsia="宋体" w:cs="Times New Roman"/>
          <w:sz w:val="24"/>
          <w:szCs w:val="24"/>
        </w:rPr>
        <w:t>《恶臭污染物排放标准》（GB14554-93）表2排放限值要求</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sz w:val="24"/>
          <w:szCs w:val="24"/>
        </w:rPr>
        <w:t>NH</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color w:val="000000"/>
          <w:sz w:val="24"/>
          <w:szCs w:val="24"/>
          <w:lang w:val="en-US" w:eastAsia="zh-CN"/>
        </w:rPr>
        <w:t>≤4.9</w:t>
      </w:r>
      <w:r>
        <w:rPr>
          <w:rFonts w:hint="default" w:ascii="Times New Roman" w:hAnsi="Times New Roman" w:eastAsia="宋体" w:cs="Times New Roman"/>
          <w:color w:val="000000"/>
          <w:sz w:val="24"/>
          <w:szCs w:val="24"/>
        </w:rPr>
        <w:t>kg/h，</w:t>
      </w:r>
      <w:r>
        <w:rPr>
          <w:rFonts w:hint="default" w:ascii="Times New Roman" w:hAnsi="Times New Roman" w:eastAsia="宋体" w:cs="Times New Roman"/>
          <w:sz w:val="24"/>
          <w:szCs w:val="24"/>
        </w:rPr>
        <w:t>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w:t>
      </w:r>
      <w:r>
        <w:rPr>
          <w:rFonts w:hint="default" w:ascii="Times New Roman" w:hAnsi="Times New Roman" w:eastAsia="宋体" w:cs="Times New Roman"/>
          <w:color w:val="000000"/>
          <w:sz w:val="24"/>
          <w:szCs w:val="24"/>
          <w:lang w:val="en-US" w:eastAsia="zh-CN"/>
        </w:rPr>
        <w:t>≤0.33</w:t>
      </w:r>
      <w:r>
        <w:rPr>
          <w:rFonts w:hint="default" w:ascii="Times New Roman" w:hAnsi="Times New Roman" w:eastAsia="宋体" w:cs="Times New Roman"/>
          <w:color w:val="000000"/>
          <w:sz w:val="24"/>
          <w:szCs w:val="24"/>
        </w:rPr>
        <w:t>kg/h，</w:t>
      </w:r>
      <w:r>
        <w:rPr>
          <w:rFonts w:hint="default" w:ascii="Times New Roman" w:hAnsi="Times New Roman" w:eastAsia="宋体" w:cs="Times New Roman"/>
          <w:sz w:val="24"/>
          <w:szCs w:val="24"/>
        </w:rPr>
        <w:t>臭气浓度</w:t>
      </w:r>
      <w:r>
        <w:rPr>
          <w:rFonts w:hint="default" w:ascii="Times New Roman" w:hAnsi="Times New Roman" w:eastAsia="宋体" w:cs="Times New Roman"/>
          <w:color w:val="000000"/>
          <w:sz w:val="24"/>
          <w:szCs w:val="24"/>
          <w:lang w:val="en-US" w:eastAsia="zh-CN"/>
        </w:rPr>
        <w:t>≤2000（无量纲））</w:t>
      </w:r>
      <w:r>
        <w:rPr>
          <w:rFonts w:hint="default"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lang w:val="en-US" w:eastAsia="zh-CN"/>
        </w:rPr>
        <w:t>化验中心</w:t>
      </w:r>
      <w:r>
        <w:rPr>
          <w:rFonts w:hint="default" w:ascii="Times New Roman" w:hAnsi="Times New Roman" w:eastAsia="宋体" w:cs="Times New Roman"/>
          <w:sz w:val="24"/>
          <w:szCs w:val="24"/>
        </w:rPr>
        <w:t>有组织</w:t>
      </w:r>
      <w:r>
        <w:rPr>
          <w:rFonts w:hint="default" w:ascii="Times New Roman" w:hAnsi="Times New Roman" w:eastAsia="宋体" w:cs="Times New Roman"/>
          <w:sz w:val="24"/>
          <w:szCs w:val="24"/>
          <w:lang w:val="en-US" w:eastAsia="zh-CN"/>
        </w:rPr>
        <w:t>VOCs</w:t>
      </w:r>
      <w:r>
        <w:rPr>
          <w:rFonts w:hint="default" w:ascii="Times New Roman" w:hAnsi="Times New Roman" w:eastAsia="宋体" w:cs="Times New Roman"/>
          <w:color w:val="000000"/>
          <w:sz w:val="24"/>
          <w:szCs w:val="24"/>
        </w:rPr>
        <w:t>的最大排放速率</w:t>
      </w:r>
      <w:r>
        <w:rPr>
          <w:rFonts w:hint="default" w:ascii="Times New Roman" w:hAnsi="Times New Roman" w:eastAsia="宋体" w:cs="Times New Roman"/>
          <w:sz w:val="24"/>
          <w:szCs w:val="24"/>
          <w:lang w:val="en-US" w:eastAsia="zh-CN"/>
        </w:rPr>
        <w:t>0.00097</w:t>
      </w:r>
      <w:r>
        <w:rPr>
          <w:rFonts w:hint="default" w:ascii="Times New Roman" w:hAnsi="Times New Roman" w:eastAsia="宋体" w:cs="Times New Roman"/>
          <w:color w:val="000000"/>
          <w:sz w:val="24"/>
          <w:szCs w:val="24"/>
        </w:rPr>
        <w:t>kg/h、最高排放浓度为</w:t>
      </w:r>
      <w:r>
        <w:rPr>
          <w:rFonts w:hint="default" w:ascii="Times New Roman" w:hAnsi="Times New Roman" w:eastAsia="宋体" w:cs="Times New Roman"/>
          <w:color w:val="000000"/>
          <w:sz w:val="24"/>
          <w:szCs w:val="24"/>
          <w:lang w:val="en-US" w:eastAsia="zh-CN"/>
        </w:rPr>
        <w:t>1.57</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sz w:val="24"/>
          <w:szCs w:val="24"/>
        </w:rPr>
        <w:t>有组织</w:t>
      </w:r>
      <w:r>
        <w:rPr>
          <w:rFonts w:hint="default" w:ascii="Times New Roman" w:hAnsi="Times New Roman" w:eastAsia="宋体" w:cs="Times New Roman"/>
          <w:sz w:val="24"/>
          <w:szCs w:val="24"/>
          <w:lang w:val="en-US" w:eastAsia="zh-CN"/>
        </w:rPr>
        <w:t>VOCs</w:t>
      </w:r>
      <w:r>
        <w:rPr>
          <w:rFonts w:hint="default" w:ascii="Times New Roman" w:hAnsi="Times New Roman" w:eastAsia="宋体" w:cs="Times New Roman"/>
          <w:sz w:val="24"/>
          <w:szCs w:val="24"/>
          <w:highlight w:val="none"/>
          <w:lang w:val="en-US" w:eastAsia="zh-CN"/>
        </w:rPr>
        <w:t>排放</w:t>
      </w:r>
      <w:r>
        <w:rPr>
          <w:rFonts w:hint="eastAsia" w:ascii="Times New Roman" w:hAnsi="Times New Roman" w:eastAsia="宋体" w:cs="Times New Roman"/>
          <w:sz w:val="24"/>
          <w:szCs w:val="24"/>
          <w:highlight w:val="none"/>
          <w:lang w:val="en-US" w:eastAsia="zh-CN"/>
        </w:rPr>
        <w:t>满足</w:t>
      </w:r>
      <w:r>
        <w:rPr>
          <w:rFonts w:hint="default" w:ascii="Times New Roman" w:hAnsi="Times New Roman" w:eastAsia="宋体" w:cs="Times New Roman"/>
          <w:sz w:val="24"/>
          <w:szCs w:val="24"/>
          <w:highlight w:val="none"/>
          <w:lang w:val="en-US" w:eastAsia="zh-CN"/>
        </w:rPr>
        <w:t>《挥发性有机物排放标准 第7部分：其他行业》（DB37/2801.7-2019）表1“非重点行业”</w:t>
      </w:r>
      <w:r>
        <w:rPr>
          <w:rFonts w:hint="default" w:ascii="Times New Roman" w:hAnsi="Times New Roman" w:eastAsia="宋体" w:cs="Times New Roman"/>
          <w:sz w:val="24"/>
          <w:szCs w:val="24"/>
          <w:highlight w:val="none"/>
          <w:lang w:val="en-US" w:eastAsia="zh-CN"/>
        </w:rPr>
        <w:fldChar w:fldCharType="begin"/>
      </w:r>
      <w:r>
        <w:rPr>
          <w:rFonts w:hint="default" w:ascii="Times New Roman" w:hAnsi="Times New Roman" w:eastAsia="宋体" w:cs="Times New Roman"/>
          <w:sz w:val="24"/>
          <w:szCs w:val="24"/>
          <w:highlight w:val="none"/>
          <w:lang w:val="en-US" w:eastAsia="zh-CN"/>
        </w:rPr>
        <w:instrText xml:space="preserve"> = 2 \* ROMAN \* MERGEFORMAT </w:instrText>
      </w:r>
      <w:r>
        <w:rPr>
          <w:rFonts w:hint="default" w:ascii="Times New Roman" w:hAnsi="Times New Roman" w:eastAsia="宋体" w:cs="Times New Roman"/>
          <w:sz w:val="24"/>
          <w:szCs w:val="24"/>
          <w:highlight w:val="none"/>
          <w:lang w:val="en-US" w:eastAsia="zh-CN"/>
        </w:rPr>
        <w:fldChar w:fldCharType="separate"/>
      </w:r>
      <w:r>
        <w:rPr>
          <w:rFonts w:hint="default" w:ascii="Times New Roman" w:hAnsi="Times New Roman" w:eastAsia="宋体" w:cs="Times New Roman"/>
          <w:sz w:val="24"/>
          <w:szCs w:val="24"/>
          <w:highlight w:val="none"/>
        </w:rPr>
        <w:t>II</w:t>
      </w:r>
      <w:r>
        <w:rPr>
          <w:rFonts w:hint="default" w:ascii="Times New Roman" w:hAnsi="Times New Roman" w:eastAsia="宋体" w:cs="Times New Roman"/>
          <w:sz w:val="24"/>
          <w:szCs w:val="24"/>
          <w:highlight w:val="none"/>
          <w:lang w:val="en-US" w:eastAsia="zh-CN"/>
        </w:rPr>
        <w:fldChar w:fldCharType="end"/>
      </w:r>
      <w:r>
        <w:rPr>
          <w:rFonts w:hint="default" w:ascii="Times New Roman" w:hAnsi="Times New Roman" w:eastAsia="宋体" w:cs="Times New Roman"/>
          <w:sz w:val="24"/>
          <w:szCs w:val="24"/>
          <w:highlight w:val="none"/>
          <w:lang w:val="en-US" w:eastAsia="zh-CN"/>
        </w:rPr>
        <w:t>时段排放限值标准，</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sz w:val="24"/>
          <w:szCs w:val="24"/>
          <w:lang w:val="en-US" w:eastAsia="zh-CN"/>
        </w:rPr>
        <w:t>VOCs</w:t>
      </w:r>
      <w:r>
        <w:rPr>
          <w:rFonts w:hint="default" w:ascii="Times New Roman" w:hAnsi="Times New Roman" w:eastAsia="宋体" w:cs="Times New Roman"/>
          <w:color w:val="000000"/>
          <w:sz w:val="24"/>
          <w:szCs w:val="24"/>
          <w:lang w:val="en-US" w:eastAsia="zh-CN"/>
        </w:rPr>
        <w:t>≤6</w:t>
      </w:r>
      <w:r>
        <w:rPr>
          <w:rFonts w:hint="default" w:ascii="Times New Roman" w:hAnsi="Times New Roman" w:eastAsia="宋体" w:cs="Times New Roman"/>
          <w:color w:val="000000"/>
          <w:sz w:val="24"/>
          <w:szCs w:val="24"/>
        </w:rPr>
        <w:t>kg/h，</w:t>
      </w:r>
      <w:r>
        <w:rPr>
          <w:rFonts w:hint="default" w:ascii="Times New Roman" w:hAnsi="Times New Roman" w:eastAsia="宋体" w:cs="Times New Roman"/>
          <w:sz w:val="24"/>
          <w:szCs w:val="24"/>
          <w:lang w:val="en-US" w:eastAsia="zh-CN"/>
        </w:rPr>
        <w:t>VOCs</w:t>
      </w:r>
      <w:r>
        <w:rPr>
          <w:rFonts w:hint="default" w:ascii="Times New Roman" w:hAnsi="Times New Roman" w:eastAsia="宋体" w:cs="Times New Roman"/>
          <w:color w:val="000000"/>
          <w:sz w:val="24"/>
          <w:szCs w:val="24"/>
          <w:lang w:val="en-US" w:eastAsia="zh-CN"/>
        </w:rPr>
        <w:t>≤60mg/m</w:t>
      </w:r>
      <w:r>
        <w:rPr>
          <w:rFonts w:hint="default" w:ascii="Times New Roman" w:hAnsi="Times New Roman" w:eastAsia="宋体"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sz w:val="24"/>
          <w:szCs w:val="24"/>
          <w:highlight w:val="none"/>
          <w:lang w:val="en-US" w:eastAsia="zh-CN"/>
        </w:rPr>
        <w:t>。</w:t>
      </w:r>
    </w:p>
    <w:p>
      <w:pPr>
        <w:pStyle w:val="8"/>
        <w:spacing w:after="0" w:line="360" w:lineRule="auto"/>
        <w:ind w:lef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2、无组织排放</w:t>
      </w:r>
    </w:p>
    <w:p>
      <w:pPr>
        <w:widowControl w:val="0"/>
        <w:spacing w:after="0" w:line="360" w:lineRule="auto"/>
        <w:ind w:left="0" w:firstLine="480" w:firstLineChars="200"/>
        <w:jc w:val="both"/>
        <w:rPr>
          <w:rFonts w:hint="default" w:ascii="Times New Roman" w:hAnsi="Times New Roman" w:eastAsia="宋体" w:cs="Times New Roman"/>
          <w:color w:val="000000"/>
          <w:kern w:val="2"/>
          <w:sz w:val="24"/>
          <w:szCs w:val="28"/>
          <w:lang w:val="en-US" w:eastAsia="zh-CN" w:bidi="ar-SA"/>
        </w:rPr>
      </w:pPr>
      <w:r>
        <w:rPr>
          <w:rFonts w:hint="default" w:ascii="Times New Roman" w:hAnsi="Times New Roman" w:eastAsia="宋体" w:cs="Times New Roman"/>
          <w:color w:val="000000"/>
          <w:kern w:val="2"/>
          <w:sz w:val="24"/>
          <w:szCs w:val="28"/>
          <w:lang w:val="en-US" w:eastAsia="zh-CN" w:bidi="ar-SA"/>
        </w:rPr>
        <w:t>该项目产生的无组织废气污染物主要为注射剂生产车间配制废气、化验中心废气以及污水处理站产生的恶臭。</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表9-</w:t>
      </w:r>
      <w:r>
        <w:rPr>
          <w:rFonts w:hint="eastAsia" w:cs="Times New Roman"/>
          <w:b/>
          <w:sz w:val="21"/>
          <w:szCs w:val="21"/>
          <w:lang w:val="en-US" w:eastAsia="zh-CN"/>
        </w:rPr>
        <w:t>5</w:t>
      </w:r>
      <w:r>
        <w:rPr>
          <w:rFonts w:hint="default" w:ascii="Times New Roman" w:hAnsi="Times New Roman" w:eastAsia="宋体" w:cs="Times New Roman"/>
          <w:b/>
          <w:sz w:val="21"/>
          <w:szCs w:val="21"/>
          <w:lang w:val="en-US" w:eastAsia="zh-CN"/>
        </w:rPr>
        <w:t xml:space="preserve">  无组织废气监测结果汇总</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0"/>
        <w:gridCol w:w="1365"/>
        <w:gridCol w:w="1114"/>
        <w:gridCol w:w="2200"/>
        <w:gridCol w:w="1286"/>
        <w:gridCol w:w="1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716" w:type="pc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采样日期</w:t>
            </w:r>
          </w:p>
        </w:tc>
        <w:tc>
          <w:tcPr>
            <w:tcW w:w="4283" w:type="pct"/>
            <w:gridSpan w:val="5"/>
            <w:noWrap w:val="0"/>
            <w:vAlign w:val="center"/>
          </w:tcPr>
          <w:p>
            <w:pPr>
              <w:widowControl/>
              <w:adjustRightInd w:val="0"/>
              <w:snapToGrid w:val="0"/>
              <w:spacing w:line="360" w:lineRule="exact"/>
              <w:jc w:val="center"/>
              <w:rPr>
                <w:rFonts w:hint="default" w:ascii="Times New Roman" w:hAnsi="Times New Roman" w:eastAsia="宋体" w:cs="Times New Roman"/>
                <w:color w:val="000000"/>
                <w:sz w:val="21"/>
                <w:szCs w:val="21"/>
                <w:lang w:val="en-US" w:eastAsia="zh-CN"/>
              </w:rPr>
            </w:pPr>
            <w:r>
              <w:rPr>
                <w:rFonts w:hint="eastAsia" w:ascii="Times New Roman" w:hAnsi="Times New Roman" w:cs="Times New Roman"/>
                <w:sz w:val="21"/>
                <w:szCs w:val="21"/>
                <w:lang w:val="en-US" w:eastAsia="zh-CN"/>
              </w:rPr>
              <w:t>2024.01.04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3" w:hRule="atLeast"/>
          <w:jc w:val="center"/>
        </w:trPr>
        <w:tc>
          <w:tcPr>
            <w:tcW w:w="716" w:type="pct"/>
            <w:noWrap w:val="0"/>
            <w:vAlign w:val="center"/>
          </w:tcPr>
          <w:p>
            <w:pPr>
              <w:spacing w:line="220" w:lineRule="atLeast"/>
              <w:jc w:val="center"/>
              <w:rPr>
                <w:rFonts w:hint="default" w:ascii="Times New Roman" w:hAnsi="Times New Roman" w:eastAsia="宋体" w:cs="Times New Roman"/>
                <w:color w:val="000000"/>
                <w:sz w:val="21"/>
                <w:szCs w:val="21"/>
                <w:lang w:val="en-US"/>
              </w:rPr>
            </w:pPr>
            <w:r>
              <w:rPr>
                <w:rFonts w:hint="eastAsia" w:ascii="Times New Roman" w:hAnsi="Times New Roman" w:eastAsia="宋体" w:cs="Times New Roman"/>
                <w:color w:val="000000"/>
                <w:sz w:val="21"/>
                <w:szCs w:val="21"/>
                <w:lang w:val="en-US" w:eastAsia="zh-CN"/>
              </w:rPr>
              <w:t>检测项目</w:t>
            </w:r>
          </w:p>
        </w:tc>
        <w:tc>
          <w:tcPr>
            <w:tcW w:w="801" w:type="pc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检测点位</w:t>
            </w:r>
          </w:p>
        </w:tc>
        <w:tc>
          <w:tcPr>
            <w:tcW w:w="654" w:type="pct"/>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检测频次</w:t>
            </w:r>
          </w:p>
        </w:tc>
        <w:tc>
          <w:tcPr>
            <w:tcW w:w="1291" w:type="pc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样品编号</w:t>
            </w:r>
          </w:p>
        </w:tc>
        <w:tc>
          <w:tcPr>
            <w:tcW w:w="755" w:type="pc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检测浓度</w:t>
            </w:r>
          </w:p>
        </w:tc>
        <w:tc>
          <w:tcPr>
            <w:tcW w:w="781" w:type="pc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平均值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9" w:hRule="atLeast"/>
          <w:jc w:val="center"/>
        </w:trPr>
        <w:tc>
          <w:tcPr>
            <w:tcW w:w="716" w:type="pct"/>
            <w:vMerge w:val="restart"/>
            <w:noWrap w:val="0"/>
            <w:vAlign w:val="center"/>
          </w:tcPr>
          <w:p>
            <w:pPr>
              <w:spacing w:line="220" w:lineRule="atLeast"/>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VOCs（以非甲烷总烃计）（</w:t>
            </w:r>
            <w:r>
              <w:rPr>
                <w:rFonts w:hint="eastAsia" w:ascii="Times New Roman" w:hAnsi="Times New Roman" w:cs="Times New Roman"/>
                <w:color w:val="000000"/>
                <w:sz w:val="21"/>
                <w:szCs w:val="21"/>
                <w:lang w:val="en-US" w:eastAsia="zh-CN"/>
              </w:rPr>
              <w:t>m</w:t>
            </w:r>
            <w:r>
              <w:rPr>
                <w:rFonts w:hint="eastAsia" w:ascii="Times New Roman" w:hAnsi="Times New Roman" w:eastAsia="宋体" w:cs="Times New Roman"/>
                <w:color w:val="000000"/>
                <w:sz w:val="21"/>
                <w:szCs w:val="21"/>
                <w:lang w:val="en-US" w:eastAsia="zh-CN"/>
              </w:rPr>
              <w:t>g/m</w:t>
            </w:r>
            <w:r>
              <w:rPr>
                <w:rFonts w:hint="eastAsia" w:ascii="Times New Roman" w:hAnsi="Times New Roman" w:eastAsia="宋体" w:cs="Times New Roman"/>
                <w:color w:val="000000"/>
                <w:sz w:val="21"/>
                <w:szCs w:val="21"/>
                <w:vertAlign w:val="superscript"/>
                <w:lang w:val="en-US" w:eastAsia="zh-CN"/>
              </w:rPr>
              <w:t>3</w:t>
            </w:r>
            <w:r>
              <w:rPr>
                <w:rFonts w:hint="eastAsia" w:ascii="Times New Roman" w:hAnsi="Times New Roman" w:eastAsia="宋体" w:cs="Times New Roman"/>
                <w:color w:val="000000"/>
                <w:sz w:val="21"/>
                <w:szCs w:val="21"/>
                <w:lang w:val="en-US" w:eastAsia="zh-CN"/>
              </w:rPr>
              <w:t>）</w:t>
            </w:r>
          </w:p>
        </w:tc>
        <w:tc>
          <w:tcPr>
            <w:tcW w:w="801" w:type="pct"/>
            <w:vMerge w:val="restart"/>
            <w:noWrap w:val="0"/>
            <w:vAlign w:val="center"/>
          </w:tcPr>
          <w:p>
            <w:pPr>
              <w:spacing w:line="220" w:lineRule="atLeast"/>
              <w:jc w:val="center"/>
              <w:rPr>
                <w:rFonts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1</w:t>
            </w:r>
            <w:r>
              <w:rPr>
                <w:rFonts w:ascii="Times New Roman" w:hAnsi="Times New Roman" w:eastAsia="宋体" w:cs="Times New Roman"/>
                <w:color w:val="000000"/>
                <w:sz w:val="21"/>
                <w:szCs w:val="21"/>
              </w:rPr>
              <w:t>#</w:t>
            </w:r>
            <w:r>
              <w:rPr>
                <w:rFonts w:hint="eastAsia" w:ascii="Times New Roman" w:hAnsi="Times New Roman" w:eastAsia="宋体" w:cs="Times New Roman"/>
                <w:color w:val="000000"/>
                <w:sz w:val="21"/>
                <w:szCs w:val="21"/>
              </w:rPr>
              <w:t>上</w:t>
            </w:r>
            <w:r>
              <w:rPr>
                <w:rFonts w:ascii="Times New Roman" w:hAnsi="Times New Roman" w:eastAsia="宋体" w:cs="Times New Roman"/>
                <w:color w:val="000000"/>
                <w:sz w:val="21"/>
                <w:szCs w:val="21"/>
              </w:rPr>
              <w:t>风向</w:t>
            </w:r>
          </w:p>
        </w:tc>
        <w:tc>
          <w:tcPr>
            <w:tcW w:w="654" w:type="pct"/>
            <w:noWrap w:val="0"/>
            <w:vAlign w:val="center"/>
          </w:tcPr>
          <w:p>
            <w:pPr>
              <w:spacing w:line="220" w:lineRule="atLeast"/>
              <w:jc w:val="center"/>
              <w:rPr>
                <w:rFonts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HC24010303-1027</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0.56</w:t>
            </w:r>
          </w:p>
        </w:tc>
        <w:tc>
          <w:tcPr>
            <w:tcW w:w="781" w:type="pct"/>
            <w:vMerge w:val="restar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HC24010303-1028</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0.50</w:t>
            </w:r>
          </w:p>
        </w:tc>
        <w:tc>
          <w:tcPr>
            <w:tcW w:w="781" w:type="pct"/>
            <w:vMerge w:val="continue"/>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HC24010303-1029</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0.45</w:t>
            </w:r>
          </w:p>
        </w:tc>
        <w:tc>
          <w:tcPr>
            <w:tcW w:w="781" w:type="pct"/>
            <w:vMerge w:val="continue"/>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ascii="Times New Roman" w:hAnsi="Times New Roman" w:eastAsia="宋体" w:cs="Times New Roman"/>
                <w:color w:val="000000"/>
                <w:sz w:val="21"/>
                <w:szCs w:val="21"/>
              </w:rPr>
              <w:t>2#下风向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HC24010303-1030</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1.38</w:t>
            </w:r>
          </w:p>
        </w:tc>
        <w:tc>
          <w:tcPr>
            <w:tcW w:w="781" w:type="pct"/>
            <w:vMerge w:val="restar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HC24010303-1031</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1.06</w:t>
            </w:r>
          </w:p>
        </w:tc>
        <w:tc>
          <w:tcPr>
            <w:tcW w:w="781" w:type="pct"/>
            <w:vMerge w:val="continue"/>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HC24010303-1032</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1.12</w:t>
            </w:r>
          </w:p>
        </w:tc>
        <w:tc>
          <w:tcPr>
            <w:tcW w:w="781" w:type="pct"/>
            <w:vMerge w:val="continue"/>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ascii="Times New Roman" w:hAnsi="Times New Roman" w:eastAsia="宋体" w:cs="Times New Roman"/>
                <w:color w:val="000000"/>
                <w:sz w:val="21"/>
                <w:szCs w:val="21"/>
              </w:rPr>
              <w:t>3#下风向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HC24010303-1033</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1.30</w:t>
            </w:r>
          </w:p>
        </w:tc>
        <w:tc>
          <w:tcPr>
            <w:tcW w:w="781" w:type="pct"/>
            <w:vMerge w:val="restar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HC24010303-1034</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1.48</w:t>
            </w:r>
          </w:p>
        </w:tc>
        <w:tc>
          <w:tcPr>
            <w:tcW w:w="781" w:type="pct"/>
            <w:vMerge w:val="continue"/>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HC24010303-1035</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0.97</w:t>
            </w:r>
          </w:p>
        </w:tc>
        <w:tc>
          <w:tcPr>
            <w:tcW w:w="781" w:type="pct"/>
            <w:vMerge w:val="continue"/>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4</w:t>
            </w:r>
            <w:r>
              <w:rPr>
                <w:rFonts w:ascii="Times New Roman" w:hAnsi="Times New Roman" w:eastAsia="宋体" w:cs="Times New Roman"/>
                <w:color w:val="000000"/>
                <w:sz w:val="21"/>
                <w:szCs w:val="21"/>
              </w:rPr>
              <w:t>#下风向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HC24010303-1036</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1.04</w:t>
            </w:r>
          </w:p>
        </w:tc>
        <w:tc>
          <w:tcPr>
            <w:tcW w:w="781" w:type="pct"/>
            <w:vMerge w:val="restar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HC24010303-1037</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1.18</w:t>
            </w:r>
          </w:p>
        </w:tc>
        <w:tc>
          <w:tcPr>
            <w:tcW w:w="781" w:type="pct"/>
            <w:vMerge w:val="continue"/>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HC24010303-1038</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1.46</w:t>
            </w:r>
          </w:p>
        </w:tc>
        <w:tc>
          <w:tcPr>
            <w:tcW w:w="781" w:type="pct"/>
            <w:vMerge w:val="continue"/>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restart"/>
            <w:noWrap w:val="0"/>
            <w:vAlign w:val="center"/>
          </w:tcPr>
          <w:p>
            <w:pPr>
              <w:spacing w:line="220" w:lineRule="atLeast"/>
              <w:ind w:firstLine="420" w:firstLineChars="200"/>
              <w:jc w:val="both"/>
              <w:rPr>
                <w:rFonts w:ascii="Times New Roman" w:hAnsi="Times New Roman" w:eastAsia="宋体" w:cs="Times New Roman"/>
                <w:color w:val="000000"/>
                <w:sz w:val="21"/>
                <w:szCs w:val="21"/>
              </w:rPr>
            </w:pPr>
            <w:r>
              <w:rPr>
                <w:rFonts w:hint="eastAsia" w:ascii="Times New Roman" w:hAnsi="Times New Roman" w:eastAsia="宋体" w:cs="Times New Roman"/>
                <w:color w:val="auto"/>
                <w:sz w:val="21"/>
                <w:szCs w:val="21"/>
                <w:lang w:val="en-US" w:eastAsia="zh-CN"/>
              </w:rPr>
              <w:t>氨</w:t>
            </w:r>
            <w:r>
              <w:rPr>
                <w:rFonts w:hint="default" w:ascii="Times New Roman" w:hAnsi="Times New Roman" w:eastAsia="宋体" w:cs="Times New Roman"/>
                <w:color w:val="auto"/>
                <w:sz w:val="21"/>
                <w:szCs w:val="21"/>
                <w:lang w:val="en-US" w:eastAsia="zh-CN"/>
              </w:rPr>
              <w:t>（mg/m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w:t>
            </w: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1</w:t>
            </w:r>
            <w:r>
              <w:rPr>
                <w:rFonts w:ascii="Times New Roman" w:hAnsi="Times New Roman" w:eastAsia="宋体" w:cs="Times New Roman"/>
                <w:color w:val="000000"/>
                <w:sz w:val="21"/>
                <w:szCs w:val="21"/>
              </w:rPr>
              <w:t>#</w:t>
            </w:r>
            <w:r>
              <w:rPr>
                <w:rFonts w:hint="eastAsia" w:ascii="Times New Roman" w:hAnsi="Times New Roman" w:eastAsia="宋体" w:cs="Times New Roman"/>
                <w:color w:val="000000"/>
                <w:sz w:val="21"/>
                <w:szCs w:val="21"/>
              </w:rPr>
              <w:t>上</w:t>
            </w:r>
            <w:r>
              <w:rPr>
                <w:rFonts w:ascii="Times New Roman" w:hAnsi="Times New Roman" w:eastAsia="宋体" w:cs="Times New Roman"/>
                <w:color w:val="000000"/>
                <w:sz w:val="21"/>
                <w:szCs w:val="21"/>
              </w:rPr>
              <w:t>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HC24010303-1052</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0.28</w:t>
            </w:r>
          </w:p>
        </w:tc>
        <w:tc>
          <w:tcPr>
            <w:tcW w:w="781" w:type="pct"/>
            <w:vMerge w:val="restar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HC24010303-1053</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0.28</w:t>
            </w:r>
          </w:p>
        </w:tc>
        <w:tc>
          <w:tcPr>
            <w:tcW w:w="781" w:type="pct"/>
            <w:vMerge w:val="continue"/>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HC24010303-1054</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0.29</w:t>
            </w:r>
          </w:p>
        </w:tc>
        <w:tc>
          <w:tcPr>
            <w:tcW w:w="781" w:type="pct"/>
            <w:vMerge w:val="continue"/>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2#下风向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HC24010303-1055</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0.31</w:t>
            </w:r>
          </w:p>
        </w:tc>
        <w:tc>
          <w:tcPr>
            <w:tcW w:w="781" w:type="pct"/>
            <w:vMerge w:val="restar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HC24010303-1056</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0.30</w:t>
            </w:r>
          </w:p>
        </w:tc>
        <w:tc>
          <w:tcPr>
            <w:tcW w:w="781" w:type="pct"/>
            <w:vMerge w:val="continue"/>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HC24010303-1057</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0.33</w:t>
            </w:r>
          </w:p>
        </w:tc>
        <w:tc>
          <w:tcPr>
            <w:tcW w:w="781" w:type="pct"/>
            <w:vMerge w:val="continue"/>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3#下风向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HC24010303-1058</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0.36</w:t>
            </w:r>
          </w:p>
        </w:tc>
        <w:tc>
          <w:tcPr>
            <w:tcW w:w="781" w:type="pct"/>
            <w:vMerge w:val="restar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HC24010303-1059</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0.35</w:t>
            </w:r>
          </w:p>
        </w:tc>
        <w:tc>
          <w:tcPr>
            <w:tcW w:w="781" w:type="pct"/>
            <w:vMerge w:val="continue"/>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HC24010303-1060</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0.30</w:t>
            </w:r>
          </w:p>
        </w:tc>
        <w:tc>
          <w:tcPr>
            <w:tcW w:w="781" w:type="pct"/>
            <w:vMerge w:val="continue"/>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4</w:t>
            </w:r>
            <w:r>
              <w:rPr>
                <w:rFonts w:ascii="Times New Roman" w:hAnsi="Times New Roman" w:eastAsia="宋体" w:cs="Times New Roman"/>
                <w:color w:val="000000"/>
                <w:sz w:val="21"/>
                <w:szCs w:val="21"/>
              </w:rPr>
              <w:t>#下风向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HC24010303-1061</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0.29</w:t>
            </w:r>
          </w:p>
        </w:tc>
        <w:tc>
          <w:tcPr>
            <w:tcW w:w="781" w:type="pct"/>
            <w:vMerge w:val="restar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 xml:space="preserve">0.29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HC24010303-1062</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0.29</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HC24010303-1063</w:t>
            </w:r>
          </w:p>
        </w:tc>
        <w:tc>
          <w:tcPr>
            <w:tcW w:w="755" w:type="pct"/>
            <w:noWrap w:val="0"/>
            <w:vAlign w:val="center"/>
          </w:tcPr>
          <w:p>
            <w:pPr>
              <w:spacing w:line="22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0.28</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硫化氢</w:t>
            </w:r>
            <w:r>
              <w:rPr>
                <w:rFonts w:hint="default" w:ascii="Times New Roman" w:hAnsi="Times New Roman" w:eastAsia="宋体" w:cs="Times New Roman"/>
                <w:color w:val="000000"/>
                <w:sz w:val="21"/>
                <w:szCs w:val="21"/>
              </w:rPr>
              <w:t>（</w:t>
            </w:r>
            <w:r>
              <w:rPr>
                <w:rFonts w:hint="eastAsia" w:ascii="Times New Roman" w:hAnsi="Times New Roman" w:eastAsia="宋体" w:cs="Times New Roman"/>
                <w:color w:val="000000"/>
                <w:sz w:val="21"/>
                <w:szCs w:val="21"/>
                <w:lang w:val="en-US" w:eastAsia="zh-CN"/>
              </w:rPr>
              <w:t>m</w:t>
            </w:r>
            <w:r>
              <w:rPr>
                <w:rFonts w:hint="default" w:ascii="Times New Roman" w:hAnsi="Times New Roman" w:eastAsia="宋体" w:cs="Times New Roman"/>
                <w:color w:val="000000"/>
                <w:sz w:val="21"/>
                <w:szCs w:val="21"/>
              </w:rPr>
              <w:t>g/m</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color w:val="000000"/>
                <w:sz w:val="21"/>
                <w:szCs w:val="21"/>
              </w:rPr>
              <w:t>）</w:t>
            </w: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1</w:t>
            </w:r>
            <w:r>
              <w:rPr>
                <w:rFonts w:ascii="Times New Roman" w:hAnsi="Times New Roman" w:eastAsia="宋体" w:cs="Times New Roman"/>
                <w:color w:val="000000"/>
                <w:sz w:val="21"/>
                <w:szCs w:val="21"/>
              </w:rPr>
              <w:t>#</w:t>
            </w:r>
            <w:r>
              <w:rPr>
                <w:rFonts w:hint="eastAsia" w:ascii="Times New Roman" w:hAnsi="Times New Roman" w:eastAsia="宋体" w:cs="Times New Roman"/>
                <w:color w:val="000000"/>
                <w:sz w:val="21"/>
                <w:szCs w:val="21"/>
              </w:rPr>
              <w:t>上</w:t>
            </w:r>
            <w:r>
              <w:rPr>
                <w:rFonts w:ascii="Times New Roman" w:hAnsi="Times New Roman" w:eastAsia="宋体" w:cs="Times New Roman"/>
                <w:color w:val="000000"/>
                <w:sz w:val="21"/>
                <w:szCs w:val="21"/>
              </w:rPr>
              <w:t>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HC24010303-1065</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0.004</w:t>
            </w:r>
          </w:p>
        </w:tc>
        <w:tc>
          <w:tcPr>
            <w:tcW w:w="781" w:type="pct"/>
            <w:vMerge w:val="restart"/>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sz w:val="21"/>
                <w:szCs w:val="21"/>
                <w:lang w:val="en-US" w:eastAsia="zh-CN"/>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HC24010303-1066</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0.004</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HC24010303-1067</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0.005</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2#下风向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HC24010303-1068</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0.006</w:t>
            </w:r>
          </w:p>
        </w:tc>
        <w:tc>
          <w:tcPr>
            <w:tcW w:w="781" w:type="pct"/>
            <w:vMerge w:val="restart"/>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sz w:val="21"/>
                <w:szCs w:val="21"/>
                <w:lang w:val="en-US" w:eastAsia="zh-CN"/>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HC24010303-1069</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0.005</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HC24010303-1070</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0.008</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3#下风向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HC24010303-1071</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0.010</w:t>
            </w:r>
          </w:p>
        </w:tc>
        <w:tc>
          <w:tcPr>
            <w:tcW w:w="781" w:type="pct"/>
            <w:vMerge w:val="restart"/>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sz w:val="21"/>
                <w:szCs w:val="21"/>
                <w:lang w:val="en-US" w:eastAsia="zh-CN"/>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HC24010303-1072</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0.013</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HC24010303-1073</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0.012</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4</w:t>
            </w:r>
            <w:r>
              <w:rPr>
                <w:rFonts w:ascii="Times New Roman" w:hAnsi="Times New Roman" w:eastAsia="宋体" w:cs="Times New Roman"/>
                <w:color w:val="000000"/>
                <w:sz w:val="21"/>
                <w:szCs w:val="21"/>
              </w:rPr>
              <w:t>#下风向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HC24010303-1074</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0.010</w:t>
            </w:r>
          </w:p>
        </w:tc>
        <w:tc>
          <w:tcPr>
            <w:tcW w:w="781" w:type="pct"/>
            <w:vMerge w:val="restar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HC24010303-1075</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0.010</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HC24010303-1076</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0.008</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restart"/>
            <w:noWrap w:val="0"/>
            <w:vAlign w:val="center"/>
          </w:tcPr>
          <w:p>
            <w:pPr>
              <w:widowControl w:val="0"/>
              <w:spacing w:after="0" w:line="220" w:lineRule="atLeast"/>
              <w:jc w:val="both"/>
              <w:rPr>
                <w:rFonts w:ascii="Times New Roman" w:hAnsi="Times New Roman" w:eastAsia="宋体" w:cs="Times New Roman"/>
                <w:color w:val="000000"/>
                <w:sz w:val="21"/>
                <w:szCs w:val="21"/>
              </w:rPr>
            </w:pPr>
            <w:r>
              <w:rPr>
                <w:rFonts w:hint="default" w:ascii="Times New Roman" w:hAnsi="Times New Roman" w:eastAsia="宋体" w:cs="Times New Roman"/>
                <w:color w:val="auto"/>
                <w:sz w:val="21"/>
                <w:szCs w:val="21"/>
                <w:lang w:val="en-US" w:eastAsia="zh-CN"/>
              </w:rPr>
              <w:t>臭气浓度（无量纲</w:t>
            </w:r>
            <w:r>
              <w:rPr>
                <w:rFonts w:hint="eastAsia" w:ascii="Times New Roman" w:hAnsi="Times New Roman" w:cs="Times New Roman"/>
                <w:color w:val="auto"/>
                <w:sz w:val="21"/>
                <w:szCs w:val="21"/>
                <w:lang w:val="en-US" w:eastAsia="zh-CN"/>
              </w:rPr>
              <w:t>)</w:t>
            </w: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1</w:t>
            </w:r>
            <w:r>
              <w:rPr>
                <w:rFonts w:ascii="Times New Roman" w:hAnsi="Times New Roman" w:eastAsia="宋体" w:cs="Times New Roman"/>
                <w:color w:val="000000"/>
                <w:sz w:val="21"/>
                <w:szCs w:val="21"/>
              </w:rPr>
              <w:t>#</w:t>
            </w:r>
            <w:r>
              <w:rPr>
                <w:rFonts w:hint="eastAsia" w:ascii="Times New Roman" w:hAnsi="Times New Roman" w:eastAsia="宋体" w:cs="Times New Roman"/>
                <w:color w:val="000000"/>
                <w:sz w:val="21"/>
                <w:szCs w:val="21"/>
              </w:rPr>
              <w:t>上</w:t>
            </w:r>
            <w:r>
              <w:rPr>
                <w:rFonts w:ascii="Times New Roman" w:hAnsi="Times New Roman" w:eastAsia="宋体" w:cs="Times New Roman"/>
                <w:color w:val="000000"/>
                <w:sz w:val="21"/>
                <w:szCs w:val="21"/>
              </w:rPr>
              <w:t>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HC24010303-1040</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ND</w:t>
            </w:r>
          </w:p>
        </w:tc>
        <w:tc>
          <w:tcPr>
            <w:tcW w:w="781" w:type="pct"/>
            <w:vMerge w:val="restart"/>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kern w:val="2"/>
                <w:sz w:val="21"/>
                <w:szCs w:val="21"/>
                <w:lang w:val="en-US" w:eastAsia="zh-CN" w:bidi="ar-SA"/>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HC24010303-1041</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ND</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HC24010303-1042</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ND</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2#下风向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HC24010303-1043</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17</w:t>
            </w:r>
          </w:p>
        </w:tc>
        <w:tc>
          <w:tcPr>
            <w:tcW w:w="781" w:type="pct"/>
            <w:vMerge w:val="restart"/>
            <w:noWrap w:val="0"/>
            <w:vAlign w:val="center"/>
          </w:tcPr>
          <w:p>
            <w:pPr>
              <w:widowControl w:val="0"/>
              <w:tabs>
                <w:tab w:val="center" w:pos="1519"/>
                <w:tab w:val="right" w:pos="2919"/>
              </w:tabs>
              <w:spacing w:after="0"/>
              <w:jc w:val="center"/>
              <w:textAlignment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sz w:val="21"/>
                <w:szCs w:val="21"/>
                <w:lang w:val="en-US" w:eastAsia="zh-CN"/>
              </w:rPr>
              <w:t>1</w:t>
            </w:r>
            <w:r>
              <w:rPr>
                <w:rFonts w:hint="eastAsia" w:ascii="Times New Roman" w:hAnsi="Times New Roman" w:cs="Times New Roman"/>
                <w:color w:val="auto"/>
                <w:sz w:val="21"/>
                <w:szCs w:val="21"/>
                <w:lang w:val="en-US" w:eastAsia="zh-CN"/>
              </w:rPr>
              <w:t>7</w:t>
            </w:r>
            <w:r>
              <w:rPr>
                <w:rFonts w:hint="eastAsia" w:ascii="Times New Roman" w:hAnsi="Times New Roman" w:eastAsia="宋体" w:cs="Times New Roman"/>
                <w:color w:val="auto"/>
                <w:sz w:val="21"/>
                <w:szCs w:val="21"/>
                <w:lang w:val="en-US" w:eastAsia="zh-CN"/>
              </w:rPr>
              <w:t>(一次值)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HC24010303-1044</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16</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HC24010303-1045</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ND</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3#下风向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HC24010303-1046</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12</w:t>
            </w:r>
          </w:p>
        </w:tc>
        <w:tc>
          <w:tcPr>
            <w:tcW w:w="781" w:type="pct"/>
            <w:vMerge w:val="restart"/>
            <w:noWrap w:val="0"/>
            <w:vAlign w:val="center"/>
          </w:tcPr>
          <w:p>
            <w:pPr>
              <w:widowControl w:val="0"/>
              <w:tabs>
                <w:tab w:val="center" w:pos="1519"/>
                <w:tab w:val="right" w:pos="2919"/>
              </w:tabs>
              <w:spacing w:after="0"/>
              <w:jc w:val="center"/>
              <w:textAlignment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sz w:val="21"/>
                <w:szCs w:val="21"/>
                <w:lang w:val="en-US" w:eastAsia="zh-CN"/>
              </w:rPr>
              <w:t>1</w:t>
            </w:r>
            <w:r>
              <w:rPr>
                <w:rFonts w:hint="eastAsia" w:ascii="Times New Roman" w:hAnsi="Times New Roman" w:cs="Times New Roman"/>
                <w:color w:val="auto"/>
                <w:sz w:val="21"/>
                <w:szCs w:val="21"/>
                <w:lang w:val="en-US" w:eastAsia="zh-CN"/>
              </w:rPr>
              <w:t>5</w:t>
            </w:r>
            <w:r>
              <w:rPr>
                <w:rFonts w:hint="eastAsia" w:ascii="Times New Roman" w:hAnsi="Times New Roman" w:eastAsia="宋体" w:cs="Times New Roman"/>
                <w:color w:val="auto"/>
                <w:sz w:val="21"/>
                <w:szCs w:val="21"/>
                <w:lang w:val="en-US" w:eastAsia="zh-CN"/>
              </w:rPr>
              <w:t>(一次值)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HC24010303-1047</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ND</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HC24010303-1048</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15</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4</w:t>
            </w:r>
            <w:r>
              <w:rPr>
                <w:rFonts w:ascii="Times New Roman" w:hAnsi="Times New Roman" w:eastAsia="宋体" w:cs="Times New Roman"/>
                <w:color w:val="000000"/>
                <w:sz w:val="21"/>
                <w:szCs w:val="21"/>
              </w:rPr>
              <w:t>#下风向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HC24010303-1049</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12</w:t>
            </w:r>
          </w:p>
        </w:tc>
        <w:tc>
          <w:tcPr>
            <w:tcW w:w="781" w:type="pct"/>
            <w:vMerge w:val="restart"/>
            <w:noWrap w:val="0"/>
            <w:vAlign w:val="center"/>
          </w:tcPr>
          <w:p>
            <w:pPr>
              <w:widowControl w:val="0"/>
              <w:tabs>
                <w:tab w:val="center" w:pos="1519"/>
                <w:tab w:val="right" w:pos="2919"/>
              </w:tabs>
              <w:spacing w:after="0"/>
              <w:jc w:val="center"/>
              <w:textAlignment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auto"/>
                <w:sz w:val="21"/>
                <w:szCs w:val="21"/>
                <w:lang w:val="en-US" w:eastAsia="zh-CN"/>
              </w:rPr>
              <w:t>1</w:t>
            </w:r>
            <w:r>
              <w:rPr>
                <w:rFonts w:hint="eastAsia" w:ascii="Times New Roman" w:hAnsi="Times New Roman" w:cs="Times New Roman"/>
                <w:color w:val="auto"/>
                <w:sz w:val="21"/>
                <w:szCs w:val="21"/>
                <w:lang w:val="en-US" w:eastAsia="zh-CN"/>
              </w:rPr>
              <w:t>6</w:t>
            </w:r>
            <w:r>
              <w:rPr>
                <w:rFonts w:hint="eastAsia" w:ascii="Times New Roman" w:hAnsi="Times New Roman" w:eastAsia="宋体" w:cs="Times New Roman"/>
                <w:color w:val="auto"/>
                <w:sz w:val="21"/>
                <w:szCs w:val="21"/>
                <w:lang w:val="en-US" w:eastAsia="zh-CN"/>
              </w:rPr>
              <w:t>(一次值)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HC24010303-1050</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16</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HC24010303-1051</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ND</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Cs w:val="21"/>
              </w:rPr>
              <w:t>采样日期</w:t>
            </w:r>
          </w:p>
        </w:tc>
        <w:tc>
          <w:tcPr>
            <w:tcW w:w="4283" w:type="pct"/>
            <w:gridSpan w:val="5"/>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cs="Times New Roman"/>
                <w:sz w:val="21"/>
                <w:szCs w:val="21"/>
                <w:lang w:val="en-US" w:eastAsia="zh-CN"/>
              </w:rPr>
              <w:t>2024.01.05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VOCs（以非甲烷总烃计）（</w:t>
            </w:r>
            <w:r>
              <w:rPr>
                <w:rFonts w:hint="eastAsia" w:ascii="Times New Roman" w:hAnsi="Times New Roman" w:cs="Times New Roman"/>
                <w:color w:val="000000"/>
                <w:sz w:val="21"/>
                <w:szCs w:val="21"/>
                <w:lang w:val="en-US" w:eastAsia="zh-CN"/>
              </w:rPr>
              <w:t>m</w:t>
            </w:r>
            <w:r>
              <w:rPr>
                <w:rFonts w:hint="eastAsia" w:ascii="Times New Roman" w:hAnsi="Times New Roman" w:eastAsia="宋体" w:cs="Times New Roman"/>
                <w:color w:val="000000"/>
                <w:sz w:val="21"/>
                <w:szCs w:val="21"/>
                <w:lang w:val="en-US" w:eastAsia="zh-CN"/>
              </w:rPr>
              <w:t>g/m</w:t>
            </w:r>
            <w:r>
              <w:rPr>
                <w:rFonts w:hint="eastAsia" w:ascii="Times New Roman" w:hAnsi="Times New Roman" w:eastAsia="宋体" w:cs="Times New Roman"/>
                <w:color w:val="000000"/>
                <w:sz w:val="21"/>
                <w:szCs w:val="21"/>
                <w:vertAlign w:val="superscript"/>
                <w:lang w:val="en-US" w:eastAsia="zh-CN"/>
              </w:rPr>
              <w:t>3</w:t>
            </w:r>
            <w:r>
              <w:rPr>
                <w:rFonts w:hint="eastAsia" w:ascii="Times New Roman" w:hAnsi="Times New Roman" w:eastAsia="宋体" w:cs="Times New Roman"/>
                <w:color w:val="000000"/>
                <w:sz w:val="21"/>
                <w:szCs w:val="21"/>
                <w:lang w:val="en-US" w:eastAsia="zh-CN"/>
              </w:rPr>
              <w:t>）</w:t>
            </w: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1</w:t>
            </w:r>
            <w:r>
              <w:rPr>
                <w:rFonts w:ascii="Times New Roman" w:hAnsi="Times New Roman" w:eastAsia="宋体" w:cs="Times New Roman"/>
                <w:color w:val="000000"/>
                <w:sz w:val="21"/>
                <w:szCs w:val="21"/>
              </w:rPr>
              <w:t>#</w:t>
            </w:r>
            <w:r>
              <w:rPr>
                <w:rFonts w:hint="eastAsia" w:ascii="Times New Roman" w:hAnsi="Times New Roman" w:eastAsia="宋体" w:cs="Times New Roman"/>
                <w:color w:val="000000"/>
                <w:sz w:val="21"/>
                <w:szCs w:val="21"/>
              </w:rPr>
              <w:t>上</w:t>
            </w:r>
            <w:r>
              <w:rPr>
                <w:rFonts w:ascii="Times New Roman" w:hAnsi="Times New Roman" w:eastAsia="宋体" w:cs="Times New Roman"/>
                <w:color w:val="000000"/>
                <w:sz w:val="21"/>
                <w:szCs w:val="21"/>
              </w:rPr>
              <w:t>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HC24010303-2027</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0.47</w:t>
            </w:r>
          </w:p>
        </w:tc>
        <w:tc>
          <w:tcPr>
            <w:tcW w:w="781" w:type="pct"/>
            <w:vMerge w:val="restart"/>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kern w:val="2"/>
                <w:sz w:val="21"/>
                <w:szCs w:val="21"/>
                <w:lang w:val="en-US" w:eastAsia="zh-CN" w:bidi="ar-SA"/>
              </w:rPr>
              <w:t>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HC24010303-2028</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0.40</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HC24010303-2029</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0.38</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2#下风向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HC24010303-2030</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0.86</w:t>
            </w:r>
          </w:p>
        </w:tc>
        <w:tc>
          <w:tcPr>
            <w:tcW w:w="781" w:type="pct"/>
            <w:vMerge w:val="restart"/>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kern w:val="2"/>
                <w:sz w:val="21"/>
                <w:szCs w:val="21"/>
                <w:lang w:val="en-US" w:eastAsia="zh-CN" w:bidi="ar-SA"/>
              </w:rPr>
              <w:t>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HC24010303-2031</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1.34</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HC24010303-2032</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1.12</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3#下风向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HC24010303-2033</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1.18</w:t>
            </w:r>
          </w:p>
        </w:tc>
        <w:tc>
          <w:tcPr>
            <w:tcW w:w="781" w:type="pct"/>
            <w:vMerge w:val="restart"/>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kern w:val="2"/>
                <w:sz w:val="21"/>
                <w:szCs w:val="21"/>
                <w:lang w:val="en-US" w:eastAsia="zh-CN" w:bidi="ar-SA"/>
              </w:rPr>
              <w:t>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HC24010303-2034</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0.84</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HC24010303-2035</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1.36</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4</w:t>
            </w:r>
            <w:r>
              <w:rPr>
                <w:rFonts w:ascii="Times New Roman" w:hAnsi="Times New Roman" w:eastAsia="宋体" w:cs="Times New Roman"/>
                <w:color w:val="000000"/>
                <w:sz w:val="21"/>
                <w:szCs w:val="21"/>
              </w:rPr>
              <w:t>#下风向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HC24010303-2036</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1.32</w:t>
            </w:r>
          </w:p>
        </w:tc>
        <w:tc>
          <w:tcPr>
            <w:tcW w:w="781" w:type="pct"/>
            <w:vMerge w:val="restar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 xml:space="preserve">1.10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HC24010303-2037</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1.18</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HC24010303-2038</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0.80</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restart"/>
            <w:noWrap w:val="0"/>
            <w:vAlign w:val="center"/>
          </w:tcPr>
          <w:p>
            <w:pPr>
              <w:spacing w:line="220" w:lineRule="atLeast"/>
              <w:ind w:firstLine="420" w:firstLineChars="200"/>
              <w:jc w:val="both"/>
              <w:rPr>
                <w:rFonts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auto"/>
                <w:sz w:val="21"/>
                <w:szCs w:val="21"/>
                <w:lang w:val="en-US" w:eastAsia="zh-CN"/>
              </w:rPr>
              <w:t>氨</w:t>
            </w:r>
            <w:r>
              <w:rPr>
                <w:rFonts w:hint="default" w:ascii="Times New Roman" w:hAnsi="Times New Roman" w:eastAsia="宋体" w:cs="Times New Roman"/>
                <w:color w:val="auto"/>
                <w:sz w:val="21"/>
                <w:szCs w:val="21"/>
                <w:lang w:val="en-US" w:eastAsia="zh-CN"/>
              </w:rPr>
              <w:t>（mg/m</w:t>
            </w:r>
            <w:r>
              <w:rPr>
                <w:rFonts w:hint="default" w:ascii="Times New Roman" w:hAnsi="Times New Roman" w:eastAsia="宋体" w:cs="Times New Roman"/>
                <w:color w:val="auto"/>
                <w:sz w:val="21"/>
                <w:szCs w:val="21"/>
                <w:vertAlign w:val="superscript"/>
                <w:lang w:val="en-US" w:eastAsia="zh-CN"/>
              </w:rPr>
              <w:t>3</w:t>
            </w:r>
            <w:r>
              <w:rPr>
                <w:rFonts w:hint="default" w:ascii="Times New Roman" w:hAnsi="Times New Roman" w:eastAsia="宋体" w:cs="Times New Roman"/>
                <w:color w:val="auto"/>
                <w:sz w:val="21"/>
                <w:szCs w:val="21"/>
                <w:lang w:val="en-US" w:eastAsia="zh-CN"/>
              </w:rPr>
              <w:t>）</w:t>
            </w: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1</w:t>
            </w:r>
            <w:r>
              <w:rPr>
                <w:rFonts w:ascii="Times New Roman" w:hAnsi="Times New Roman" w:eastAsia="宋体" w:cs="Times New Roman"/>
                <w:color w:val="000000"/>
                <w:sz w:val="21"/>
                <w:szCs w:val="21"/>
              </w:rPr>
              <w:t>#</w:t>
            </w:r>
            <w:r>
              <w:rPr>
                <w:rFonts w:hint="eastAsia" w:ascii="Times New Roman" w:hAnsi="Times New Roman" w:eastAsia="宋体" w:cs="Times New Roman"/>
                <w:color w:val="000000"/>
                <w:sz w:val="21"/>
                <w:szCs w:val="21"/>
              </w:rPr>
              <w:t>上</w:t>
            </w:r>
            <w:r>
              <w:rPr>
                <w:rFonts w:ascii="Times New Roman" w:hAnsi="Times New Roman" w:eastAsia="宋体" w:cs="Times New Roman"/>
                <w:color w:val="000000"/>
                <w:sz w:val="21"/>
                <w:szCs w:val="21"/>
              </w:rPr>
              <w:t>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HC24010303-2052</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0.30</w:t>
            </w:r>
          </w:p>
        </w:tc>
        <w:tc>
          <w:tcPr>
            <w:tcW w:w="781" w:type="pct"/>
            <w:vMerge w:val="restart"/>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kern w:val="2"/>
                <w:sz w:val="21"/>
                <w:szCs w:val="21"/>
                <w:lang w:val="en-US" w:eastAsia="zh-CN" w:bidi="ar-SA"/>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HC24010303-2053</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0.30</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HC24010303-2054</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0.31</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2#下风向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HC24010303-2055</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0.30</w:t>
            </w:r>
          </w:p>
        </w:tc>
        <w:tc>
          <w:tcPr>
            <w:tcW w:w="781" w:type="pct"/>
            <w:vMerge w:val="restart"/>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kern w:val="2"/>
                <w:sz w:val="21"/>
                <w:szCs w:val="21"/>
                <w:lang w:val="en-US" w:eastAsia="zh-CN" w:bidi="ar-SA"/>
              </w:rPr>
              <w:t>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HC24010303-2056</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0.32</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HC24010303-2057</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0.35</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3#下风向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HC24010303-2058</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0.36</w:t>
            </w:r>
          </w:p>
        </w:tc>
        <w:tc>
          <w:tcPr>
            <w:tcW w:w="781" w:type="pct"/>
            <w:vMerge w:val="restart"/>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kern w:val="2"/>
                <w:sz w:val="21"/>
                <w:szCs w:val="21"/>
                <w:lang w:val="en-US" w:eastAsia="zh-CN" w:bidi="ar-SA"/>
              </w:rPr>
              <w:t>0.36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HC24010303-2059</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0.38</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HC24010303-2060</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0.33</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4</w:t>
            </w:r>
            <w:r>
              <w:rPr>
                <w:rFonts w:ascii="Times New Roman" w:hAnsi="Times New Roman" w:eastAsia="宋体" w:cs="Times New Roman"/>
                <w:color w:val="000000"/>
                <w:sz w:val="21"/>
                <w:szCs w:val="21"/>
              </w:rPr>
              <w:t>#下风向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HC24010303-2061</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0.30</w:t>
            </w:r>
          </w:p>
        </w:tc>
        <w:tc>
          <w:tcPr>
            <w:tcW w:w="781" w:type="pct"/>
            <w:vMerge w:val="restar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HC24010303-2062</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0.30</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HC24010303-2063</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0.29</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restart"/>
            <w:noWrap w:val="0"/>
            <w:vAlign w:val="center"/>
          </w:tcPr>
          <w:p>
            <w:pPr>
              <w:spacing w:line="220" w:lineRule="atLeast"/>
              <w:jc w:val="center"/>
              <w:rPr>
                <w:rFonts w:ascii="Times New Roman" w:hAnsi="Times New Roman" w:eastAsia="宋体" w:cs="Times New Roman"/>
                <w:color w:val="000000"/>
                <w:sz w:val="21"/>
                <w:szCs w:val="21"/>
              </w:rPr>
            </w:pPr>
            <w:bookmarkStart w:id="72" w:name="_Hlk74757806"/>
            <w:r>
              <w:rPr>
                <w:rFonts w:hint="eastAsia" w:ascii="Times New Roman" w:hAnsi="Times New Roman" w:eastAsia="宋体" w:cs="Times New Roman"/>
                <w:color w:val="000000"/>
                <w:sz w:val="21"/>
                <w:szCs w:val="21"/>
                <w:lang w:val="en-US" w:eastAsia="zh-CN"/>
              </w:rPr>
              <w:t>硫化氢</w:t>
            </w:r>
            <w:r>
              <w:rPr>
                <w:rFonts w:hint="default" w:ascii="Times New Roman" w:hAnsi="Times New Roman" w:eastAsia="宋体" w:cs="Times New Roman"/>
                <w:color w:val="000000"/>
                <w:sz w:val="21"/>
                <w:szCs w:val="21"/>
              </w:rPr>
              <w:t>（</w:t>
            </w:r>
            <w:r>
              <w:rPr>
                <w:rFonts w:hint="eastAsia" w:ascii="Times New Roman" w:hAnsi="Times New Roman" w:eastAsia="宋体" w:cs="Times New Roman"/>
                <w:color w:val="000000"/>
                <w:sz w:val="21"/>
                <w:szCs w:val="21"/>
                <w:lang w:val="en-US" w:eastAsia="zh-CN"/>
              </w:rPr>
              <w:t>m</w:t>
            </w:r>
            <w:r>
              <w:rPr>
                <w:rFonts w:hint="default" w:ascii="Times New Roman" w:hAnsi="Times New Roman" w:eastAsia="宋体" w:cs="Times New Roman"/>
                <w:color w:val="000000"/>
                <w:sz w:val="21"/>
                <w:szCs w:val="21"/>
              </w:rPr>
              <w:t>g/m</w:t>
            </w:r>
            <w:r>
              <w:rPr>
                <w:rFonts w:hint="default" w:ascii="Times New Roman" w:hAnsi="Times New Roman" w:eastAsia="宋体" w:cs="Times New Roman"/>
                <w:color w:val="000000"/>
                <w:sz w:val="21"/>
                <w:szCs w:val="21"/>
                <w:vertAlign w:val="superscript"/>
              </w:rPr>
              <w:t>3</w:t>
            </w:r>
            <w:r>
              <w:rPr>
                <w:rFonts w:hint="default" w:ascii="Times New Roman" w:hAnsi="Times New Roman" w:eastAsia="宋体" w:cs="Times New Roman"/>
                <w:color w:val="000000"/>
                <w:sz w:val="21"/>
                <w:szCs w:val="21"/>
              </w:rPr>
              <w:t>）</w:t>
            </w: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1</w:t>
            </w:r>
            <w:r>
              <w:rPr>
                <w:rFonts w:ascii="Times New Roman" w:hAnsi="Times New Roman" w:eastAsia="宋体" w:cs="Times New Roman"/>
                <w:color w:val="000000"/>
                <w:sz w:val="21"/>
                <w:szCs w:val="21"/>
              </w:rPr>
              <w:t>#</w:t>
            </w:r>
            <w:r>
              <w:rPr>
                <w:rFonts w:hint="eastAsia" w:ascii="Times New Roman" w:hAnsi="Times New Roman" w:eastAsia="宋体" w:cs="Times New Roman"/>
                <w:color w:val="000000"/>
                <w:sz w:val="21"/>
                <w:szCs w:val="21"/>
              </w:rPr>
              <w:t>上</w:t>
            </w:r>
            <w:r>
              <w:rPr>
                <w:rFonts w:ascii="Times New Roman" w:hAnsi="Times New Roman" w:eastAsia="宋体" w:cs="Times New Roman"/>
                <w:color w:val="000000"/>
                <w:sz w:val="21"/>
                <w:szCs w:val="21"/>
              </w:rPr>
              <w:t>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HC24010303-2065</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0.003</w:t>
            </w:r>
          </w:p>
        </w:tc>
        <w:tc>
          <w:tcPr>
            <w:tcW w:w="781" w:type="pct"/>
            <w:vMerge w:val="restart"/>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sz w:val="21"/>
                <w:szCs w:val="21"/>
                <w:lang w:val="en-US" w:eastAsia="zh-CN"/>
              </w:rPr>
              <w:t>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HC24010303-2066</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0.004</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HC24010303-2067</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0.004</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2#下风向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HC24010303-2068</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0.006</w:t>
            </w:r>
          </w:p>
        </w:tc>
        <w:tc>
          <w:tcPr>
            <w:tcW w:w="781" w:type="pct"/>
            <w:vMerge w:val="restart"/>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sz w:val="21"/>
                <w:szCs w:val="21"/>
                <w:lang w:val="en-US" w:eastAsia="zh-CN"/>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HC24010303-2069</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0.005</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HC24010303-2070</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0.008</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3#下风向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HC24010303-2071</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0.009</w:t>
            </w:r>
          </w:p>
        </w:tc>
        <w:tc>
          <w:tcPr>
            <w:tcW w:w="781" w:type="pct"/>
            <w:vMerge w:val="restart"/>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sz w:val="21"/>
                <w:szCs w:val="21"/>
                <w:lang w:val="en-US" w:eastAsia="zh-CN"/>
              </w:rPr>
              <w:t>0.010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HC24010303-2072</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0.009</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HC24010303-2073</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0.012</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4</w:t>
            </w:r>
            <w:r>
              <w:rPr>
                <w:rFonts w:ascii="Times New Roman" w:hAnsi="Times New Roman" w:eastAsia="宋体" w:cs="Times New Roman"/>
                <w:color w:val="000000"/>
                <w:sz w:val="21"/>
                <w:szCs w:val="21"/>
              </w:rPr>
              <w:t>#下风向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HC24010303-2074</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0.010</w:t>
            </w:r>
          </w:p>
        </w:tc>
        <w:tc>
          <w:tcPr>
            <w:tcW w:w="781" w:type="pct"/>
            <w:vMerge w:val="restar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0.010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HC24010303-2075</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0.010</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HC24010303-2076</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0.009</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restart"/>
            <w:noWrap w:val="0"/>
            <w:vAlign w:val="center"/>
          </w:tcPr>
          <w:p>
            <w:pPr>
              <w:widowControl w:val="0"/>
              <w:spacing w:after="0" w:line="220" w:lineRule="atLeast"/>
              <w:jc w:val="both"/>
              <w:rPr>
                <w:rFonts w:hint="default" w:ascii="Times New Roman" w:hAnsi="Times New Roman" w:eastAsia="宋体" w:cs="Times New Roman"/>
                <w:color w:val="000000"/>
                <w:kern w:val="2"/>
                <w:sz w:val="21"/>
                <w:szCs w:val="21"/>
                <w:lang w:val="en-US" w:eastAsia="zh-CN" w:bidi="ar-SA"/>
              </w:rPr>
            </w:pPr>
            <w:r>
              <w:rPr>
                <w:rFonts w:hint="default" w:ascii="Times New Roman" w:hAnsi="Times New Roman" w:eastAsia="宋体" w:cs="Times New Roman"/>
                <w:color w:val="auto"/>
                <w:sz w:val="21"/>
                <w:szCs w:val="21"/>
                <w:lang w:val="en-US" w:eastAsia="zh-CN"/>
              </w:rPr>
              <w:t>臭气浓度（无量纲</w:t>
            </w:r>
            <w:r>
              <w:rPr>
                <w:rFonts w:hint="eastAsia" w:ascii="Times New Roman" w:hAnsi="Times New Roman" w:cs="Times New Roman"/>
                <w:color w:val="auto"/>
                <w:sz w:val="21"/>
                <w:szCs w:val="21"/>
                <w:lang w:val="en-US" w:eastAsia="zh-CN"/>
              </w:rPr>
              <w:t>)</w:t>
            </w: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1</w:t>
            </w:r>
            <w:r>
              <w:rPr>
                <w:rFonts w:ascii="Times New Roman" w:hAnsi="Times New Roman" w:eastAsia="宋体" w:cs="Times New Roman"/>
                <w:color w:val="000000"/>
                <w:sz w:val="21"/>
                <w:szCs w:val="21"/>
              </w:rPr>
              <w:t>#</w:t>
            </w:r>
            <w:r>
              <w:rPr>
                <w:rFonts w:hint="eastAsia" w:ascii="Times New Roman" w:hAnsi="Times New Roman" w:eastAsia="宋体" w:cs="Times New Roman"/>
                <w:color w:val="000000"/>
                <w:sz w:val="21"/>
                <w:szCs w:val="21"/>
              </w:rPr>
              <w:t>上</w:t>
            </w:r>
            <w:r>
              <w:rPr>
                <w:rFonts w:ascii="Times New Roman" w:hAnsi="Times New Roman" w:eastAsia="宋体" w:cs="Times New Roman"/>
                <w:color w:val="000000"/>
                <w:sz w:val="21"/>
                <w:szCs w:val="21"/>
              </w:rPr>
              <w:t>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HC24010303-2040</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ND</w:t>
            </w:r>
          </w:p>
        </w:tc>
        <w:tc>
          <w:tcPr>
            <w:tcW w:w="781" w:type="pct"/>
            <w:vMerge w:val="restart"/>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kern w:val="2"/>
                <w:sz w:val="21"/>
                <w:szCs w:val="21"/>
                <w:lang w:val="en-US" w:eastAsia="zh-CN" w:bidi="ar-SA"/>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HC24010303-2041</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ND</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HC24010303-2042</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ND</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2#下风向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HC24010303-2043</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12</w:t>
            </w:r>
          </w:p>
        </w:tc>
        <w:tc>
          <w:tcPr>
            <w:tcW w:w="781" w:type="pct"/>
            <w:vMerge w:val="restart"/>
            <w:noWrap w:val="0"/>
            <w:vAlign w:val="center"/>
          </w:tcPr>
          <w:p>
            <w:pPr>
              <w:widowControl w:val="0"/>
              <w:tabs>
                <w:tab w:val="center" w:pos="1519"/>
                <w:tab w:val="right" w:pos="2919"/>
              </w:tabs>
              <w:spacing w:after="0"/>
              <w:jc w:val="center"/>
              <w:textAlignment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sz w:val="21"/>
                <w:szCs w:val="21"/>
                <w:lang w:val="en-US" w:eastAsia="zh-CN"/>
              </w:rPr>
              <w:t>1</w:t>
            </w:r>
            <w:r>
              <w:rPr>
                <w:rFonts w:hint="eastAsia" w:ascii="Times New Roman" w:hAnsi="Times New Roman" w:cs="Times New Roman"/>
                <w:color w:val="auto"/>
                <w:sz w:val="21"/>
                <w:szCs w:val="21"/>
                <w:lang w:val="en-US" w:eastAsia="zh-CN"/>
              </w:rPr>
              <w:t>2</w:t>
            </w:r>
            <w:r>
              <w:rPr>
                <w:rFonts w:hint="eastAsia" w:ascii="Times New Roman" w:hAnsi="Times New Roman" w:eastAsia="宋体" w:cs="Times New Roman"/>
                <w:color w:val="auto"/>
                <w:sz w:val="21"/>
                <w:szCs w:val="21"/>
                <w:lang w:val="en-US" w:eastAsia="zh-CN"/>
              </w:rPr>
              <w:t>(一次值)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HC24010303-2044</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ND</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HC24010303-2045</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ND</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ascii="Times New Roman" w:hAnsi="Times New Roman" w:eastAsia="宋体" w:cs="Times New Roman"/>
                <w:color w:val="000000"/>
                <w:sz w:val="21"/>
                <w:szCs w:val="21"/>
              </w:rPr>
              <w:t>3#下风向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HC24010303-2046</w:t>
            </w:r>
          </w:p>
        </w:tc>
        <w:tc>
          <w:tcPr>
            <w:tcW w:w="755" w:type="pct"/>
            <w:noWrap w:val="0"/>
            <w:vAlign w:val="center"/>
          </w:tcPr>
          <w:p>
            <w:pPr>
              <w:spacing w:line="220" w:lineRule="atLeast"/>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ND</w:t>
            </w:r>
          </w:p>
        </w:tc>
        <w:tc>
          <w:tcPr>
            <w:tcW w:w="781" w:type="pct"/>
            <w:vMerge w:val="restart"/>
            <w:noWrap w:val="0"/>
            <w:vAlign w:val="center"/>
          </w:tcPr>
          <w:p>
            <w:pPr>
              <w:widowControl w:val="0"/>
              <w:tabs>
                <w:tab w:val="center" w:pos="1519"/>
                <w:tab w:val="right" w:pos="2919"/>
              </w:tabs>
              <w:spacing w:after="0"/>
              <w:jc w:val="center"/>
              <w:textAlignment w:val="center"/>
              <w:rPr>
                <w:rFonts w:hint="eastAsia" w:ascii="Times New Roman" w:hAnsi="Times New Roman" w:eastAsia="宋体" w:cs="Times New Roman"/>
                <w:color w:val="000000"/>
                <w:sz w:val="21"/>
                <w:szCs w:val="21"/>
              </w:rPr>
            </w:pPr>
            <w:r>
              <w:rPr>
                <w:rFonts w:hint="eastAsia" w:ascii="Times New Roman" w:hAnsi="Times New Roman" w:eastAsia="宋体" w:cs="Times New Roman"/>
                <w:color w:val="auto"/>
                <w:sz w:val="21"/>
                <w:szCs w:val="21"/>
                <w:lang w:val="en-US" w:eastAsia="zh-CN"/>
              </w:rPr>
              <w:t>1</w:t>
            </w:r>
            <w:r>
              <w:rPr>
                <w:rFonts w:hint="eastAsia" w:ascii="Times New Roman" w:hAnsi="Times New Roman" w:cs="Times New Roman"/>
                <w:color w:val="auto"/>
                <w:sz w:val="21"/>
                <w:szCs w:val="21"/>
                <w:lang w:val="en-US" w:eastAsia="zh-CN"/>
              </w:rPr>
              <w:t>4</w:t>
            </w:r>
            <w:r>
              <w:rPr>
                <w:rFonts w:hint="eastAsia" w:ascii="Times New Roman" w:hAnsi="Times New Roman" w:eastAsia="宋体" w:cs="Times New Roman"/>
                <w:color w:val="auto"/>
                <w:sz w:val="21"/>
                <w:szCs w:val="21"/>
                <w:lang w:val="en-US" w:eastAsia="zh-CN"/>
              </w:rPr>
              <w:t>(一次值)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HC24010303-2047</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14</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HC24010303-2048</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14</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restart"/>
            <w:noWrap w:val="0"/>
            <w:vAlign w:val="center"/>
          </w:tcPr>
          <w:p>
            <w:pPr>
              <w:spacing w:line="220" w:lineRule="atLeast"/>
              <w:jc w:val="center"/>
              <w:rPr>
                <w:rFonts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4</w:t>
            </w:r>
            <w:r>
              <w:rPr>
                <w:rFonts w:ascii="Times New Roman" w:hAnsi="Times New Roman" w:eastAsia="宋体" w:cs="Times New Roman"/>
                <w:color w:val="000000"/>
                <w:sz w:val="21"/>
                <w:szCs w:val="21"/>
              </w:rPr>
              <w:t>#下风向</w:t>
            </w: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第一次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HC24010303-2049</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ND</w:t>
            </w:r>
          </w:p>
        </w:tc>
        <w:tc>
          <w:tcPr>
            <w:tcW w:w="781" w:type="pct"/>
            <w:vMerge w:val="restart"/>
            <w:noWrap w:val="0"/>
            <w:vAlign w:val="center"/>
          </w:tcPr>
          <w:p>
            <w:pPr>
              <w:widowControl w:val="0"/>
              <w:tabs>
                <w:tab w:val="center" w:pos="1519"/>
                <w:tab w:val="right" w:pos="2919"/>
              </w:tabs>
              <w:spacing w:after="0"/>
              <w:jc w:val="center"/>
              <w:textAlignment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auto"/>
                <w:sz w:val="21"/>
                <w:szCs w:val="21"/>
                <w:lang w:val="en-US" w:eastAsia="zh-CN"/>
              </w:rPr>
              <w:t>1</w:t>
            </w:r>
            <w:r>
              <w:rPr>
                <w:rFonts w:hint="eastAsia" w:ascii="Times New Roman" w:hAnsi="Times New Roman" w:cs="Times New Roman"/>
                <w:color w:val="auto"/>
                <w:sz w:val="21"/>
                <w:szCs w:val="21"/>
                <w:lang w:val="en-US" w:eastAsia="zh-CN"/>
              </w:rPr>
              <w:t>3</w:t>
            </w:r>
            <w:r>
              <w:rPr>
                <w:rFonts w:hint="eastAsia" w:ascii="Times New Roman" w:hAnsi="Times New Roman" w:eastAsia="宋体" w:cs="Times New Roman"/>
                <w:color w:val="auto"/>
                <w:sz w:val="21"/>
                <w:szCs w:val="21"/>
                <w:lang w:val="en-US" w:eastAsia="zh-CN"/>
              </w:rPr>
              <w:t>(一次值)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第二次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HC24010303-2050</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13</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716"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801" w:type="pct"/>
            <w:vMerge w:val="continue"/>
            <w:noWrap w:val="0"/>
            <w:vAlign w:val="center"/>
          </w:tcPr>
          <w:p>
            <w:pPr>
              <w:spacing w:line="220" w:lineRule="atLeast"/>
              <w:jc w:val="center"/>
              <w:rPr>
                <w:rFonts w:ascii="Times New Roman" w:hAnsi="Times New Roman" w:eastAsia="宋体" w:cs="Times New Roman"/>
                <w:color w:val="000000"/>
                <w:sz w:val="21"/>
                <w:szCs w:val="21"/>
              </w:rPr>
            </w:pPr>
          </w:p>
        </w:tc>
        <w:tc>
          <w:tcPr>
            <w:tcW w:w="654" w:type="pct"/>
            <w:noWrap w:val="0"/>
            <w:vAlign w:val="center"/>
          </w:tcPr>
          <w:p>
            <w:pPr>
              <w:spacing w:line="220" w:lineRule="atLeast"/>
              <w:jc w:val="center"/>
              <w:rPr>
                <w:rFonts w:hint="eastAsia"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rPr>
              <w:t>第三次</w:t>
            </w:r>
          </w:p>
        </w:tc>
        <w:tc>
          <w:tcPr>
            <w:tcW w:w="129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HC24010303-2051</w:t>
            </w:r>
          </w:p>
        </w:tc>
        <w:tc>
          <w:tcPr>
            <w:tcW w:w="755" w:type="pct"/>
            <w:noWrap w:val="0"/>
            <w:vAlign w:val="center"/>
          </w:tcPr>
          <w:p>
            <w:pPr>
              <w:spacing w:line="220" w:lineRule="atLeast"/>
              <w:jc w:val="center"/>
              <w:rPr>
                <w:rFonts w:hint="eastAsia"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ND</w:t>
            </w:r>
          </w:p>
        </w:tc>
        <w:tc>
          <w:tcPr>
            <w:tcW w:w="781" w:type="pct"/>
            <w:vMerge w:val="continue"/>
            <w:noWrap w:val="0"/>
            <w:vAlign w:val="center"/>
          </w:tcPr>
          <w:p>
            <w:pPr>
              <w:spacing w:line="220" w:lineRule="atLeast"/>
              <w:jc w:val="center"/>
              <w:rPr>
                <w:rFonts w:hint="eastAsia" w:ascii="Times New Roman" w:hAnsi="Times New Roman" w:eastAsia="宋体" w:cs="Times New Roman"/>
                <w:color w:val="00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jc w:val="center"/>
        </w:trPr>
        <w:tc>
          <w:tcPr>
            <w:tcW w:w="5000" w:type="pct"/>
            <w:gridSpan w:val="6"/>
            <w:noWrap w:val="0"/>
            <w:vAlign w:val="center"/>
          </w:tcPr>
          <w:p>
            <w:pPr>
              <w:spacing w:line="220" w:lineRule="atLeast"/>
              <w:jc w:val="center"/>
              <w:rPr>
                <w:rFonts w:hint="eastAsia" w:ascii="Times New Roman" w:hAnsi="Times New Roman" w:eastAsia="宋体" w:cs="Times New Roman"/>
                <w:color w:val="000000"/>
                <w:sz w:val="21"/>
                <w:szCs w:val="21"/>
              </w:rPr>
            </w:pPr>
            <w:r>
              <w:rPr>
                <w:rFonts w:hint="eastAsia" w:ascii="Times New Roman" w:hAnsi="Times New Roman" w:cs="Times New Roman"/>
                <w:color w:val="auto"/>
                <w:sz w:val="21"/>
                <w:szCs w:val="21"/>
                <w:lang w:val="en-US" w:eastAsia="zh-CN"/>
              </w:rPr>
              <w:t>备注：“ND”表示未检出。</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lang w:val="en-US" w:eastAsia="zh-CN"/>
        </w:rPr>
        <w:t>根据上表可知，</w:t>
      </w:r>
      <w:r>
        <w:rPr>
          <w:rFonts w:hint="default" w:ascii="Times New Roman" w:hAnsi="Times New Roman" w:eastAsia="宋体" w:cs="Times New Roman"/>
          <w:color w:val="000000"/>
          <w:sz w:val="24"/>
          <w:szCs w:val="24"/>
        </w:rPr>
        <w:t>项目厂界无</w:t>
      </w:r>
      <w:r>
        <w:rPr>
          <w:rFonts w:hint="default" w:ascii="Times New Roman" w:hAnsi="Times New Roman" w:eastAsia="宋体" w:cs="Times New Roman"/>
          <w:color w:val="000000"/>
          <w:sz w:val="24"/>
          <w:szCs w:val="24"/>
          <w:lang w:val="en-US" w:eastAsia="zh-CN"/>
        </w:rPr>
        <w:t>组织</w:t>
      </w:r>
      <w:r>
        <w:rPr>
          <w:rFonts w:ascii="Times New Roman" w:hAnsi="Times New Roman" w:eastAsia="宋体" w:cs="Times New Roman"/>
          <w:b w:val="0"/>
          <w:bCs/>
          <w:sz w:val="24"/>
          <w:szCs w:val="24"/>
        </w:rPr>
        <w:t>NH</w:t>
      </w:r>
      <w:r>
        <w:rPr>
          <w:rFonts w:ascii="Times New Roman" w:hAnsi="Times New Roman" w:eastAsia="宋体" w:cs="Times New Roman"/>
          <w:b w:val="0"/>
          <w:bCs/>
          <w:sz w:val="24"/>
          <w:szCs w:val="24"/>
          <w:vertAlign w:val="subscript"/>
        </w:rPr>
        <w:t>3</w:t>
      </w:r>
      <w:r>
        <w:rPr>
          <w:rFonts w:hint="default" w:ascii="Times New Roman" w:hAnsi="Times New Roman" w:eastAsia="宋体" w:cs="Times New Roman"/>
          <w:color w:val="000000"/>
          <w:sz w:val="24"/>
          <w:szCs w:val="24"/>
          <w:lang w:val="en-US" w:eastAsia="zh-CN"/>
        </w:rPr>
        <w:t>最大排放浓度为0.3</w:t>
      </w:r>
      <w:r>
        <w:rPr>
          <w:rFonts w:hint="eastAsia" w:ascii="Times New Roman" w:hAnsi="Times New Roman" w:eastAsia="宋体" w:cs="Times New Roman"/>
          <w:color w:val="000000"/>
          <w:sz w:val="24"/>
          <w:szCs w:val="24"/>
          <w:lang w:val="en-US" w:eastAsia="zh-CN"/>
        </w:rPr>
        <w:t>8</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vertAlign w:val="baseline"/>
          <w:lang w:eastAsia="zh-CN"/>
        </w:rPr>
        <w:t>，</w:t>
      </w:r>
      <w:r>
        <w:rPr>
          <w:rFonts w:ascii="Times New Roman" w:hAnsi="Times New Roman" w:eastAsia="宋体" w:cs="Times New Roman"/>
          <w:b w:val="0"/>
          <w:bCs/>
          <w:sz w:val="24"/>
          <w:szCs w:val="24"/>
        </w:rPr>
        <w:t>H</w:t>
      </w:r>
      <w:r>
        <w:rPr>
          <w:rFonts w:ascii="Times New Roman" w:hAnsi="Times New Roman" w:eastAsia="宋体" w:cs="Times New Roman"/>
          <w:b w:val="0"/>
          <w:bCs/>
          <w:sz w:val="24"/>
          <w:szCs w:val="24"/>
          <w:vertAlign w:val="subscript"/>
        </w:rPr>
        <w:t>2</w:t>
      </w:r>
      <w:r>
        <w:rPr>
          <w:rFonts w:ascii="Times New Roman" w:hAnsi="Times New Roman" w:eastAsia="宋体" w:cs="Times New Roman"/>
          <w:b w:val="0"/>
          <w:bCs/>
          <w:sz w:val="24"/>
          <w:szCs w:val="24"/>
        </w:rPr>
        <w:t>S</w:t>
      </w:r>
      <w:r>
        <w:rPr>
          <w:rFonts w:hint="default" w:ascii="Times New Roman" w:hAnsi="Times New Roman" w:eastAsia="宋体" w:cs="Times New Roman"/>
          <w:color w:val="000000"/>
          <w:sz w:val="24"/>
          <w:szCs w:val="24"/>
          <w:lang w:val="en-US" w:eastAsia="zh-CN"/>
        </w:rPr>
        <w:t>最大排放浓度为0.</w:t>
      </w:r>
      <w:r>
        <w:rPr>
          <w:rFonts w:hint="eastAsia" w:ascii="Times New Roman" w:hAnsi="Times New Roman" w:eastAsia="宋体" w:cs="Times New Roman"/>
          <w:color w:val="000000"/>
          <w:sz w:val="24"/>
          <w:szCs w:val="24"/>
          <w:lang w:val="en-US" w:eastAsia="zh-CN"/>
        </w:rPr>
        <w:t>013</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color w:val="auto"/>
          <w:sz w:val="24"/>
          <w:szCs w:val="24"/>
          <w:lang w:val="en-US" w:eastAsia="zh-CN"/>
        </w:rPr>
        <w:t>臭气浓度</w:t>
      </w:r>
      <w:r>
        <w:rPr>
          <w:rFonts w:hint="default" w:ascii="Times New Roman" w:hAnsi="Times New Roman" w:eastAsia="宋体" w:cs="Times New Roman"/>
          <w:color w:val="000000"/>
          <w:sz w:val="24"/>
          <w:szCs w:val="24"/>
          <w:lang w:val="en-US" w:eastAsia="zh-CN"/>
        </w:rPr>
        <w:t>为</w:t>
      </w:r>
      <w:r>
        <w:rPr>
          <w:rFonts w:hint="eastAsia" w:ascii="Times New Roman" w:hAnsi="Times New Roman" w:eastAsia="宋体" w:cs="Times New Roman"/>
          <w:color w:val="000000"/>
          <w:sz w:val="24"/>
          <w:szCs w:val="24"/>
          <w:lang w:val="en-US" w:eastAsia="zh-CN"/>
        </w:rPr>
        <w:t>17</w:t>
      </w:r>
      <w:r>
        <w:rPr>
          <w:rFonts w:hint="eastAsia" w:ascii="Times New Roman" w:hAnsi="Times New Roman" w:eastAsia="宋体" w:cs="Times New Roman"/>
          <w:color w:val="000000"/>
          <w:sz w:val="24"/>
          <w:szCs w:val="24"/>
          <w:lang w:eastAsia="zh-CN"/>
        </w:rPr>
        <w:t>（</w:t>
      </w:r>
      <w:r>
        <w:rPr>
          <w:rFonts w:hint="eastAsia" w:ascii="Times New Roman" w:hAnsi="Times New Roman" w:eastAsia="宋体" w:cs="Times New Roman"/>
          <w:color w:val="000000"/>
          <w:sz w:val="24"/>
          <w:szCs w:val="24"/>
          <w:lang w:val="en-US" w:eastAsia="zh-CN"/>
        </w:rPr>
        <w:t>无量纲</w:t>
      </w:r>
      <w:r>
        <w:rPr>
          <w:rFonts w:hint="eastAsia"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color w:val="000000"/>
          <w:sz w:val="24"/>
          <w:szCs w:val="24"/>
          <w:lang w:val="en-US" w:eastAsia="zh-CN"/>
        </w:rPr>
        <w:t>排放满足</w:t>
      </w:r>
      <w:r>
        <w:rPr>
          <w:rFonts w:ascii="Times New Roman" w:hAnsi="Times New Roman" w:eastAsia="宋体" w:cs="Times New Roman"/>
          <w:b w:val="0"/>
          <w:bCs/>
          <w:sz w:val="24"/>
          <w:szCs w:val="24"/>
        </w:rPr>
        <w:t>《恶臭污染物排放标准》（GB14554-93）表1标准</w:t>
      </w:r>
      <w:r>
        <w:rPr>
          <w:rFonts w:hint="default" w:ascii="Times New Roman" w:hAnsi="Times New Roman" w:eastAsia="宋体" w:cs="Times New Roman"/>
          <w:color w:val="000000"/>
          <w:sz w:val="24"/>
          <w:szCs w:val="24"/>
          <w:lang w:val="en-US" w:eastAsia="zh-CN"/>
        </w:rPr>
        <w:t>（</w:t>
      </w:r>
      <w:r>
        <w:rPr>
          <w:rFonts w:ascii="Times New Roman" w:hAnsi="Times New Roman" w:eastAsia="宋体" w:cs="Times New Roman"/>
          <w:b w:val="0"/>
          <w:bCs/>
          <w:sz w:val="24"/>
          <w:szCs w:val="24"/>
        </w:rPr>
        <w:t>NH</w:t>
      </w:r>
      <w:r>
        <w:rPr>
          <w:rFonts w:ascii="Times New Roman" w:hAnsi="Times New Roman" w:eastAsia="宋体" w:cs="Times New Roman"/>
          <w:b w:val="0"/>
          <w:bCs/>
          <w:sz w:val="24"/>
          <w:szCs w:val="24"/>
          <w:vertAlign w:val="subscript"/>
        </w:rPr>
        <w:t>3</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1.</w:t>
      </w:r>
      <w:r>
        <w:rPr>
          <w:rFonts w:hint="eastAsia" w:ascii="Times New Roman" w:hAnsi="Times New Roman" w:eastAsia="宋体" w:cs="Times New Roman"/>
          <w:color w:val="000000"/>
          <w:sz w:val="24"/>
          <w:szCs w:val="24"/>
          <w:lang w:val="en-US" w:eastAsia="zh-CN"/>
        </w:rPr>
        <w:t>5</w:t>
      </w:r>
      <w:r>
        <w:rPr>
          <w:rFonts w:hint="default" w:ascii="Times New Roman" w:hAnsi="Times New Roman" w:eastAsia="宋体" w:cs="Times New Roman"/>
          <w:color w:val="000000"/>
          <w:sz w:val="24"/>
          <w:szCs w:val="24"/>
          <w:lang w:val="en-US" w:eastAsia="zh-CN"/>
        </w:rPr>
        <w:t>mg/m</w:t>
      </w:r>
      <w:r>
        <w:rPr>
          <w:rFonts w:hint="default" w:ascii="Times New Roman" w:hAnsi="Times New Roman" w:eastAsia="宋体"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vertAlign w:val="baseline"/>
          <w:lang w:eastAsia="zh-CN"/>
        </w:rPr>
        <w:t>，</w:t>
      </w:r>
      <w:r>
        <w:rPr>
          <w:rFonts w:ascii="Times New Roman" w:hAnsi="Times New Roman" w:eastAsia="宋体" w:cs="Times New Roman"/>
          <w:b w:val="0"/>
          <w:bCs/>
          <w:sz w:val="24"/>
          <w:szCs w:val="24"/>
        </w:rPr>
        <w:t>H</w:t>
      </w:r>
      <w:r>
        <w:rPr>
          <w:rFonts w:ascii="Times New Roman" w:hAnsi="Times New Roman" w:eastAsia="宋体" w:cs="Times New Roman"/>
          <w:b w:val="0"/>
          <w:bCs/>
          <w:sz w:val="24"/>
          <w:szCs w:val="24"/>
          <w:vertAlign w:val="subscript"/>
        </w:rPr>
        <w:t>2</w:t>
      </w:r>
      <w:r>
        <w:rPr>
          <w:rFonts w:ascii="Times New Roman" w:hAnsi="Times New Roman" w:eastAsia="宋体" w:cs="Times New Roman"/>
          <w:b w:val="0"/>
          <w:bCs/>
          <w:sz w:val="24"/>
          <w:szCs w:val="24"/>
        </w:rPr>
        <w:t>S</w:t>
      </w:r>
      <w:r>
        <w:rPr>
          <w:rFonts w:hint="eastAsia" w:ascii="Times New Roman" w:hAnsi="Times New Roman" w:eastAsia="宋体" w:cs="Times New Roman"/>
          <w:color w:val="000000"/>
          <w:sz w:val="24"/>
          <w:szCs w:val="24"/>
          <w:lang w:val="en-US" w:eastAsia="zh-CN"/>
        </w:rPr>
        <w:t>≤0.06</w:t>
      </w:r>
      <w:r>
        <w:rPr>
          <w:rFonts w:hint="default" w:ascii="Times New Roman" w:hAnsi="Times New Roman" w:eastAsia="宋体" w:cs="Times New Roman"/>
          <w:color w:val="000000"/>
          <w:sz w:val="24"/>
          <w:szCs w:val="24"/>
          <w:lang w:val="en-US" w:eastAsia="zh-CN"/>
        </w:rPr>
        <w:t>mg/m</w:t>
      </w:r>
      <w:r>
        <w:rPr>
          <w:rFonts w:hint="default" w:ascii="Times New Roman" w:hAnsi="Times New Roman" w:eastAsia="宋体"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color w:val="auto"/>
          <w:sz w:val="24"/>
          <w:szCs w:val="24"/>
          <w:lang w:val="en-US" w:eastAsia="zh-CN"/>
        </w:rPr>
        <w:t>臭气浓度</w:t>
      </w:r>
      <w:r>
        <w:rPr>
          <w:rFonts w:hint="eastAsia" w:ascii="Times New Roman" w:hAnsi="Times New Roman" w:eastAsia="宋体" w:cs="Times New Roman"/>
          <w:color w:val="000000"/>
          <w:sz w:val="24"/>
          <w:szCs w:val="24"/>
          <w:lang w:val="en-US" w:eastAsia="zh-CN"/>
        </w:rPr>
        <w:t>≤20无量纲</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rPr>
        <w:t>厂界无</w:t>
      </w:r>
      <w:r>
        <w:rPr>
          <w:rFonts w:hint="default" w:ascii="Times New Roman" w:hAnsi="Times New Roman" w:eastAsia="宋体" w:cs="Times New Roman"/>
          <w:color w:val="000000"/>
          <w:sz w:val="24"/>
          <w:szCs w:val="24"/>
          <w:lang w:val="en-US" w:eastAsia="zh-CN"/>
        </w:rPr>
        <w:t>组织VOCs最大排放浓度为</w:t>
      </w:r>
      <w:r>
        <w:rPr>
          <w:rFonts w:hint="eastAsia" w:ascii="Times New Roman" w:hAnsi="Times New Roman" w:eastAsia="宋体" w:cs="Times New Roman"/>
          <w:color w:val="000000"/>
          <w:sz w:val="24"/>
          <w:szCs w:val="24"/>
          <w:lang w:val="en-US" w:eastAsia="zh-CN"/>
        </w:rPr>
        <w:t>1.48</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color w:val="000000"/>
          <w:sz w:val="24"/>
          <w:szCs w:val="24"/>
          <w:lang w:val="en-US" w:eastAsia="zh-CN"/>
        </w:rPr>
        <w:t>排放满足</w:t>
      </w:r>
      <w:r>
        <w:rPr>
          <w:rFonts w:hint="default" w:ascii="Times New Roman" w:hAnsi="Times New Roman" w:eastAsia="宋体" w:cs="Times New Roman"/>
          <w:b w:val="0"/>
          <w:bCs/>
          <w:sz w:val="24"/>
          <w:szCs w:val="24"/>
          <w:lang w:val="en-US" w:eastAsia="zh-CN"/>
        </w:rPr>
        <w:t>《挥发性有机物排放标准 第7部分：其他行业》（DB37/2801.7-2019）表2厂界监控点浓度限值标准</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b w:val="0"/>
          <w:bCs/>
          <w:sz w:val="24"/>
          <w:szCs w:val="24"/>
          <w:highlight w:val="none"/>
          <w:lang w:val="en-US" w:eastAsia="zh-CN"/>
        </w:rPr>
        <w:t>VOCs</w:t>
      </w:r>
      <w:r>
        <w:rPr>
          <w:rFonts w:hint="eastAsia" w:ascii="Times New Roman" w:hAnsi="Times New Roman" w:eastAsia="宋体" w:cs="Times New Roman"/>
          <w:b w:val="0"/>
          <w:bCs/>
          <w:sz w:val="24"/>
          <w:szCs w:val="24"/>
          <w:highlight w:val="none"/>
          <w:lang w:val="en-US" w:eastAsia="zh-CN"/>
        </w:rPr>
        <w:t>≤</w:t>
      </w:r>
      <w:r>
        <w:rPr>
          <w:rFonts w:hint="default" w:ascii="Times New Roman" w:hAnsi="Times New Roman" w:eastAsia="宋体" w:cs="Times New Roman"/>
          <w:color w:val="000000"/>
          <w:sz w:val="24"/>
          <w:szCs w:val="24"/>
          <w:lang w:val="en-US" w:eastAsia="zh-CN"/>
        </w:rPr>
        <w:t>2.0mg/m</w:t>
      </w:r>
      <w:r>
        <w:rPr>
          <w:rFonts w:hint="default" w:ascii="Times New Roman" w:hAnsi="Times New Roman" w:eastAsia="宋体"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lang w:val="en-US" w:eastAsia="zh-CN"/>
        </w:rPr>
        <w:t>）。</w:t>
      </w:r>
    </w:p>
    <w:bookmarkEnd w:id="72"/>
    <w:p>
      <w:pPr>
        <w:pStyle w:val="38"/>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9.2.1.3厂界噪声</w:t>
      </w:r>
    </w:p>
    <w:p>
      <w:pPr>
        <w:pStyle w:val="8"/>
        <w:spacing w:after="0" w:line="360" w:lineRule="auto"/>
        <w:ind w:left="0" w:firstLine="480" w:firstLineChars="200"/>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该项目的厂界噪声监测数据见表9-</w:t>
      </w:r>
      <w:r>
        <w:rPr>
          <w:rFonts w:hint="eastAsia" w:cs="Times New Roman"/>
          <w:color w:val="000000"/>
          <w:sz w:val="24"/>
          <w:szCs w:val="28"/>
          <w:lang w:val="en-US" w:eastAsia="zh-CN"/>
        </w:rPr>
        <w:t>6</w:t>
      </w:r>
      <w:r>
        <w:rPr>
          <w:rFonts w:hint="default" w:ascii="Times New Roman" w:hAnsi="Times New Roman" w:eastAsia="宋体" w:cs="Times New Roman"/>
          <w:color w:val="000000"/>
          <w:sz w:val="24"/>
          <w:szCs w:val="28"/>
        </w:rPr>
        <w:t>：</w:t>
      </w:r>
    </w:p>
    <w:p>
      <w:pPr>
        <w:pStyle w:val="8"/>
        <w:keepNext w:val="0"/>
        <w:keepLines w:val="0"/>
        <w:pageBreakBefore w:val="0"/>
        <w:widowControl w:val="0"/>
        <w:kinsoku/>
        <w:wordWrap/>
        <w:overflowPunct/>
        <w:topLinePunct w:val="0"/>
        <w:autoSpaceDE/>
        <w:autoSpaceDN/>
        <w:bidi w:val="0"/>
        <w:adjustRightInd/>
        <w:snapToGrid/>
        <w:spacing w:after="0" w:line="400" w:lineRule="atLeast"/>
        <w:ind w:left="0"/>
        <w:jc w:val="center"/>
        <w:textAlignment w:val="auto"/>
        <w:rPr>
          <w:rFonts w:hint="default" w:ascii="Times New Roman" w:hAnsi="Times New Roman" w:eastAsia="宋体" w:cs="Times New Roman"/>
          <w:b/>
          <w:sz w:val="21"/>
          <w:szCs w:val="21"/>
          <w:lang w:val="en-US" w:eastAsia="zh-CN"/>
        </w:rPr>
      </w:pPr>
      <w:r>
        <w:rPr>
          <w:rFonts w:hint="default" w:ascii="Times New Roman" w:hAnsi="Times New Roman" w:eastAsia="宋体" w:cs="Times New Roman"/>
          <w:b/>
          <w:sz w:val="21"/>
          <w:szCs w:val="21"/>
          <w:lang w:val="en-US" w:eastAsia="zh-CN"/>
        </w:rPr>
        <w:t>表9</w:t>
      </w:r>
      <w:r>
        <w:rPr>
          <w:rFonts w:hint="eastAsia" w:ascii="Times New Roman" w:hAnsi="Times New Roman" w:eastAsia="宋体" w:cs="Times New Roman"/>
          <w:b/>
          <w:sz w:val="21"/>
          <w:szCs w:val="21"/>
          <w:lang w:val="en-US" w:eastAsia="zh-CN"/>
        </w:rPr>
        <w:t>-6</w:t>
      </w:r>
      <w:r>
        <w:rPr>
          <w:rFonts w:hint="default" w:ascii="Times New Roman" w:hAnsi="Times New Roman" w:eastAsia="宋体" w:cs="Times New Roman"/>
          <w:b/>
          <w:sz w:val="21"/>
          <w:szCs w:val="21"/>
          <w:lang w:val="en-US" w:eastAsia="zh-CN"/>
        </w:rPr>
        <w:t xml:space="preserve"> </w:t>
      </w:r>
      <w:r>
        <w:rPr>
          <w:rFonts w:hint="eastAsia" w:ascii="Times New Roman" w:hAnsi="Times New Roman" w:eastAsia="宋体" w:cs="Times New Roman"/>
          <w:b/>
          <w:sz w:val="21"/>
          <w:szCs w:val="21"/>
          <w:lang w:val="en-US" w:eastAsia="zh-CN"/>
        </w:rPr>
        <w:t xml:space="preserve"> </w:t>
      </w:r>
      <w:r>
        <w:rPr>
          <w:rFonts w:hint="default" w:ascii="Times New Roman" w:hAnsi="Times New Roman" w:eastAsia="宋体" w:cs="Times New Roman"/>
          <w:b/>
          <w:sz w:val="21"/>
          <w:szCs w:val="21"/>
          <w:lang w:val="en-US" w:eastAsia="zh-CN"/>
        </w:rPr>
        <w:t>噪声监测结果</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050"/>
        <w:gridCol w:w="1050"/>
        <w:gridCol w:w="1050"/>
        <w:gridCol w:w="1050"/>
        <w:gridCol w:w="1050"/>
        <w:gridCol w:w="1050"/>
        <w:gridCol w:w="1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noWrap w:val="0"/>
            <w:vAlign w:val="center"/>
          </w:tcPr>
          <w:p>
            <w:pPr>
              <w:tabs>
                <w:tab w:val="center" w:pos="1002"/>
                <w:tab w:val="right" w:pos="1885"/>
              </w:tabs>
              <w:adjustRightInd w:val="0"/>
              <w:snapToGrid w:val="0"/>
              <w:spacing w:line="360" w:lineRule="exact"/>
              <w:jc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监测日期</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昼间气象参数</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夜间气象参数</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监测点位</w:t>
            </w:r>
          </w:p>
        </w:tc>
        <w:tc>
          <w:tcPr>
            <w:tcW w:w="624" w:type="pct"/>
            <w:noWrap w:val="0"/>
            <w:vAlign w:val="center"/>
          </w:tcPr>
          <w:p>
            <w:pPr>
              <w:widowControl/>
              <w:adjustRightInd w:val="0"/>
              <w:snapToGrid w:val="0"/>
              <w:spacing w:line="360" w:lineRule="exact"/>
              <w:jc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b/>
                <w:bCs/>
                <w:sz w:val="21"/>
                <w:szCs w:val="21"/>
              </w:rPr>
              <w:t>昼间</w:t>
            </w:r>
            <w:r>
              <w:rPr>
                <w:rFonts w:hint="default" w:ascii="Times New Roman" w:hAnsi="Times New Roman" w:eastAsia="宋体" w:cs="Times New Roman"/>
                <w:b/>
                <w:bCs/>
                <w:kern w:val="0"/>
                <w:sz w:val="21"/>
                <w:szCs w:val="21"/>
              </w:rPr>
              <w:t>监测时间</w:t>
            </w:r>
          </w:p>
        </w:tc>
        <w:tc>
          <w:tcPr>
            <w:tcW w:w="624" w:type="pct"/>
            <w:noWrap w:val="0"/>
            <w:vAlign w:val="center"/>
          </w:tcPr>
          <w:p>
            <w:pPr>
              <w:widowControl/>
              <w:adjustRightInd w:val="0"/>
              <w:snapToGrid w:val="0"/>
              <w:spacing w:line="360" w:lineRule="exact"/>
              <w:jc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昼间监测结果dB(A)</w:t>
            </w:r>
          </w:p>
        </w:tc>
        <w:tc>
          <w:tcPr>
            <w:tcW w:w="624" w:type="pct"/>
            <w:noWrap w:val="0"/>
            <w:vAlign w:val="center"/>
          </w:tcPr>
          <w:p>
            <w:pPr>
              <w:widowControl/>
              <w:adjustRightInd w:val="0"/>
              <w:snapToGrid w:val="0"/>
              <w:spacing w:line="360" w:lineRule="exact"/>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夜间</w:t>
            </w:r>
            <w:r>
              <w:rPr>
                <w:rFonts w:hint="default" w:ascii="Times New Roman" w:hAnsi="Times New Roman" w:eastAsia="宋体" w:cs="Times New Roman"/>
                <w:b/>
                <w:bCs/>
                <w:kern w:val="0"/>
                <w:sz w:val="21"/>
                <w:szCs w:val="21"/>
              </w:rPr>
              <w:t>监测时间</w:t>
            </w:r>
          </w:p>
        </w:tc>
        <w:tc>
          <w:tcPr>
            <w:tcW w:w="627" w:type="pct"/>
            <w:noWrap w:val="0"/>
            <w:vAlign w:val="center"/>
          </w:tcPr>
          <w:p>
            <w:pPr>
              <w:widowControl/>
              <w:adjustRightInd w:val="0"/>
              <w:snapToGrid w:val="0"/>
              <w:spacing w:line="360" w:lineRule="exact"/>
              <w:jc w:val="center"/>
              <w:rPr>
                <w:rFonts w:hint="default" w:ascii="Times New Roman" w:hAnsi="Times New Roman" w:eastAsia="宋体" w:cs="Times New Roman"/>
                <w:b/>
                <w:bCs/>
                <w:kern w:val="0"/>
                <w:sz w:val="21"/>
                <w:szCs w:val="21"/>
              </w:rPr>
            </w:pPr>
            <w:r>
              <w:rPr>
                <w:rFonts w:hint="default" w:ascii="Times New Roman" w:hAnsi="Times New Roman" w:eastAsia="宋体" w:cs="Times New Roman"/>
                <w:b/>
                <w:bCs/>
                <w:kern w:val="0"/>
                <w:sz w:val="21"/>
                <w:szCs w:val="21"/>
              </w:rPr>
              <w:t>夜间监测结果dB(A)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restart"/>
            <w:noWrap w:val="0"/>
            <w:vAlign w:val="center"/>
          </w:tcPr>
          <w:p>
            <w:pPr>
              <w:widowControl w:val="0"/>
              <w:autoSpaceDE w:val="0"/>
              <w:autoSpaceDN w:val="0"/>
              <w:adjustRightInd w:val="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2024.01.04</w:t>
            </w:r>
          </w:p>
        </w:tc>
        <w:tc>
          <w:tcPr>
            <w:tcW w:w="624" w:type="pct"/>
            <w:vMerge w:val="restar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晴</w:t>
            </w:r>
            <w:r>
              <w:rPr>
                <w:rFonts w:hint="default" w:ascii="Times New Roman" w:hAnsi="Times New Roman" w:eastAsia="宋体" w:cs="Times New Roman"/>
                <w:color w:val="auto"/>
                <w:sz w:val="21"/>
                <w:szCs w:val="21"/>
              </w:rPr>
              <w:t>，平均风</w:t>
            </w:r>
            <w:r>
              <w:rPr>
                <w:rFonts w:hint="default" w:ascii="Times New Roman" w:hAnsi="Times New Roman" w:eastAsia="宋体" w:cs="Times New Roman"/>
                <w:color w:val="auto"/>
                <w:sz w:val="21"/>
                <w:szCs w:val="21"/>
                <w:lang w:val="en-US" w:eastAsia="zh-CN"/>
              </w:rPr>
              <w:t>0.8</w:t>
            </w:r>
            <w:r>
              <w:rPr>
                <w:rFonts w:hint="default" w:ascii="Times New Roman" w:hAnsi="Times New Roman" w:eastAsia="宋体" w:cs="Times New Roman"/>
                <w:color w:val="auto"/>
                <w:sz w:val="21"/>
                <w:szCs w:val="21"/>
              </w:rPr>
              <w:t>m/s</w:t>
            </w:r>
          </w:p>
        </w:tc>
        <w:tc>
          <w:tcPr>
            <w:tcW w:w="624" w:type="pct"/>
            <w:vMerge w:val="restar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晴</w:t>
            </w:r>
            <w:r>
              <w:rPr>
                <w:rFonts w:hint="default" w:ascii="Times New Roman" w:hAnsi="Times New Roman" w:eastAsia="宋体" w:cs="Times New Roman"/>
                <w:color w:val="auto"/>
                <w:sz w:val="21"/>
                <w:szCs w:val="21"/>
              </w:rPr>
              <w:t>，平均风</w:t>
            </w:r>
            <w:r>
              <w:rPr>
                <w:rFonts w:hint="default" w:ascii="Times New Roman" w:hAnsi="Times New Roman" w:eastAsia="宋体" w:cs="Times New Roman"/>
                <w:color w:val="auto"/>
                <w:sz w:val="21"/>
                <w:szCs w:val="21"/>
                <w:lang w:val="en-US" w:eastAsia="zh-CN"/>
              </w:rPr>
              <w:t>0.6</w:t>
            </w:r>
            <w:r>
              <w:rPr>
                <w:rFonts w:hint="default" w:ascii="Times New Roman" w:hAnsi="Times New Roman" w:eastAsia="宋体" w:cs="Times New Roman"/>
                <w:color w:val="auto"/>
                <w:sz w:val="21"/>
                <w:szCs w:val="21"/>
              </w:rPr>
              <w:t>m/s</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东厂界</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15:19</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53.0</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22:00</w:t>
            </w:r>
          </w:p>
        </w:tc>
        <w:tc>
          <w:tcPr>
            <w:tcW w:w="627" w:type="pct"/>
            <w:noWrap w:val="0"/>
            <w:vAlign w:val="center"/>
          </w:tcPr>
          <w:p>
            <w:pPr>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sz w:val="21"/>
                <w:szCs w:val="21"/>
              </w:rPr>
            </w:pPr>
          </w:p>
        </w:tc>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color w:val="FF0000"/>
                <w:sz w:val="21"/>
                <w:szCs w:val="21"/>
              </w:rPr>
            </w:pPr>
          </w:p>
        </w:tc>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color w:val="FF0000"/>
                <w:sz w:val="21"/>
                <w:szCs w:val="21"/>
              </w:rPr>
            </w:pP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南厂界</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15:25</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59.0</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22:05</w:t>
            </w:r>
          </w:p>
        </w:tc>
        <w:tc>
          <w:tcPr>
            <w:tcW w:w="627" w:type="pct"/>
            <w:noWrap w:val="0"/>
            <w:vAlign w:val="center"/>
          </w:tcPr>
          <w:p>
            <w:pPr>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sz w:val="21"/>
                <w:szCs w:val="21"/>
              </w:rPr>
            </w:pPr>
          </w:p>
        </w:tc>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color w:val="FF0000"/>
                <w:sz w:val="21"/>
                <w:szCs w:val="21"/>
              </w:rPr>
            </w:pPr>
          </w:p>
        </w:tc>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color w:val="FF0000"/>
                <w:sz w:val="21"/>
                <w:szCs w:val="21"/>
              </w:rPr>
            </w:pP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西厂界</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15:33</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57.6</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22:11</w:t>
            </w:r>
          </w:p>
        </w:tc>
        <w:tc>
          <w:tcPr>
            <w:tcW w:w="627" w:type="pct"/>
            <w:noWrap w:val="0"/>
            <w:vAlign w:val="center"/>
          </w:tcPr>
          <w:p>
            <w:pPr>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sz w:val="21"/>
                <w:szCs w:val="21"/>
              </w:rPr>
            </w:pPr>
          </w:p>
        </w:tc>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color w:val="FF0000"/>
                <w:sz w:val="21"/>
                <w:szCs w:val="21"/>
              </w:rPr>
            </w:pPr>
          </w:p>
        </w:tc>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color w:val="FF0000"/>
                <w:sz w:val="21"/>
                <w:szCs w:val="21"/>
              </w:rPr>
            </w:pP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北厂界</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15:11</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51.6</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22:16</w:t>
            </w:r>
          </w:p>
        </w:tc>
        <w:tc>
          <w:tcPr>
            <w:tcW w:w="627" w:type="pct"/>
            <w:noWrap w:val="0"/>
            <w:vAlign w:val="center"/>
          </w:tcPr>
          <w:p>
            <w:pPr>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restart"/>
            <w:noWrap w:val="0"/>
            <w:vAlign w:val="center"/>
          </w:tcPr>
          <w:p>
            <w:pPr>
              <w:widowControl w:val="0"/>
              <w:autoSpaceDE w:val="0"/>
              <w:autoSpaceDN w:val="0"/>
              <w:adjustRightInd w:val="0"/>
              <w:rPr>
                <w:rFonts w:hint="default" w:ascii="Times New Roman" w:hAnsi="Times New Roman" w:eastAsia="宋体" w:cs="Times New Roman"/>
                <w:color w:val="auto"/>
                <w:sz w:val="21"/>
                <w:szCs w:val="21"/>
                <w:lang w:val="en-US" w:eastAsia="zh-CN" w:bidi="ar-SA"/>
              </w:rPr>
            </w:pPr>
            <w:r>
              <w:rPr>
                <w:rFonts w:hint="default" w:ascii="Times New Roman" w:hAnsi="Times New Roman" w:eastAsia="宋体" w:cs="Times New Roman"/>
                <w:color w:val="auto"/>
                <w:sz w:val="21"/>
                <w:szCs w:val="21"/>
                <w:lang w:val="en-US" w:eastAsia="zh-CN" w:bidi="ar-SA"/>
              </w:rPr>
              <w:t>2024.01.05</w:t>
            </w:r>
          </w:p>
        </w:tc>
        <w:tc>
          <w:tcPr>
            <w:tcW w:w="624" w:type="pct"/>
            <w:vMerge w:val="restart"/>
            <w:noWrap w:val="0"/>
            <w:vAlign w:val="center"/>
          </w:tcPr>
          <w:p>
            <w:pPr>
              <w:adjustRightInd w:val="0"/>
              <w:snapToGrid w:val="0"/>
              <w:spacing w:line="360" w:lineRule="exact"/>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lang w:val="en-US" w:eastAsia="zh-CN"/>
              </w:rPr>
              <w:t>晴</w:t>
            </w:r>
            <w:r>
              <w:rPr>
                <w:rFonts w:hint="default" w:ascii="Times New Roman" w:hAnsi="Times New Roman" w:eastAsia="宋体" w:cs="Times New Roman"/>
                <w:color w:val="auto"/>
                <w:sz w:val="21"/>
                <w:szCs w:val="21"/>
              </w:rPr>
              <w:t>，平均风</w:t>
            </w:r>
            <w:r>
              <w:rPr>
                <w:rFonts w:hint="default" w:ascii="Times New Roman" w:hAnsi="Times New Roman" w:eastAsia="宋体" w:cs="Times New Roman"/>
                <w:color w:val="auto"/>
                <w:sz w:val="21"/>
                <w:szCs w:val="21"/>
                <w:lang w:val="en-US" w:eastAsia="zh-CN"/>
              </w:rPr>
              <w:t>0.7</w:t>
            </w:r>
            <w:r>
              <w:rPr>
                <w:rFonts w:hint="default" w:ascii="Times New Roman" w:hAnsi="Times New Roman" w:eastAsia="宋体" w:cs="Times New Roman"/>
                <w:color w:val="auto"/>
                <w:sz w:val="21"/>
                <w:szCs w:val="21"/>
              </w:rPr>
              <w:t>m/s</w:t>
            </w:r>
          </w:p>
        </w:tc>
        <w:tc>
          <w:tcPr>
            <w:tcW w:w="624" w:type="pct"/>
            <w:vMerge w:val="restart"/>
            <w:noWrap w:val="0"/>
            <w:vAlign w:val="center"/>
          </w:tcPr>
          <w:p>
            <w:pPr>
              <w:adjustRightInd w:val="0"/>
              <w:snapToGrid w:val="0"/>
              <w:spacing w:line="360" w:lineRule="exact"/>
              <w:jc w:val="center"/>
              <w:rPr>
                <w:rFonts w:hint="default" w:ascii="Times New Roman" w:hAnsi="Times New Roman" w:eastAsia="宋体" w:cs="Times New Roman"/>
                <w:color w:val="FF0000"/>
                <w:sz w:val="21"/>
                <w:szCs w:val="21"/>
              </w:rPr>
            </w:pPr>
            <w:r>
              <w:rPr>
                <w:rFonts w:hint="default" w:ascii="Times New Roman" w:hAnsi="Times New Roman" w:eastAsia="宋体" w:cs="Times New Roman"/>
                <w:color w:val="auto"/>
                <w:sz w:val="21"/>
                <w:szCs w:val="21"/>
                <w:lang w:val="en-US" w:eastAsia="zh-CN"/>
              </w:rPr>
              <w:t>晴</w:t>
            </w:r>
            <w:r>
              <w:rPr>
                <w:rFonts w:hint="default" w:ascii="Times New Roman" w:hAnsi="Times New Roman" w:eastAsia="宋体" w:cs="Times New Roman"/>
                <w:color w:val="auto"/>
                <w:sz w:val="21"/>
                <w:szCs w:val="21"/>
              </w:rPr>
              <w:t>，平均风</w:t>
            </w:r>
            <w:r>
              <w:rPr>
                <w:rFonts w:hint="default" w:ascii="Times New Roman" w:hAnsi="Times New Roman" w:eastAsia="宋体" w:cs="Times New Roman"/>
                <w:color w:val="auto"/>
                <w:sz w:val="21"/>
                <w:szCs w:val="21"/>
                <w:lang w:val="en-US" w:eastAsia="zh-CN"/>
              </w:rPr>
              <w:t>0.8</w:t>
            </w:r>
            <w:r>
              <w:rPr>
                <w:rFonts w:hint="default" w:ascii="Times New Roman" w:hAnsi="Times New Roman" w:eastAsia="宋体" w:cs="Times New Roman"/>
                <w:color w:val="auto"/>
                <w:sz w:val="21"/>
                <w:szCs w:val="21"/>
              </w:rPr>
              <w:t>m/s</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东厂界</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13:43</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50.8</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22:07</w:t>
            </w:r>
          </w:p>
        </w:tc>
        <w:tc>
          <w:tcPr>
            <w:tcW w:w="627" w:type="pct"/>
            <w:noWrap w:val="0"/>
            <w:vAlign w:val="center"/>
          </w:tcPr>
          <w:p>
            <w:pPr>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sz w:val="21"/>
                <w:szCs w:val="21"/>
              </w:rPr>
            </w:pPr>
          </w:p>
        </w:tc>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color w:val="FF0000"/>
                <w:sz w:val="21"/>
                <w:szCs w:val="21"/>
              </w:rPr>
            </w:pPr>
          </w:p>
        </w:tc>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color w:val="FF0000"/>
                <w:sz w:val="21"/>
                <w:szCs w:val="21"/>
              </w:rPr>
            </w:pP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南厂界</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13:50</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57.7</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22:13</w:t>
            </w:r>
          </w:p>
        </w:tc>
        <w:tc>
          <w:tcPr>
            <w:tcW w:w="627" w:type="pct"/>
            <w:noWrap w:val="0"/>
            <w:vAlign w:val="center"/>
          </w:tcPr>
          <w:p>
            <w:pPr>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sz w:val="21"/>
                <w:szCs w:val="21"/>
              </w:rPr>
            </w:pPr>
          </w:p>
        </w:tc>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color w:val="FF0000"/>
                <w:sz w:val="21"/>
                <w:szCs w:val="21"/>
              </w:rPr>
            </w:pPr>
          </w:p>
        </w:tc>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color w:val="FF0000"/>
                <w:sz w:val="21"/>
                <w:szCs w:val="21"/>
              </w:rPr>
            </w:pP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西厂界</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13:56</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57.9</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22:19</w:t>
            </w:r>
          </w:p>
        </w:tc>
        <w:tc>
          <w:tcPr>
            <w:tcW w:w="627" w:type="pct"/>
            <w:noWrap w:val="0"/>
            <w:vAlign w:val="center"/>
          </w:tcPr>
          <w:p>
            <w:pPr>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sz w:val="21"/>
                <w:szCs w:val="21"/>
              </w:rPr>
            </w:pPr>
          </w:p>
        </w:tc>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color w:val="FF0000"/>
                <w:sz w:val="21"/>
                <w:szCs w:val="21"/>
              </w:rPr>
            </w:pPr>
          </w:p>
        </w:tc>
        <w:tc>
          <w:tcPr>
            <w:tcW w:w="624" w:type="pct"/>
            <w:vMerge w:val="continue"/>
            <w:noWrap w:val="0"/>
            <w:vAlign w:val="center"/>
          </w:tcPr>
          <w:p>
            <w:pPr>
              <w:adjustRightInd w:val="0"/>
              <w:snapToGrid w:val="0"/>
              <w:spacing w:line="360" w:lineRule="exact"/>
              <w:jc w:val="center"/>
              <w:rPr>
                <w:rFonts w:hint="default" w:ascii="Times New Roman" w:hAnsi="Times New Roman" w:eastAsia="宋体" w:cs="Times New Roman"/>
                <w:color w:val="FF0000"/>
                <w:sz w:val="21"/>
                <w:szCs w:val="21"/>
              </w:rPr>
            </w:pP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北厂界</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13:32</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50.5</w:t>
            </w:r>
          </w:p>
        </w:tc>
        <w:tc>
          <w:tcPr>
            <w:tcW w:w="624" w:type="pct"/>
            <w:noWrap w:val="0"/>
            <w:vAlign w:val="center"/>
          </w:tcPr>
          <w:p>
            <w:pPr>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22:00</w:t>
            </w:r>
          </w:p>
        </w:tc>
        <w:tc>
          <w:tcPr>
            <w:tcW w:w="627" w:type="pct"/>
            <w:noWrap w:val="0"/>
            <w:vAlign w:val="center"/>
          </w:tcPr>
          <w:p>
            <w:pPr>
              <w:adjustRightInd w:val="0"/>
              <w:snapToGrid w:val="0"/>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45.3</w:t>
            </w:r>
          </w:p>
        </w:tc>
      </w:tr>
    </w:tbl>
    <w:p>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根据现场监测期间监测结果：</w:t>
      </w:r>
      <w:bookmarkStart w:id="73" w:name="_Hlk74757876"/>
      <w:r>
        <w:rPr>
          <w:rFonts w:hint="default" w:ascii="Times New Roman" w:hAnsi="Times New Roman" w:eastAsia="宋体" w:cs="Times New Roman"/>
          <w:color w:val="000000"/>
          <w:sz w:val="24"/>
          <w:szCs w:val="28"/>
        </w:rPr>
        <w:t>厂界4个噪声监测点，昼间噪声值范围为</w:t>
      </w:r>
      <w:r>
        <w:rPr>
          <w:rFonts w:hint="eastAsia" w:ascii="Times New Roman" w:hAnsi="Times New Roman" w:eastAsia="宋体" w:cs="Times New Roman"/>
          <w:color w:val="000000"/>
          <w:sz w:val="24"/>
          <w:szCs w:val="28"/>
          <w:lang w:val="en-US" w:eastAsia="zh-CN"/>
        </w:rPr>
        <w:t>50.5</w:t>
      </w:r>
      <w:r>
        <w:rPr>
          <w:rFonts w:hint="default" w:ascii="Times New Roman" w:hAnsi="Times New Roman" w:eastAsia="宋体" w:cs="Times New Roman"/>
          <w:color w:val="000000"/>
          <w:sz w:val="24"/>
          <w:szCs w:val="28"/>
        </w:rPr>
        <w:t>～</w:t>
      </w:r>
      <w:r>
        <w:rPr>
          <w:rFonts w:hint="eastAsia" w:ascii="Times New Roman" w:hAnsi="Times New Roman" w:eastAsia="宋体" w:cs="Times New Roman"/>
          <w:color w:val="000000"/>
          <w:sz w:val="24"/>
          <w:szCs w:val="28"/>
          <w:lang w:val="en-US" w:eastAsia="zh-CN"/>
        </w:rPr>
        <w:t>59.0</w:t>
      </w:r>
      <w:r>
        <w:rPr>
          <w:rFonts w:hint="default" w:ascii="Times New Roman" w:hAnsi="Times New Roman" w:eastAsia="宋体" w:cs="Times New Roman"/>
          <w:color w:val="000000"/>
          <w:sz w:val="24"/>
          <w:szCs w:val="28"/>
        </w:rPr>
        <w:t>dB(A)，夜间噪声值范围为</w:t>
      </w:r>
      <w:r>
        <w:rPr>
          <w:rFonts w:hint="eastAsia" w:ascii="Times New Roman" w:hAnsi="Times New Roman" w:eastAsia="宋体" w:cs="Times New Roman"/>
          <w:color w:val="000000"/>
          <w:sz w:val="24"/>
          <w:szCs w:val="28"/>
          <w:lang w:val="en-US" w:eastAsia="zh-CN"/>
        </w:rPr>
        <w:t>41.5</w:t>
      </w:r>
      <w:r>
        <w:rPr>
          <w:rFonts w:hint="default" w:ascii="Times New Roman" w:hAnsi="Times New Roman" w:eastAsia="宋体" w:cs="Times New Roman"/>
          <w:color w:val="000000"/>
          <w:sz w:val="24"/>
          <w:szCs w:val="28"/>
        </w:rPr>
        <w:t>～</w:t>
      </w:r>
      <w:r>
        <w:rPr>
          <w:rFonts w:hint="eastAsia" w:ascii="Times New Roman" w:hAnsi="Times New Roman" w:eastAsia="宋体" w:cs="Times New Roman"/>
          <w:color w:val="000000"/>
          <w:sz w:val="24"/>
          <w:szCs w:val="28"/>
          <w:lang w:val="en-US" w:eastAsia="zh-CN"/>
        </w:rPr>
        <w:t>49.1</w:t>
      </w:r>
      <w:r>
        <w:rPr>
          <w:rFonts w:hint="default" w:ascii="Times New Roman" w:hAnsi="Times New Roman" w:eastAsia="宋体" w:cs="Times New Roman"/>
          <w:color w:val="000000"/>
          <w:sz w:val="24"/>
          <w:szCs w:val="28"/>
        </w:rPr>
        <w:t>dB(A)</w:t>
      </w:r>
      <w:r>
        <w:rPr>
          <w:rFonts w:hint="eastAsia"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rPr>
        <w:t>检测结果达到《工业企业厂界环境噪声排放标准》(GB12348-2008)中2类标准限值要求。</w:t>
      </w:r>
    </w:p>
    <w:bookmarkEnd w:id="73"/>
    <w:p>
      <w:pPr>
        <w:pStyle w:val="38"/>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9.2.1.4固（液）体废物</w:t>
      </w:r>
    </w:p>
    <w:p>
      <w:pPr>
        <w:spacing w:line="360" w:lineRule="auto"/>
        <w:ind w:firstLine="480" w:firstLineChars="200"/>
        <w:jc w:val="left"/>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该项目不涉及固（液）体废物监测项目。</w:t>
      </w:r>
    </w:p>
    <w:p>
      <w:pPr>
        <w:autoSpaceDE w:val="0"/>
        <w:autoSpaceDN w:val="0"/>
        <w:spacing w:line="360" w:lineRule="auto"/>
        <w:ind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本项目产生的固体废弃物主要为废活性炭滤芯、报废药品、</w:t>
      </w:r>
      <w:r>
        <w:rPr>
          <w:rFonts w:hint="default" w:ascii="Times New Roman" w:hAnsi="Times New Roman" w:eastAsia="宋体" w:cs="Times New Roman"/>
          <w:sz w:val="24"/>
          <w:szCs w:val="24"/>
          <w:lang w:val="en-US" w:eastAsia="zh-CN"/>
        </w:rPr>
        <w:t>废活性炭</w:t>
      </w:r>
      <w:r>
        <w:rPr>
          <w:rFonts w:hint="eastAsia" w:ascii="Times New Roman" w:hAnsi="Times New Roman" w:eastAsia="宋体" w:cs="Times New Roman"/>
          <w:sz w:val="24"/>
          <w:szCs w:val="24"/>
          <w:lang w:val="en-US" w:eastAsia="zh-CN"/>
        </w:rPr>
        <w:t>、废外包材料、危化品包装材料、化验中心危废、污水处理站污泥、</w:t>
      </w:r>
      <w:r>
        <w:rPr>
          <w:rFonts w:hint="default" w:ascii="Times New Roman" w:hAnsi="Times New Roman" w:eastAsia="宋体" w:cs="Times New Roman"/>
          <w:sz w:val="24"/>
          <w:szCs w:val="24"/>
          <w:lang w:val="en-US" w:eastAsia="zh-CN"/>
        </w:rPr>
        <w:t>废离子交换树脂</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生活垃圾</w:t>
      </w:r>
      <w:r>
        <w:rPr>
          <w:rFonts w:hint="eastAsia" w:ascii="Times New Roman" w:hAnsi="Times New Roman" w:eastAsia="宋体" w:cs="Times New Roman"/>
          <w:sz w:val="24"/>
          <w:szCs w:val="24"/>
          <w:lang w:val="en-US" w:eastAsia="zh-CN"/>
        </w:rPr>
        <w:t>。其中</w:t>
      </w:r>
      <w:r>
        <w:rPr>
          <w:rFonts w:hint="default" w:ascii="Times New Roman" w:hAnsi="Times New Roman" w:eastAsia="宋体" w:cs="Times New Roman"/>
          <w:sz w:val="24"/>
          <w:szCs w:val="24"/>
          <w:lang w:val="en-US" w:eastAsia="zh-CN"/>
        </w:rPr>
        <w:t>污水处理站污泥</w:t>
      </w:r>
      <w:r>
        <w:rPr>
          <w:rFonts w:hint="eastAsia" w:ascii="Times New Roman" w:hAnsi="Times New Roman" w:eastAsia="宋体" w:cs="Times New Roman"/>
          <w:sz w:val="24"/>
          <w:szCs w:val="24"/>
          <w:lang w:val="en-US" w:eastAsia="zh-CN"/>
        </w:rPr>
        <w:t>、废活性炭滤芯、报废药品、</w:t>
      </w:r>
      <w:r>
        <w:rPr>
          <w:rFonts w:hint="default" w:ascii="Times New Roman" w:hAnsi="Times New Roman" w:eastAsia="宋体" w:cs="Times New Roman"/>
          <w:sz w:val="24"/>
          <w:szCs w:val="24"/>
          <w:lang w:val="en-US" w:eastAsia="zh-CN"/>
        </w:rPr>
        <w:t>废活性炭</w:t>
      </w:r>
      <w:r>
        <w:rPr>
          <w:rFonts w:hint="eastAsia" w:ascii="Times New Roman" w:hAnsi="Times New Roman" w:eastAsia="宋体" w:cs="Times New Roman"/>
          <w:sz w:val="24"/>
          <w:szCs w:val="24"/>
          <w:lang w:val="en-US" w:eastAsia="zh-CN"/>
        </w:rPr>
        <w:t>、危化品包装材料、化验中心危废</w:t>
      </w:r>
      <w:r>
        <w:rPr>
          <w:rFonts w:hint="default" w:ascii="Times New Roman" w:hAnsi="Times New Roman" w:eastAsia="宋体" w:cs="Times New Roman"/>
          <w:sz w:val="24"/>
          <w:szCs w:val="24"/>
          <w:lang w:val="en-US" w:eastAsia="zh-CN"/>
        </w:rPr>
        <w:t>均属危险废物</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集中收集后，</w:t>
      </w:r>
      <w:r>
        <w:rPr>
          <w:rFonts w:hint="eastAsia" w:ascii="Times New Roman" w:hAnsi="Times New Roman" w:eastAsia="宋体" w:cs="Times New Roman"/>
          <w:sz w:val="24"/>
          <w:szCs w:val="24"/>
          <w:lang w:val="en-US" w:eastAsia="zh-CN"/>
        </w:rPr>
        <w:t>暂存于危废暂存间内，</w:t>
      </w:r>
      <w:r>
        <w:rPr>
          <w:rFonts w:hint="default" w:ascii="Times New Roman" w:hAnsi="Times New Roman" w:eastAsia="宋体" w:cs="Times New Roman"/>
          <w:sz w:val="24"/>
          <w:szCs w:val="24"/>
          <w:lang w:val="en-US" w:eastAsia="zh-CN"/>
        </w:rPr>
        <w:t>定期委托有资质单位处置</w:t>
      </w:r>
      <w:r>
        <w:rPr>
          <w:rFonts w:hint="eastAsia" w:ascii="Times New Roman" w:hAnsi="Times New Roman" w:eastAsia="宋体" w:cs="Times New Roman"/>
          <w:sz w:val="24"/>
          <w:szCs w:val="24"/>
          <w:lang w:val="en-US" w:eastAsia="zh-CN"/>
        </w:rPr>
        <w:t>。</w:t>
      </w:r>
      <w:r>
        <w:rPr>
          <w:rFonts w:hint="eastAsia" w:ascii="Times New Roman" w:hAnsi="Times New Roman" w:eastAsia="宋体" w:cs="Times New Roman"/>
          <w:position w:val="2"/>
          <w:sz w:val="24"/>
          <w:szCs w:val="24"/>
          <w:lang w:val="en-US" w:bidi="zh-CN"/>
        </w:rPr>
        <w:t>均</w:t>
      </w:r>
      <w:r>
        <w:rPr>
          <w:rFonts w:hint="eastAsia" w:ascii="Times New Roman" w:hAnsi="Times New Roman" w:eastAsia="宋体" w:cs="Times New Roman"/>
          <w:color w:val="000000"/>
          <w:sz w:val="24"/>
          <w:szCs w:val="28"/>
          <w:lang w:val="en-US" w:eastAsia="zh-CN"/>
        </w:rPr>
        <w:t>不对环境产生二次污染。</w:t>
      </w:r>
    </w:p>
    <w:p>
      <w:pPr>
        <w:autoSpaceDE w:val="0"/>
        <w:autoSpaceDN w:val="0"/>
        <w:spacing w:line="360" w:lineRule="auto"/>
        <w:ind w:firstLine="480" w:firstLineChars="200"/>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①生活垃圾：</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bCs/>
          <w:snapToGrid w:val="0"/>
          <w:color w:val="auto"/>
          <w:kern w:val="2"/>
          <w:sz w:val="24"/>
          <w:szCs w:val="24"/>
          <w:lang w:val="en-US" w:eastAsia="zh-CN" w:bidi="ar-SA"/>
        </w:rPr>
      </w:pPr>
      <w:r>
        <w:rPr>
          <w:rFonts w:hint="eastAsia" w:ascii="Times New Roman" w:hAnsi="Times New Roman" w:eastAsia="宋体" w:cs="Times New Roman"/>
          <w:bCs/>
          <w:snapToGrid w:val="0"/>
          <w:color w:val="auto"/>
          <w:kern w:val="2"/>
          <w:sz w:val="24"/>
          <w:szCs w:val="24"/>
          <w:lang w:val="en-US" w:eastAsia="zh-CN" w:bidi="ar-SA"/>
        </w:rPr>
        <w:t>本次验收</w:t>
      </w:r>
      <w:r>
        <w:rPr>
          <w:rFonts w:hint="default" w:ascii="Times New Roman" w:hAnsi="Times New Roman" w:eastAsia="宋体" w:cs="Times New Roman"/>
          <w:bCs/>
          <w:snapToGrid w:val="0"/>
          <w:color w:val="auto"/>
          <w:kern w:val="2"/>
          <w:sz w:val="24"/>
          <w:szCs w:val="24"/>
          <w:lang w:val="en-US" w:eastAsia="zh-CN" w:bidi="ar-SA"/>
        </w:rPr>
        <w:t>职工</w:t>
      </w:r>
      <w:r>
        <w:rPr>
          <w:rFonts w:hint="eastAsia" w:ascii="Times New Roman" w:hAnsi="Times New Roman" w:eastAsia="宋体" w:cs="Times New Roman"/>
          <w:bCs/>
          <w:snapToGrid w:val="0"/>
          <w:color w:val="auto"/>
          <w:kern w:val="2"/>
          <w:sz w:val="24"/>
          <w:szCs w:val="24"/>
          <w:lang w:val="en-US" w:eastAsia="zh-CN" w:bidi="ar-SA"/>
        </w:rPr>
        <w:t>80</w:t>
      </w:r>
      <w:r>
        <w:rPr>
          <w:rFonts w:hint="default" w:ascii="Times New Roman" w:hAnsi="Times New Roman" w:eastAsia="宋体" w:cs="Times New Roman"/>
          <w:bCs/>
          <w:snapToGrid w:val="0"/>
          <w:color w:val="auto"/>
          <w:kern w:val="2"/>
          <w:sz w:val="24"/>
          <w:szCs w:val="24"/>
          <w:lang w:val="en-US" w:eastAsia="zh-CN" w:bidi="ar-SA"/>
        </w:rPr>
        <w:t>人，生活垃圾量按每天每人0.5kg计算，项目年生产天数300天，则生活垃圾产生量</w:t>
      </w:r>
      <w:r>
        <w:rPr>
          <w:rFonts w:hint="eastAsia" w:ascii="Times New Roman" w:hAnsi="Times New Roman" w:eastAsia="宋体" w:cs="Times New Roman"/>
          <w:bCs/>
          <w:snapToGrid w:val="0"/>
          <w:color w:val="auto"/>
          <w:kern w:val="2"/>
          <w:sz w:val="24"/>
          <w:szCs w:val="24"/>
          <w:lang w:val="en-US" w:eastAsia="zh-CN" w:bidi="ar-SA"/>
        </w:rPr>
        <w:t>12</w:t>
      </w:r>
      <w:r>
        <w:rPr>
          <w:rFonts w:hint="default" w:ascii="Times New Roman" w:hAnsi="Times New Roman" w:eastAsia="宋体" w:cs="Times New Roman"/>
          <w:bCs/>
          <w:snapToGrid w:val="0"/>
          <w:color w:val="auto"/>
          <w:kern w:val="2"/>
          <w:sz w:val="24"/>
          <w:szCs w:val="24"/>
          <w:lang w:val="en-US" w:eastAsia="zh-CN" w:bidi="ar-SA"/>
        </w:rPr>
        <w:t>t/a。</w:t>
      </w:r>
    </w:p>
    <w:p>
      <w:pPr>
        <w:autoSpaceDE w:val="0"/>
        <w:autoSpaceDN w:val="0"/>
        <w:spacing w:line="360" w:lineRule="auto"/>
        <w:ind w:firstLine="480" w:firstLineChars="200"/>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②废外包材料</w:t>
      </w:r>
    </w:p>
    <w:p>
      <w:pPr>
        <w:spacing w:line="360" w:lineRule="auto"/>
        <w:ind w:firstLine="472" w:firstLineChars="197"/>
        <w:jc w:val="left"/>
        <w:textAlignment w:val="baseline"/>
        <w:rPr>
          <w:rFonts w:ascii="Times New Roman" w:hAnsi="Times New Roman" w:eastAsia="宋体" w:cs="Times New Roman"/>
          <w:sz w:val="24"/>
          <w:szCs w:val="24"/>
        </w:rPr>
      </w:pPr>
      <w:r>
        <w:rPr>
          <w:rFonts w:hint="eastAsia" w:ascii="Times New Roman" w:hAnsi="Times New Roman" w:eastAsia="宋体" w:cs="Times New Roman"/>
          <w:sz w:val="24"/>
          <w:szCs w:val="24"/>
          <w:lang w:val="en-US" w:eastAsia="zh-CN"/>
        </w:rPr>
        <w:t>本次验收</w:t>
      </w:r>
      <w:r>
        <w:rPr>
          <w:rFonts w:hint="eastAsia" w:ascii="Times New Roman" w:hAnsi="Times New Roman" w:eastAsia="宋体" w:cs="Times New Roman"/>
          <w:sz w:val="24"/>
          <w:szCs w:val="24"/>
        </w:rPr>
        <w:t>生产过程中废外包材料如的如废弃纸盒、纸箱、玻璃瓶等</w:t>
      </w:r>
      <w:r>
        <w:rPr>
          <w:rFonts w:hint="eastAsia" w:ascii="Times New Roman" w:hAnsi="Times New Roman" w:eastAsia="宋体" w:cs="Times New Roman"/>
          <w:sz w:val="24"/>
          <w:szCs w:val="24"/>
          <w:lang w:val="en-US" w:eastAsia="zh-CN"/>
        </w:rPr>
        <w:t>与药品直接接触的</w:t>
      </w:r>
      <w:r>
        <w:rPr>
          <w:rFonts w:hint="eastAsia" w:ascii="Times New Roman" w:hAnsi="Times New Roman" w:eastAsia="宋体" w:cs="Times New Roman"/>
          <w:sz w:val="24"/>
          <w:szCs w:val="24"/>
        </w:rPr>
        <w:t>包装材料</w:t>
      </w:r>
      <w:r>
        <w:rPr>
          <w:rFonts w:hint="eastAsia" w:ascii="Times New Roman" w:hAnsi="Times New Roman" w:eastAsia="宋体" w:cs="Times New Roman"/>
          <w:sz w:val="24"/>
          <w:szCs w:val="24"/>
          <w:lang w:eastAsia="zh-CN"/>
        </w:rPr>
        <w:t>，</w:t>
      </w:r>
      <w:r>
        <w:rPr>
          <w:rFonts w:hint="eastAsia" w:ascii="Times New Roman" w:hAnsi="Times New Roman" w:eastAsia="宋体" w:cs="Times New Roman"/>
          <w:sz w:val="24"/>
          <w:szCs w:val="24"/>
          <w:lang w:val="en-US" w:eastAsia="zh-CN"/>
        </w:rPr>
        <w:t>根据企业提供资料，废外包材料</w:t>
      </w:r>
      <w:r>
        <w:rPr>
          <w:rFonts w:hint="eastAsia" w:ascii="Times New Roman" w:hAnsi="Times New Roman" w:eastAsia="宋体" w:cs="Times New Roman"/>
          <w:sz w:val="24"/>
          <w:szCs w:val="24"/>
        </w:rPr>
        <w:t>产生量约为</w:t>
      </w:r>
      <w:r>
        <w:rPr>
          <w:rFonts w:hint="eastAsia" w:ascii="Times New Roman" w:hAnsi="Times New Roman" w:eastAsia="宋体" w:cs="Times New Roman"/>
          <w:sz w:val="24"/>
          <w:szCs w:val="24"/>
          <w:lang w:val="en-US" w:eastAsia="zh-CN"/>
        </w:rPr>
        <w:t>0.45</w:t>
      </w:r>
      <w:r>
        <w:rPr>
          <w:rFonts w:hint="eastAsia" w:ascii="Times New Roman" w:hAnsi="Times New Roman" w:eastAsia="宋体" w:cs="Times New Roman"/>
          <w:sz w:val="24"/>
          <w:szCs w:val="24"/>
        </w:rPr>
        <w:t>t/a</w:t>
      </w:r>
      <w:r>
        <w:rPr>
          <w:rFonts w:hint="default" w:ascii="Times New Roman" w:hAnsi="Times New Roman" w:eastAsia="宋体" w:cs="Times New Roman"/>
          <w:b w:val="0"/>
          <w:bCs/>
          <w:color w:val="auto"/>
          <w:sz w:val="24"/>
          <w:szCs w:val="24"/>
          <w:lang w:val="en-US" w:eastAsia="zh-CN"/>
        </w:rPr>
        <w:t>。</w:t>
      </w:r>
    </w:p>
    <w:p>
      <w:pPr>
        <w:widowControl w:val="0"/>
        <w:spacing w:line="360" w:lineRule="auto"/>
        <w:ind w:firstLine="480" w:firstLineChars="200"/>
        <w:jc w:val="both"/>
        <w:rPr>
          <w:rFonts w:hint="default" w:ascii="Times New Roman" w:hAnsi="Times New Roman" w:eastAsia="宋体" w:cs="Times New Roman"/>
          <w:b w:val="0"/>
          <w:bCs/>
          <w:color w:val="auto"/>
          <w:sz w:val="24"/>
          <w:szCs w:val="24"/>
        </w:rPr>
      </w:pPr>
      <w:r>
        <w:rPr>
          <w:rFonts w:hint="eastAsia" w:ascii="Times New Roman" w:hAnsi="Times New Roman" w:eastAsia="宋体" w:cs="Times New Roman"/>
          <w:b w:val="0"/>
          <w:bCs/>
          <w:color w:val="auto"/>
          <w:sz w:val="24"/>
          <w:szCs w:val="24"/>
          <w:lang w:val="en-US" w:eastAsia="zh-CN"/>
        </w:rPr>
        <w:t>③纯水、注射水制备（废石英砂、废活性炭、废反渗透膜）</w:t>
      </w:r>
    </w:p>
    <w:p>
      <w:pPr>
        <w:widowControl w:val="0"/>
        <w:spacing w:line="360" w:lineRule="auto"/>
        <w:ind w:firstLine="480" w:firstLineChars="200"/>
        <w:jc w:val="both"/>
        <w:rPr>
          <w:rFonts w:hint="default" w:ascii="Times New Roman" w:hAnsi="Times New Roman" w:eastAsia="宋体" w:cs="Times New Roman"/>
          <w:bCs/>
          <w:snapToGrid w:val="0"/>
          <w:color w:val="auto"/>
          <w:sz w:val="24"/>
          <w:szCs w:val="24"/>
        </w:rPr>
      </w:pPr>
      <w:r>
        <w:rPr>
          <w:rFonts w:hint="eastAsia" w:ascii="Times New Roman" w:hAnsi="Times New Roman" w:eastAsia="宋体" w:cs="Times New Roman"/>
          <w:sz w:val="24"/>
          <w:szCs w:val="24"/>
          <w:lang w:val="en-US" w:eastAsia="zh-CN"/>
        </w:rPr>
        <w:t>本次验收</w:t>
      </w:r>
      <w:r>
        <w:rPr>
          <w:rFonts w:hint="eastAsia" w:ascii="Times New Roman" w:hAnsi="Times New Roman" w:eastAsia="宋体" w:cs="Times New Roman"/>
          <w:b w:val="0"/>
          <w:bCs/>
          <w:color w:val="auto"/>
          <w:sz w:val="24"/>
          <w:szCs w:val="24"/>
          <w:lang w:val="en-US" w:eastAsia="zh-CN"/>
        </w:rPr>
        <w:t>根据建设单位提供材料，本项目纯水、注射水制备系统石英砂、活性炭、废反渗透膜填充量分别为0.5t、0.2t、0.1t；共计0.8</w:t>
      </w:r>
      <w:r>
        <w:rPr>
          <w:rFonts w:hint="default" w:ascii="Times New Roman" w:hAnsi="Times New Roman" w:eastAsia="宋体" w:cs="Times New Roman"/>
          <w:b w:val="0"/>
          <w:bCs/>
          <w:color w:val="auto"/>
          <w:sz w:val="24"/>
          <w:szCs w:val="24"/>
          <w:lang w:val="en-US" w:eastAsia="zh-CN"/>
        </w:rPr>
        <w:t>t/a</w:t>
      </w:r>
      <w:r>
        <w:rPr>
          <w:rFonts w:hint="eastAsia" w:ascii="Times New Roman" w:hAnsi="Times New Roman" w:eastAsia="宋体" w:cs="Times New Roman"/>
          <w:b w:val="0"/>
          <w:bCs/>
          <w:color w:val="auto"/>
          <w:sz w:val="24"/>
          <w:szCs w:val="24"/>
          <w:lang w:val="en-US" w:eastAsia="zh-CN"/>
        </w:rPr>
        <w:t>，更换周期为每年更换一次</w:t>
      </w:r>
      <w:r>
        <w:rPr>
          <w:rFonts w:hint="default" w:ascii="Times New Roman" w:hAnsi="Times New Roman" w:eastAsia="宋体" w:cs="Times New Roman"/>
          <w:bCs/>
          <w:snapToGrid w:val="0"/>
          <w:color w:val="auto"/>
          <w:sz w:val="24"/>
          <w:szCs w:val="24"/>
        </w:rPr>
        <w:t>。</w:t>
      </w:r>
    </w:p>
    <w:p>
      <w:pPr>
        <w:widowControl w:val="0"/>
        <w:spacing w:line="360" w:lineRule="auto"/>
        <w:ind w:firstLine="480" w:firstLineChars="200"/>
        <w:jc w:val="both"/>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④污水处理站污泥</w:t>
      </w:r>
    </w:p>
    <w:p>
      <w:pPr>
        <w:widowControl w:val="0"/>
        <w:spacing w:line="360" w:lineRule="auto"/>
        <w:ind w:firstLine="480" w:firstLineChars="200"/>
        <w:jc w:val="both"/>
        <w:rPr>
          <w:rFonts w:hint="default"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sz w:val="24"/>
          <w:szCs w:val="24"/>
          <w:lang w:val="en-US" w:eastAsia="zh-CN"/>
        </w:rPr>
        <w:t>本次验收</w:t>
      </w:r>
      <w:r>
        <w:rPr>
          <w:rFonts w:hint="default" w:ascii="Times New Roman" w:hAnsi="Times New Roman" w:eastAsia="宋体" w:cs="Times New Roman"/>
          <w:b w:val="0"/>
          <w:bCs/>
          <w:color w:val="auto"/>
          <w:sz w:val="24"/>
          <w:szCs w:val="24"/>
          <w:lang w:val="en-US" w:eastAsia="zh-CN"/>
        </w:rPr>
        <w:t>污水处理站运行过程中产生少量的污泥，根据企业提供资料，污水处理站污泥产生量约为</w:t>
      </w:r>
      <w:r>
        <w:rPr>
          <w:rFonts w:hint="eastAsia" w:ascii="Times New Roman" w:hAnsi="Times New Roman" w:eastAsia="宋体" w:cs="Times New Roman"/>
          <w:b w:val="0"/>
          <w:bCs/>
          <w:color w:val="auto"/>
          <w:sz w:val="24"/>
          <w:szCs w:val="24"/>
          <w:lang w:val="en-US" w:eastAsia="zh-CN"/>
        </w:rPr>
        <w:t>2.5</w:t>
      </w:r>
      <w:r>
        <w:rPr>
          <w:rFonts w:hint="default" w:ascii="Times New Roman" w:hAnsi="Times New Roman" w:eastAsia="宋体" w:cs="Times New Roman"/>
          <w:b w:val="0"/>
          <w:bCs/>
          <w:color w:val="auto"/>
          <w:sz w:val="24"/>
          <w:szCs w:val="24"/>
          <w:lang w:val="en-US" w:eastAsia="zh-CN"/>
        </w:rPr>
        <w:t>t/a。</w:t>
      </w:r>
    </w:p>
    <w:p>
      <w:pPr>
        <w:autoSpaceDE w:val="0"/>
        <w:autoSpaceDN w:val="0"/>
        <w:spacing w:line="360" w:lineRule="auto"/>
        <w:ind w:firstLine="480" w:firstLineChars="200"/>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⑤报废药品</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b w:val="0"/>
          <w:bCs/>
          <w:color w:val="auto"/>
          <w:kern w:val="2"/>
          <w:sz w:val="24"/>
          <w:szCs w:val="24"/>
          <w:lang w:val="en-US" w:eastAsia="zh-CN" w:bidi="ar-SA"/>
        </w:rPr>
      </w:pPr>
      <w:r>
        <w:rPr>
          <w:rFonts w:hint="eastAsia" w:ascii="Times New Roman" w:hAnsi="Times New Roman" w:eastAsia="宋体" w:cs="Times New Roman"/>
          <w:sz w:val="24"/>
          <w:szCs w:val="24"/>
          <w:lang w:val="en-US" w:eastAsia="zh-CN"/>
        </w:rPr>
        <w:t>本次验收</w:t>
      </w:r>
      <w:r>
        <w:rPr>
          <w:rFonts w:hint="eastAsia" w:ascii="Times New Roman" w:hAnsi="Times New Roman" w:eastAsia="宋体" w:cs="Times New Roman"/>
          <w:b w:val="0"/>
          <w:bCs/>
          <w:color w:val="auto"/>
          <w:kern w:val="2"/>
          <w:sz w:val="24"/>
          <w:szCs w:val="24"/>
          <w:lang w:val="en-US" w:eastAsia="zh-CN" w:bidi="ar-SA"/>
        </w:rPr>
        <w:t>生产过程检测产生的不合格品及过期药品产生量约为1.25t/a</w:t>
      </w:r>
      <w:r>
        <w:rPr>
          <w:rFonts w:hint="default" w:ascii="Times New Roman" w:hAnsi="Times New Roman" w:eastAsia="宋体" w:cs="Times New Roman"/>
          <w:b w:val="0"/>
          <w:bCs/>
          <w:color w:val="auto"/>
          <w:kern w:val="2"/>
          <w:sz w:val="24"/>
          <w:szCs w:val="24"/>
          <w:lang w:val="en-US" w:eastAsia="zh-CN" w:bidi="ar-SA"/>
        </w:rPr>
        <w:t>。</w:t>
      </w:r>
    </w:p>
    <w:p>
      <w:pPr>
        <w:autoSpaceDE w:val="0"/>
        <w:autoSpaceDN w:val="0"/>
        <w:spacing w:line="360" w:lineRule="auto"/>
        <w:ind w:firstLine="480" w:firstLineChars="200"/>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⑥危化品包装材料</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eastAsia" w:ascii="Times New Roman" w:hAnsi="Times New Roman" w:eastAsia="宋体" w:cs="Times New Roman"/>
          <w:kern w:val="2"/>
          <w:sz w:val="24"/>
          <w:szCs w:val="20"/>
          <w:lang w:val="en-US" w:eastAsia="zh-CN" w:bidi="ar-SA"/>
        </w:rPr>
      </w:pPr>
      <w:r>
        <w:rPr>
          <w:rFonts w:hint="eastAsia" w:ascii="Times New Roman" w:hAnsi="Times New Roman" w:eastAsia="宋体" w:cs="Times New Roman"/>
          <w:sz w:val="24"/>
          <w:szCs w:val="24"/>
          <w:lang w:val="en-US" w:eastAsia="zh-CN"/>
        </w:rPr>
        <w:t>本次验收</w:t>
      </w:r>
      <w:r>
        <w:rPr>
          <w:rFonts w:hint="eastAsia" w:ascii="Times New Roman" w:hAnsi="Times New Roman" w:eastAsia="宋体" w:cs="Times New Roman"/>
          <w:kern w:val="2"/>
          <w:sz w:val="24"/>
          <w:szCs w:val="20"/>
          <w:lang w:val="en-US" w:eastAsia="zh-CN" w:bidi="ar-SA"/>
        </w:rPr>
        <w:t>盐酸、乙醇等物质的包装材料属危险固废，产生量约为0.1t/a。</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eastAsia" w:ascii="Times New Roman" w:hAnsi="Times New Roman" w:eastAsia="宋体" w:cs="Times New Roman"/>
          <w:kern w:val="2"/>
          <w:sz w:val="24"/>
          <w:szCs w:val="20"/>
          <w:lang w:val="en-US" w:eastAsia="zh-CN" w:bidi="ar-SA"/>
        </w:rPr>
      </w:pPr>
      <w:r>
        <w:rPr>
          <w:rFonts w:hint="eastAsia" w:ascii="Times New Roman" w:hAnsi="Times New Roman" w:eastAsia="宋体" w:cs="Times New Roman"/>
          <w:kern w:val="2"/>
          <w:sz w:val="24"/>
          <w:szCs w:val="20"/>
          <w:lang w:val="en-US" w:eastAsia="zh-CN" w:bidi="ar-SA"/>
        </w:rPr>
        <w:t>⑦化验中心危废</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bCs/>
          <w:snapToGrid w:val="0"/>
          <w:color w:val="auto"/>
          <w:kern w:val="2"/>
          <w:sz w:val="24"/>
          <w:szCs w:val="24"/>
          <w:lang w:val="en-US" w:eastAsia="zh-CN" w:bidi="ar-SA"/>
        </w:rPr>
      </w:pPr>
      <w:r>
        <w:rPr>
          <w:rFonts w:hint="eastAsia" w:ascii="Times New Roman" w:hAnsi="Times New Roman" w:eastAsia="宋体" w:cs="Times New Roman"/>
          <w:sz w:val="24"/>
          <w:szCs w:val="24"/>
          <w:lang w:val="en-US" w:eastAsia="zh-CN"/>
        </w:rPr>
        <w:t>本次验收</w:t>
      </w:r>
      <w:r>
        <w:rPr>
          <w:rFonts w:hint="eastAsia" w:ascii="Times New Roman" w:hAnsi="Times New Roman" w:eastAsia="宋体" w:cs="Times New Roman"/>
          <w:kern w:val="2"/>
          <w:sz w:val="24"/>
          <w:szCs w:val="20"/>
          <w:lang w:val="en-US" w:eastAsia="zh-CN" w:bidi="ar-SA"/>
        </w:rPr>
        <w:t>化验中心产生的危废包括：检测废液、废弃检测样品、废弃一次性检测用具、沾染了化学试剂的包装废物、废弃检测防护用具、化验室第一次清洗废水、化验中心废气处理设施废吸附剂等，化验中心产生的废物约为1.2t/a</w:t>
      </w:r>
      <w:r>
        <w:rPr>
          <w:rFonts w:hint="default" w:ascii="Times New Roman" w:hAnsi="Times New Roman" w:eastAsia="宋体" w:cs="Times New Roman"/>
          <w:kern w:val="2"/>
          <w:sz w:val="24"/>
          <w:szCs w:val="24"/>
          <w:lang w:val="en-US" w:eastAsia="zh-CN" w:bidi="ar-SA"/>
        </w:rPr>
        <w:t>。</w:t>
      </w:r>
    </w:p>
    <w:p>
      <w:pPr>
        <w:spacing w:line="360" w:lineRule="auto"/>
        <w:ind w:firstLine="472" w:firstLineChars="197"/>
        <w:jc w:val="left"/>
        <w:textAlignment w:val="baseline"/>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⑧废活性炭滤芯</w:t>
      </w:r>
      <w:r>
        <w:rPr>
          <w:rFonts w:hint="eastAsia" w:ascii="Times New Roman" w:hAnsi="Times New Roman" w:eastAsia="宋体" w:cs="Times New Roman"/>
          <w:sz w:val="24"/>
          <w:szCs w:val="24"/>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eastAsia" w:ascii="Times New Roman" w:hAnsi="Times New Roman" w:eastAsia="宋体" w:cs="Times New Roman"/>
          <w:kern w:val="2"/>
          <w:sz w:val="24"/>
          <w:szCs w:val="20"/>
          <w:lang w:val="en-US" w:eastAsia="zh-CN" w:bidi="ar-SA"/>
        </w:rPr>
      </w:pPr>
      <w:r>
        <w:rPr>
          <w:rFonts w:hint="eastAsia" w:ascii="Times New Roman" w:hAnsi="Times New Roman" w:eastAsia="宋体" w:cs="Times New Roman"/>
          <w:sz w:val="24"/>
          <w:szCs w:val="24"/>
          <w:lang w:val="en-US" w:eastAsia="zh-CN"/>
        </w:rPr>
        <w:t>本次验收</w:t>
      </w:r>
      <w:r>
        <w:rPr>
          <w:rFonts w:hint="eastAsia" w:ascii="Times New Roman" w:hAnsi="Times New Roman" w:eastAsia="宋体" w:cs="Times New Roman"/>
          <w:kern w:val="2"/>
          <w:sz w:val="24"/>
          <w:szCs w:val="20"/>
          <w:lang w:val="en-US" w:eastAsia="zh-CN" w:bidi="ar-SA"/>
        </w:rPr>
        <w:t>注射剂配制过程终端过滤中加入活性炭吸附注射液中杂质及脱色，废活性炭约及滤渣1.2t/a，废滤膜、废滤芯产生量约为0.3t/a，废活性炭、废滤芯和滤渣总量为1.5t/a。</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eastAsia" w:ascii="Times New Roman" w:hAnsi="Times New Roman" w:eastAsia="宋体" w:cs="Times New Roman"/>
          <w:kern w:val="2"/>
          <w:sz w:val="24"/>
          <w:szCs w:val="20"/>
          <w:lang w:val="en-US" w:eastAsia="zh-CN" w:bidi="ar-SA"/>
        </w:rPr>
      </w:pPr>
      <w:r>
        <w:rPr>
          <w:rFonts w:hint="eastAsia" w:ascii="Times New Roman" w:hAnsi="Times New Roman" w:eastAsia="宋体" w:cs="Times New Roman"/>
          <w:kern w:val="2"/>
          <w:sz w:val="24"/>
          <w:szCs w:val="20"/>
          <w:lang w:val="en-US" w:eastAsia="zh-CN" w:bidi="ar-SA"/>
        </w:rPr>
        <w:t>⑨废空气滤芯</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eastAsia"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sz w:val="24"/>
          <w:szCs w:val="24"/>
          <w:lang w:val="en-US" w:eastAsia="zh-CN"/>
        </w:rPr>
        <w:t>本次验收</w:t>
      </w:r>
      <w:r>
        <w:rPr>
          <w:rFonts w:hint="eastAsia" w:ascii="Times New Roman" w:hAnsi="Times New Roman" w:eastAsia="宋体" w:cs="Times New Roman"/>
          <w:kern w:val="2"/>
          <w:sz w:val="24"/>
          <w:szCs w:val="20"/>
          <w:lang w:val="en-US" w:eastAsia="zh-CN" w:bidi="ar-SA"/>
        </w:rPr>
        <w:t>生产车间安</w:t>
      </w:r>
      <w:r>
        <w:rPr>
          <w:rFonts w:hint="eastAsia" w:ascii="Times New Roman" w:hAnsi="Times New Roman" w:eastAsia="宋体" w:cs="Times New Roman"/>
          <w:color w:val="000000"/>
          <w:kern w:val="2"/>
          <w:sz w:val="24"/>
          <w:szCs w:val="24"/>
          <w:lang w:val="en-US" w:eastAsia="zh-CN" w:bidi="ar-SA"/>
        </w:rPr>
        <w:t>装有空气净化系统，空气净化滤芯需要定期更换，每年产生量为0.1t/a</w:t>
      </w:r>
      <w:r>
        <w:rPr>
          <w:rFonts w:hint="eastAsia" w:ascii="宋体" w:hAnsi="宋体" w:eastAsia="宋体" w:cs="宋体"/>
          <w:kern w:val="2"/>
          <w:sz w:val="24"/>
          <w:szCs w:val="24"/>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bCs/>
          <w:kern w:val="2"/>
          <w:sz w:val="24"/>
          <w:szCs w:val="24"/>
          <w:lang w:val="en-US" w:eastAsia="zh-CN" w:bidi="ar-SA"/>
        </w:rPr>
      </w:pPr>
      <w:r>
        <w:rPr>
          <w:rFonts w:hint="eastAsia" w:ascii="Times New Roman" w:hAnsi="Times New Roman" w:eastAsia="宋体" w:cs="Times New Roman"/>
          <w:kern w:val="2"/>
          <w:sz w:val="24"/>
          <w:szCs w:val="20"/>
          <w:lang w:val="en-US" w:eastAsia="zh-CN" w:bidi="ar-SA"/>
        </w:rPr>
        <w:t>⑩废活性炭</w:t>
      </w:r>
    </w:p>
    <w:p>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eastAsia" w:ascii="Times New Roman" w:hAnsi="Times New Roman" w:eastAsia="宋体" w:cs="Times New Roman"/>
          <w:color w:val="000000"/>
          <w:sz w:val="24"/>
          <w:szCs w:val="28"/>
          <w:lang w:val="en-US" w:eastAsia="zh-CN"/>
        </w:rPr>
      </w:pPr>
      <w:r>
        <w:rPr>
          <w:rFonts w:hint="eastAsia" w:ascii="Times New Roman" w:hAnsi="Times New Roman" w:eastAsia="宋体" w:cs="Times New Roman"/>
          <w:sz w:val="24"/>
          <w:szCs w:val="24"/>
          <w:lang w:val="en-US" w:eastAsia="zh-CN"/>
        </w:rPr>
        <w:t>本次验收</w:t>
      </w:r>
      <w:r>
        <w:rPr>
          <w:rFonts w:hint="default" w:ascii="Times New Roman" w:hAnsi="Times New Roman" w:eastAsia="宋体" w:cs="Times New Roman"/>
          <w:color w:val="auto"/>
          <w:kern w:val="2"/>
          <w:position w:val="2"/>
          <w:sz w:val="24"/>
          <w:szCs w:val="24"/>
          <w:lang w:val="zh-CN" w:eastAsia="zh-CN" w:bidi="zh-CN"/>
        </w:rPr>
        <w:t>废气处理采用</w:t>
      </w:r>
      <w:r>
        <w:rPr>
          <w:rFonts w:hint="eastAsia" w:ascii="Times New Roman" w:hAnsi="Times New Roman" w:eastAsia="宋体" w:cs="Times New Roman"/>
          <w:color w:val="auto"/>
          <w:kern w:val="2"/>
          <w:position w:val="2"/>
          <w:sz w:val="24"/>
          <w:szCs w:val="24"/>
          <w:lang w:val="en-US" w:eastAsia="zh-CN" w:bidi="zh-CN"/>
        </w:rPr>
        <w:t>两套</w:t>
      </w:r>
      <w:r>
        <w:rPr>
          <w:rFonts w:hint="default" w:ascii="Times New Roman" w:hAnsi="Times New Roman" w:eastAsia="宋体" w:cs="Times New Roman"/>
          <w:color w:val="auto"/>
          <w:kern w:val="2"/>
          <w:position w:val="2"/>
          <w:sz w:val="24"/>
          <w:szCs w:val="24"/>
          <w:lang w:val="zh-CN" w:eastAsia="zh-CN" w:bidi="zh-CN"/>
        </w:rPr>
        <w:t>二级活性炭吸附装置</w:t>
      </w:r>
      <w:r>
        <w:rPr>
          <w:rFonts w:hint="eastAsia" w:ascii="Times New Roman" w:hAnsi="Times New Roman" w:eastAsia="宋体" w:cs="Times New Roman"/>
          <w:color w:val="auto"/>
          <w:kern w:val="2"/>
          <w:position w:val="2"/>
          <w:sz w:val="24"/>
          <w:szCs w:val="24"/>
          <w:lang w:val="en-US" w:eastAsia="zh-CN" w:bidi="zh-CN"/>
        </w:rPr>
        <w:t>分别</w:t>
      </w:r>
      <w:r>
        <w:rPr>
          <w:rFonts w:hint="default" w:ascii="Times New Roman" w:hAnsi="Times New Roman" w:eastAsia="宋体" w:cs="Times New Roman"/>
          <w:color w:val="auto"/>
          <w:kern w:val="2"/>
          <w:position w:val="2"/>
          <w:sz w:val="24"/>
          <w:szCs w:val="24"/>
          <w:lang w:val="zh-CN" w:eastAsia="zh-CN" w:bidi="zh-CN"/>
        </w:rPr>
        <w:t>配备有2个活性炭箱，</w:t>
      </w:r>
      <w:r>
        <w:rPr>
          <w:rFonts w:hint="eastAsia" w:ascii="Times New Roman" w:hAnsi="Times New Roman" w:eastAsia="宋体" w:cs="Times New Roman"/>
          <w:color w:val="auto"/>
          <w:kern w:val="2"/>
          <w:position w:val="2"/>
          <w:sz w:val="24"/>
          <w:szCs w:val="24"/>
          <w:lang w:val="en-US" w:eastAsia="zh-CN" w:bidi="zh-CN"/>
        </w:rPr>
        <w:t>二级活性炭箱</w:t>
      </w:r>
      <w:r>
        <w:rPr>
          <w:rFonts w:hint="default" w:ascii="Times New Roman" w:hAnsi="Times New Roman" w:eastAsia="宋体" w:cs="Times New Roman"/>
          <w:color w:val="auto"/>
          <w:kern w:val="2"/>
          <w:position w:val="2"/>
          <w:sz w:val="24"/>
          <w:szCs w:val="24"/>
          <w:lang w:val="zh-CN" w:eastAsia="zh-CN" w:bidi="zh-CN"/>
        </w:rPr>
        <w:t>每个设计尺寸为</w:t>
      </w:r>
      <w:r>
        <w:rPr>
          <w:rFonts w:hint="eastAsia" w:ascii="Times New Roman" w:hAnsi="Times New Roman" w:eastAsia="宋体" w:cs="Times New Roman"/>
          <w:color w:val="auto"/>
          <w:kern w:val="2"/>
          <w:position w:val="2"/>
          <w:sz w:val="24"/>
          <w:szCs w:val="24"/>
          <w:lang w:val="en-US" w:eastAsia="zh-CN" w:bidi="zh-CN"/>
        </w:rPr>
        <w:t>0.5</w:t>
      </w:r>
      <w:r>
        <w:rPr>
          <w:rFonts w:hint="default" w:ascii="Times New Roman" w:hAnsi="Times New Roman" w:eastAsia="宋体" w:cs="Times New Roman"/>
          <w:color w:val="auto"/>
          <w:kern w:val="2"/>
          <w:position w:val="2"/>
          <w:sz w:val="24"/>
          <w:szCs w:val="24"/>
          <w:lang w:val="zh-CN" w:eastAsia="zh-CN" w:bidi="zh-CN"/>
        </w:rPr>
        <w:t>×</w:t>
      </w:r>
      <w:r>
        <w:rPr>
          <w:rFonts w:hint="eastAsia" w:ascii="Times New Roman" w:hAnsi="Times New Roman" w:eastAsia="宋体" w:cs="Times New Roman"/>
          <w:color w:val="auto"/>
          <w:kern w:val="2"/>
          <w:position w:val="2"/>
          <w:sz w:val="24"/>
          <w:szCs w:val="24"/>
          <w:lang w:val="en-US" w:eastAsia="zh-CN" w:bidi="zh-CN"/>
        </w:rPr>
        <w:t>0.5</w:t>
      </w:r>
      <w:r>
        <w:rPr>
          <w:rFonts w:hint="default" w:ascii="Times New Roman" w:hAnsi="Times New Roman" w:eastAsia="宋体" w:cs="Times New Roman"/>
          <w:color w:val="auto"/>
          <w:kern w:val="2"/>
          <w:position w:val="2"/>
          <w:sz w:val="24"/>
          <w:szCs w:val="24"/>
          <w:lang w:val="zh-CN" w:eastAsia="zh-CN" w:bidi="zh-CN"/>
        </w:rPr>
        <w:t>×</w:t>
      </w:r>
      <w:r>
        <w:rPr>
          <w:rFonts w:hint="eastAsia" w:ascii="Times New Roman" w:hAnsi="Times New Roman" w:eastAsia="宋体" w:cs="Times New Roman"/>
          <w:color w:val="auto"/>
          <w:kern w:val="2"/>
          <w:position w:val="2"/>
          <w:sz w:val="24"/>
          <w:szCs w:val="24"/>
          <w:lang w:val="en-US" w:eastAsia="zh-CN" w:bidi="zh-CN"/>
        </w:rPr>
        <w:t>0.5</w:t>
      </w:r>
      <w:r>
        <w:rPr>
          <w:rFonts w:hint="default" w:ascii="Times New Roman" w:hAnsi="Times New Roman" w:eastAsia="宋体" w:cs="Times New Roman"/>
          <w:color w:val="auto"/>
          <w:kern w:val="2"/>
          <w:position w:val="2"/>
          <w:sz w:val="24"/>
          <w:szCs w:val="24"/>
          <w:lang w:val="zh-CN" w:eastAsia="zh-CN" w:bidi="zh-CN"/>
        </w:rPr>
        <w:t>m(分别为长宽高尺寸)，单个装填容积</w:t>
      </w:r>
      <w:r>
        <w:rPr>
          <w:rFonts w:hint="eastAsia" w:ascii="Times New Roman" w:hAnsi="Times New Roman" w:eastAsia="宋体" w:cs="Times New Roman"/>
          <w:color w:val="auto"/>
          <w:kern w:val="2"/>
          <w:position w:val="2"/>
          <w:sz w:val="24"/>
          <w:szCs w:val="24"/>
          <w:lang w:val="en-US" w:eastAsia="zh-CN" w:bidi="zh-CN"/>
        </w:rPr>
        <w:t>0.25</w:t>
      </w:r>
      <w:r>
        <w:rPr>
          <w:rFonts w:hint="default" w:ascii="Times New Roman" w:hAnsi="Times New Roman" w:eastAsia="宋体" w:cs="Times New Roman"/>
          <w:color w:val="auto"/>
          <w:kern w:val="2"/>
          <w:position w:val="2"/>
          <w:sz w:val="24"/>
          <w:szCs w:val="24"/>
          <w:lang w:val="en-US" w:eastAsia="zh-CN" w:bidi="zh-CN"/>
        </w:rPr>
        <w:t>m</w:t>
      </w:r>
      <w:r>
        <w:rPr>
          <w:rFonts w:hint="default" w:ascii="Times New Roman" w:hAnsi="Times New Roman" w:eastAsia="宋体" w:cs="Times New Roman"/>
          <w:color w:val="auto"/>
          <w:kern w:val="2"/>
          <w:position w:val="2"/>
          <w:sz w:val="24"/>
          <w:szCs w:val="24"/>
          <w:vertAlign w:val="superscript"/>
          <w:lang w:val="en-US" w:eastAsia="zh-CN" w:bidi="zh-CN"/>
        </w:rPr>
        <w:t>3</w:t>
      </w:r>
      <w:r>
        <w:rPr>
          <w:rFonts w:hint="default" w:ascii="Times New Roman" w:hAnsi="Times New Roman" w:eastAsia="宋体" w:cs="Times New Roman"/>
          <w:color w:val="auto"/>
          <w:kern w:val="2"/>
          <w:position w:val="2"/>
          <w:sz w:val="24"/>
          <w:szCs w:val="24"/>
          <w:vertAlign w:val="baseline"/>
          <w:lang w:val="en-US" w:eastAsia="zh-CN" w:bidi="zh-CN"/>
        </w:rPr>
        <w:t>，</w:t>
      </w:r>
      <w:r>
        <w:rPr>
          <w:rFonts w:hint="default" w:ascii="Times New Roman" w:hAnsi="Times New Roman" w:eastAsia="宋体" w:cs="Times New Roman"/>
          <w:color w:val="auto"/>
          <w:kern w:val="2"/>
          <w:position w:val="2"/>
          <w:sz w:val="24"/>
          <w:szCs w:val="24"/>
          <w:lang w:val="zh-CN" w:eastAsia="zh-CN" w:bidi="zh-CN"/>
        </w:rPr>
        <w:t>采用蜂窝状固定床活性炭吸附，蜂窝式活性炭体积密度</w:t>
      </w:r>
      <w:r>
        <w:rPr>
          <w:rFonts w:hint="default" w:ascii="Times New Roman" w:hAnsi="Times New Roman" w:eastAsia="宋体" w:cs="Times New Roman"/>
          <w:color w:val="auto"/>
          <w:kern w:val="2"/>
          <w:position w:val="2"/>
          <w:sz w:val="24"/>
          <w:szCs w:val="24"/>
          <w:lang w:val="en-US" w:eastAsia="zh-CN" w:bidi="zh-CN"/>
        </w:rPr>
        <w:t>450</w:t>
      </w:r>
      <w:r>
        <w:rPr>
          <w:rFonts w:hint="default" w:ascii="Times New Roman" w:hAnsi="Times New Roman" w:eastAsia="宋体" w:cs="Times New Roman"/>
          <w:color w:val="auto"/>
          <w:kern w:val="2"/>
          <w:position w:val="2"/>
          <w:sz w:val="24"/>
          <w:szCs w:val="24"/>
          <w:lang w:val="zh-CN" w:eastAsia="zh-CN" w:bidi="zh-CN"/>
        </w:rPr>
        <w:t>kg/m</w:t>
      </w:r>
      <w:r>
        <w:rPr>
          <w:rFonts w:hint="default" w:ascii="Times New Roman" w:hAnsi="Times New Roman" w:eastAsia="宋体" w:cs="Times New Roman"/>
          <w:color w:val="auto"/>
          <w:kern w:val="2"/>
          <w:position w:val="2"/>
          <w:sz w:val="24"/>
          <w:szCs w:val="24"/>
          <w:vertAlign w:val="superscript"/>
          <w:lang w:val="zh-CN" w:eastAsia="zh-CN" w:bidi="zh-CN"/>
        </w:rPr>
        <w:t>3</w:t>
      </w:r>
      <w:r>
        <w:rPr>
          <w:rFonts w:hint="default" w:ascii="Times New Roman" w:hAnsi="Times New Roman" w:eastAsia="宋体" w:cs="Times New Roman"/>
          <w:color w:val="auto"/>
          <w:kern w:val="2"/>
          <w:position w:val="2"/>
          <w:sz w:val="24"/>
          <w:szCs w:val="24"/>
          <w:vertAlign w:val="baseline"/>
          <w:lang w:val="zh-CN" w:eastAsia="zh-CN" w:bidi="zh-CN"/>
        </w:rPr>
        <w:t>，</w:t>
      </w:r>
      <w:r>
        <w:rPr>
          <w:rFonts w:hint="default" w:ascii="Times New Roman" w:hAnsi="Times New Roman" w:eastAsia="宋体" w:cs="Times New Roman"/>
          <w:color w:val="auto"/>
          <w:kern w:val="2"/>
          <w:position w:val="2"/>
          <w:sz w:val="24"/>
          <w:szCs w:val="24"/>
          <w:lang w:val="zh-CN" w:eastAsia="zh-CN" w:bidi="zh-CN"/>
        </w:rPr>
        <w:t>活性炭填装总容量为</w:t>
      </w:r>
      <w:r>
        <w:rPr>
          <w:rFonts w:hint="eastAsia" w:ascii="Times New Roman" w:hAnsi="Times New Roman" w:eastAsia="宋体" w:cs="Times New Roman"/>
          <w:color w:val="auto"/>
          <w:kern w:val="2"/>
          <w:position w:val="2"/>
          <w:sz w:val="24"/>
          <w:szCs w:val="24"/>
          <w:lang w:val="en-US" w:eastAsia="zh-CN" w:bidi="zh-CN"/>
        </w:rPr>
        <w:t>0.225</w:t>
      </w:r>
      <w:r>
        <w:rPr>
          <w:rFonts w:hint="default" w:ascii="Times New Roman" w:hAnsi="Times New Roman" w:eastAsia="宋体" w:cs="Times New Roman"/>
          <w:color w:val="auto"/>
          <w:kern w:val="2"/>
          <w:position w:val="2"/>
          <w:sz w:val="24"/>
          <w:szCs w:val="24"/>
          <w:lang w:val="zh-CN" w:eastAsia="zh-CN" w:bidi="zh-CN"/>
        </w:rPr>
        <w:t>t，根据《活性炭手册》活性炭对有机废气的吸附饱和容量为</w:t>
      </w:r>
      <w:r>
        <w:rPr>
          <w:rFonts w:hint="eastAsia" w:ascii="Times New Roman" w:hAnsi="Times New Roman" w:eastAsia="宋体" w:cs="Times New Roman"/>
          <w:color w:val="auto"/>
          <w:kern w:val="2"/>
          <w:position w:val="2"/>
          <w:sz w:val="24"/>
          <w:szCs w:val="24"/>
          <w:lang w:val="en-US" w:eastAsia="zh-CN" w:bidi="zh-CN"/>
        </w:rPr>
        <w:t>35</w:t>
      </w:r>
      <w:r>
        <w:rPr>
          <w:rFonts w:hint="default" w:ascii="Times New Roman" w:hAnsi="Times New Roman" w:eastAsia="宋体" w:cs="Times New Roman"/>
          <w:color w:val="auto"/>
          <w:kern w:val="2"/>
          <w:position w:val="2"/>
          <w:sz w:val="24"/>
          <w:szCs w:val="24"/>
          <w:lang w:val="zh-CN" w:eastAsia="zh-CN" w:bidi="zh-CN"/>
        </w:rPr>
        <w:t>%，活性炭箱饱和吸附量为</w:t>
      </w:r>
      <w:r>
        <w:rPr>
          <w:rFonts w:hint="eastAsia" w:ascii="Times New Roman" w:hAnsi="Times New Roman" w:eastAsia="宋体" w:cs="Times New Roman"/>
          <w:color w:val="auto"/>
          <w:kern w:val="2"/>
          <w:position w:val="2"/>
          <w:sz w:val="24"/>
          <w:szCs w:val="24"/>
          <w:lang w:val="en-US" w:eastAsia="zh-CN" w:bidi="zh-CN"/>
        </w:rPr>
        <w:t>0.079</w:t>
      </w:r>
      <w:r>
        <w:rPr>
          <w:rFonts w:hint="default" w:ascii="Times New Roman" w:hAnsi="Times New Roman" w:eastAsia="宋体" w:cs="Times New Roman"/>
          <w:color w:val="auto"/>
          <w:kern w:val="2"/>
          <w:position w:val="2"/>
          <w:sz w:val="24"/>
          <w:szCs w:val="24"/>
          <w:lang w:val="zh-CN" w:eastAsia="zh-CN" w:bidi="zh-CN"/>
        </w:rPr>
        <w:t>t，</w:t>
      </w:r>
      <w:r>
        <w:rPr>
          <w:rFonts w:hint="default" w:ascii="Times New Roman" w:hAnsi="Times New Roman" w:eastAsia="宋体" w:cs="Times New Roman"/>
          <w:color w:val="auto"/>
          <w:kern w:val="2"/>
          <w:position w:val="2"/>
          <w:sz w:val="24"/>
          <w:szCs w:val="24"/>
          <w:lang w:val="en-US" w:eastAsia="zh-CN" w:bidi="zh-CN"/>
        </w:rPr>
        <w:t>每年</w:t>
      </w:r>
      <w:r>
        <w:rPr>
          <w:rFonts w:hint="default" w:ascii="Times New Roman" w:hAnsi="Times New Roman" w:eastAsia="宋体" w:cs="Times New Roman"/>
          <w:color w:val="auto"/>
          <w:kern w:val="2"/>
          <w:position w:val="2"/>
          <w:sz w:val="24"/>
          <w:szCs w:val="24"/>
          <w:lang w:val="zh-CN" w:eastAsia="zh-CN" w:bidi="zh-CN"/>
        </w:rPr>
        <w:t>经活性炭吸附的废气量</w:t>
      </w:r>
      <w:r>
        <w:rPr>
          <w:rFonts w:hint="eastAsia" w:ascii="Times New Roman" w:hAnsi="Times New Roman" w:eastAsia="宋体" w:cs="Times New Roman"/>
          <w:color w:val="auto"/>
          <w:kern w:val="2"/>
          <w:position w:val="2"/>
          <w:sz w:val="24"/>
          <w:szCs w:val="24"/>
          <w:lang w:val="en-US" w:eastAsia="zh-CN" w:bidi="zh-CN"/>
        </w:rPr>
        <w:t>约为0.0152</w:t>
      </w:r>
      <w:r>
        <w:rPr>
          <w:rFonts w:hint="default" w:ascii="Times New Roman" w:hAnsi="Times New Roman" w:eastAsia="宋体" w:cs="Times New Roman"/>
          <w:color w:val="auto"/>
          <w:kern w:val="2"/>
          <w:position w:val="2"/>
          <w:sz w:val="24"/>
          <w:szCs w:val="24"/>
          <w:lang w:val="zh-CN" w:eastAsia="zh-CN" w:bidi="zh-CN"/>
        </w:rPr>
        <w:t>t，</w:t>
      </w:r>
      <w:r>
        <w:rPr>
          <w:rFonts w:hint="default" w:ascii="Times New Roman" w:hAnsi="Times New Roman" w:eastAsia="宋体" w:cs="Times New Roman"/>
          <w:color w:val="auto"/>
          <w:kern w:val="2"/>
          <w:position w:val="2"/>
          <w:sz w:val="24"/>
          <w:szCs w:val="24"/>
          <w:lang w:val="en-US" w:eastAsia="zh-CN" w:bidi="zh-CN"/>
        </w:rPr>
        <w:t>为保证活性炭吸附效果，</w:t>
      </w:r>
      <w:r>
        <w:rPr>
          <w:rFonts w:hint="default" w:ascii="Times New Roman" w:hAnsi="Times New Roman" w:eastAsia="宋体" w:cs="Times New Roman"/>
          <w:color w:val="auto"/>
          <w:kern w:val="2"/>
          <w:position w:val="2"/>
          <w:sz w:val="24"/>
          <w:szCs w:val="24"/>
          <w:lang w:val="zh-CN" w:eastAsia="zh-CN" w:bidi="zh-CN"/>
        </w:rPr>
        <w:t>活性炭</w:t>
      </w:r>
      <w:r>
        <w:rPr>
          <w:rFonts w:hint="eastAsia" w:ascii="Times New Roman" w:hAnsi="Times New Roman" w:eastAsia="宋体" w:cs="Times New Roman"/>
          <w:color w:val="auto"/>
          <w:kern w:val="2"/>
          <w:position w:val="2"/>
          <w:sz w:val="24"/>
          <w:szCs w:val="24"/>
          <w:lang w:val="en-US" w:eastAsia="zh-CN" w:bidi="zh-CN"/>
        </w:rPr>
        <w:t>每半年更换一</w:t>
      </w:r>
      <w:r>
        <w:rPr>
          <w:rFonts w:hint="default" w:ascii="Times New Roman" w:hAnsi="Times New Roman" w:eastAsia="宋体" w:cs="Times New Roman"/>
          <w:color w:val="auto"/>
          <w:kern w:val="2"/>
          <w:position w:val="2"/>
          <w:sz w:val="24"/>
          <w:szCs w:val="24"/>
          <w:lang w:val="en-US" w:eastAsia="zh-CN" w:bidi="zh-CN"/>
        </w:rPr>
        <w:t>次</w:t>
      </w:r>
      <w:r>
        <w:rPr>
          <w:rFonts w:hint="default" w:ascii="Times New Roman" w:hAnsi="Times New Roman" w:eastAsia="宋体" w:cs="Times New Roman"/>
          <w:color w:val="auto"/>
          <w:kern w:val="2"/>
          <w:position w:val="2"/>
          <w:sz w:val="24"/>
          <w:szCs w:val="24"/>
          <w:lang w:val="zh-CN" w:eastAsia="zh-CN" w:bidi="zh-CN"/>
        </w:rPr>
        <w:t>，</w:t>
      </w:r>
      <w:r>
        <w:rPr>
          <w:rFonts w:hint="eastAsia" w:ascii="Times New Roman" w:hAnsi="Times New Roman" w:eastAsia="宋体" w:cs="Times New Roman"/>
          <w:color w:val="auto"/>
          <w:kern w:val="2"/>
          <w:position w:val="2"/>
          <w:sz w:val="24"/>
          <w:szCs w:val="24"/>
          <w:lang w:val="en-US" w:eastAsia="zh-CN" w:bidi="zh-CN"/>
        </w:rPr>
        <w:t>二级活性炭箱</w:t>
      </w:r>
      <w:r>
        <w:rPr>
          <w:rFonts w:hint="default" w:ascii="Times New Roman" w:hAnsi="Times New Roman" w:eastAsia="宋体" w:cs="Times New Roman"/>
          <w:color w:val="auto"/>
          <w:kern w:val="2"/>
          <w:position w:val="2"/>
          <w:sz w:val="24"/>
          <w:szCs w:val="24"/>
          <w:lang w:val="zh-CN" w:eastAsia="zh-CN" w:bidi="zh-CN"/>
        </w:rPr>
        <w:t>废活性炭产生量为</w:t>
      </w:r>
      <w:r>
        <w:rPr>
          <w:rFonts w:hint="eastAsia" w:ascii="Times New Roman" w:hAnsi="Times New Roman" w:eastAsia="宋体" w:cs="Times New Roman"/>
          <w:color w:val="auto"/>
          <w:kern w:val="2"/>
          <w:position w:val="2"/>
          <w:sz w:val="24"/>
          <w:szCs w:val="24"/>
          <w:lang w:val="en-US" w:eastAsia="zh-CN" w:bidi="zh-CN"/>
        </w:rPr>
        <w:t>0.465</w:t>
      </w:r>
      <w:r>
        <w:rPr>
          <w:rFonts w:hint="default" w:ascii="Times New Roman" w:hAnsi="Times New Roman" w:eastAsia="宋体" w:cs="Times New Roman"/>
          <w:color w:val="auto"/>
          <w:kern w:val="2"/>
          <w:position w:val="2"/>
          <w:sz w:val="24"/>
          <w:szCs w:val="24"/>
          <w:lang w:val="zh-CN" w:eastAsia="zh-CN" w:bidi="zh-CN"/>
        </w:rPr>
        <w:t>t/a(吸附废气量与活性炭用量之和)</w:t>
      </w:r>
      <w:r>
        <w:rPr>
          <w:rFonts w:hint="default" w:ascii="Times New Roman" w:hAnsi="Times New Roman" w:eastAsia="宋体" w:cs="Times New Roman"/>
          <w:position w:val="2"/>
          <w:sz w:val="24"/>
          <w:szCs w:val="24"/>
          <w:lang w:bidi="zh-CN"/>
        </w:rPr>
        <w:t>。</w:t>
      </w:r>
    </w:p>
    <w:p>
      <w:pPr>
        <w:keepNext w:val="0"/>
        <w:keepLines w:val="0"/>
        <w:pageBreakBefore w:val="0"/>
        <w:widowControl w:val="0"/>
        <w:kinsoku/>
        <w:wordWrap/>
        <w:overflowPunct/>
        <w:topLinePunct w:val="0"/>
        <w:autoSpaceDE w:val="0"/>
        <w:autoSpaceDN w:val="0"/>
        <w:bidi w:val="0"/>
        <w:adjustRightInd w:val="0"/>
        <w:snapToGrid/>
        <w:spacing w:after="0" w:line="440" w:lineRule="exact"/>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w:t>
      </w:r>
      <w:r>
        <w:rPr>
          <w:rFonts w:hint="eastAsia" w:ascii="Times New Roman" w:hAnsi="Times New Roman" w:eastAsia="宋体" w:cs="Times New Roman"/>
          <w:b/>
          <w:bCs/>
          <w:sz w:val="21"/>
          <w:szCs w:val="21"/>
          <w:lang w:val="en-US" w:eastAsia="zh-CN"/>
        </w:rPr>
        <w:t xml:space="preserve">9-7 </w:t>
      </w:r>
      <w:r>
        <w:rPr>
          <w:rFonts w:hint="default" w:ascii="Times New Roman" w:hAnsi="Times New Roman" w:eastAsia="宋体" w:cs="Times New Roman"/>
          <w:b/>
          <w:bCs/>
          <w:sz w:val="21"/>
          <w:szCs w:val="21"/>
          <w:lang w:val="en-US" w:eastAsia="zh-CN"/>
        </w:rPr>
        <w:t xml:space="preserve"> 本项目固废产生及处理情况一览表</w:t>
      </w:r>
    </w:p>
    <w:tbl>
      <w:tblPr>
        <w:tblStyle w:val="25"/>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28" w:type="dxa"/>
          <w:left w:w="57" w:type="dxa"/>
          <w:bottom w:w="28" w:type="dxa"/>
          <w:right w:w="57" w:type="dxa"/>
        </w:tblCellMar>
      </w:tblPr>
      <w:tblGrid>
        <w:gridCol w:w="1536"/>
        <w:gridCol w:w="1328"/>
        <w:gridCol w:w="815"/>
        <w:gridCol w:w="1418"/>
        <w:gridCol w:w="754"/>
        <w:gridCol w:w="2568"/>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57" w:type="dxa"/>
            <w:bottom w:w="28" w:type="dxa"/>
            <w:right w:w="57" w:type="dxa"/>
          </w:tblCellMar>
        </w:tblPrEx>
        <w:trPr>
          <w:trHeight w:val="170" w:hRule="atLeast"/>
          <w:jc w:val="center"/>
        </w:trPr>
        <w:tc>
          <w:tcPr>
            <w:tcW w:w="9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固废名称</w:t>
            </w:r>
          </w:p>
        </w:tc>
        <w:tc>
          <w:tcPr>
            <w:tcW w:w="7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是否属于危险废物</w:t>
            </w:r>
          </w:p>
        </w:tc>
        <w:tc>
          <w:tcPr>
            <w:tcW w:w="4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1"/>
                <w:szCs w:val="21"/>
                <w:highlight w:val="none"/>
                <w:lang w:val="en-US" w:eastAsia="zh-CN"/>
              </w:rPr>
              <w:t>危废类别</w:t>
            </w:r>
          </w:p>
        </w:tc>
        <w:tc>
          <w:tcPr>
            <w:tcW w:w="8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废物代码</w:t>
            </w:r>
          </w:p>
        </w:tc>
        <w:tc>
          <w:tcPr>
            <w:tcW w:w="4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产生量t/a</w:t>
            </w:r>
          </w:p>
        </w:tc>
        <w:tc>
          <w:tcPr>
            <w:tcW w:w="1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处理方式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57" w:type="dxa"/>
            <w:bottom w:w="28" w:type="dxa"/>
            <w:right w:w="57" w:type="dxa"/>
          </w:tblCellMar>
        </w:tblPrEx>
        <w:trPr>
          <w:trHeight w:val="170" w:hRule="atLeast"/>
          <w:jc w:val="center"/>
        </w:trPr>
        <w:tc>
          <w:tcPr>
            <w:tcW w:w="9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kern w:val="2"/>
                <w:sz w:val="21"/>
                <w:szCs w:val="21"/>
                <w:lang w:val="en-US" w:eastAsia="zh-CN" w:bidi="ar-SA"/>
              </w:rPr>
              <w:t>生活垃圾</w:t>
            </w:r>
          </w:p>
        </w:tc>
        <w:tc>
          <w:tcPr>
            <w:tcW w:w="7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否</w:t>
            </w:r>
          </w:p>
        </w:tc>
        <w:tc>
          <w:tcPr>
            <w:tcW w:w="4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w:t>
            </w:r>
          </w:p>
        </w:tc>
        <w:tc>
          <w:tcPr>
            <w:tcW w:w="8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val="0"/>
                <w:bCs/>
                <w:color w:val="auto"/>
                <w:sz w:val="21"/>
                <w:szCs w:val="21"/>
                <w:lang w:val="en-US" w:eastAsia="zh-CN"/>
              </w:rPr>
              <w:t>900-999-99</w:t>
            </w:r>
          </w:p>
        </w:tc>
        <w:tc>
          <w:tcPr>
            <w:tcW w:w="4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bCs/>
                <w:snapToGrid w:val="0"/>
                <w:color w:val="auto"/>
                <w:sz w:val="21"/>
                <w:szCs w:val="21"/>
                <w:lang w:val="en-US" w:eastAsia="zh-CN"/>
              </w:rPr>
              <w:t>12</w:t>
            </w:r>
          </w:p>
        </w:tc>
        <w:tc>
          <w:tcPr>
            <w:tcW w:w="1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b w:val="0"/>
                <w:bCs/>
                <w:color w:val="auto"/>
                <w:sz w:val="21"/>
                <w:szCs w:val="21"/>
              </w:rPr>
              <w:t>交环卫部门统一清运处置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57" w:type="dxa"/>
            <w:bottom w:w="28" w:type="dxa"/>
            <w:right w:w="57" w:type="dxa"/>
          </w:tblCellMar>
        </w:tblPrEx>
        <w:trPr>
          <w:trHeight w:val="170" w:hRule="atLeast"/>
          <w:jc w:val="center"/>
        </w:trPr>
        <w:tc>
          <w:tcPr>
            <w:tcW w:w="9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kern w:val="2"/>
                <w:sz w:val="21"/>
                <w:szCs w:val="21"/>
                <w:lang w:val="en-US" w:eastAsia="zh-CN" w:bidi="ar-SA"/>
              </w:rPr>
              <w:t>废外包材料</w:t>
            </w:r>
          </w:p>
        </w:tc>
        <w:tc>
          <w:tcPr>
            <w:tcW w:w="7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否</w:t>
            </w:r>
          </w:p>
        </w:tc>
        <w:tc>
          <w:tcPr>
            <w:tcW w:w="4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zh-CN" w:eastAsia="zh-CN" w:bidi="ar-SA"/>
              </w:rPr>
            </w:pPr>
            <w:r>
              <w:rPr>
                <w:rFonts w:hint="default" w:ascii="Times New Roman" w:hAnsi="Times New Roman" w:eastAsia="宋体" w:cs="Times New Roman"/>
                <w:b w:val="0"/>
                <w:bCs w:val="0"/>
                <w:color w:val="auto"/>
                <w:sz w:val="21"/>
                <w:szCs w:val="21"/>
                <w:lang w:val="en-US" w:eastAsia="zh-CN"/>
              </w:rPr>
              <w:t>/</w:t>
            </w:r>
          </w:p>
        </w:tc>
        <w:tc>
          <w:tcPr>
            <w:tcW w:w="8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position w:val="2"/>
                <w:sz w:val="21"/>
                <w:szCs w:val="21"/>
                <w:lang w:val="en-US" w:eastAsia="zh-CN" w:bidi="zh-CN"/>
              </w:rPr>
            </w:pPr>
            <w:r>
              <w:rPr>
                <w:rFonts w:hint="default" w:ascii="Times New Roman" w:hAnsi="Times New Roman" w:eastAsia="宋体" w:cs="Times New Roman"/>
                <w:b w:val="0"/>
                <w:bCs/>
                <w:color w:val="auto"/>
                <w:sz w:val="21"/>
                <w:szCs w:val="21"/>
                <w:lang w:val="en-US" w:eastAsia="zh-CN"/>
              </w:rPr>
              <w:t>272-001-06</w:t>
            </w:r>
          </w:p>
        </w:tc>
        <w:tc>
          <w:tcPr>
            <w:tcW w:w="4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position w:val="2"/>
                <w:sz w:val="21"/>
                <w:szCs w:val="21"/>
                <w:lang w:val="en-US" w:eastAsia="zh-CN" w:bidi="zh-CN"/>
              </w:rPr>
            </w:pPr>
            <w:r>
              <w:rPr>
                <w:rFonts w:hint="eastAsia" w:ascii="Times New Roman" w:hAnsi="Times New Roman" w:eastAsia="宋体" w:cs="Times New Roman"/>
                <w:color w:val="auto"/>
                <w:kern w:val="2"/>
                <w:position w:val="2"/>
                <w:sz w:val="21"/>
                <w:szCs w:val="21"/>
                <w:lang w:val="en-US" w:eastAsia="zh-CN" w:bidi="zh-CN"/>
              </w:rPr>
              <w:t>0.45</w:t>
            </w:r>
          </w:p>
        </w:tc>
        <w:tc>
          <w:tcPr>
            <w:tcW w:w="1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position w:val="2"/>
                <w:sz w:val="21"/>
                <w:szCs w:val="21"/>
                <w:lang w:val="en-US" w:bidi="zh-CN"/>
              </w:rPr>
            </w:pPr>
            <w:r>
              <w:rPr>
                <w:rFonts w:hint="default" w:ascii="Times New Roman" w:hAnsi="Times New Roman" w:eastAsia="宋体" w:cs="Times New Roman"/>
                <w:b w:val="0"/>
                <w:bCs/>
                <w:color w:val="auto"/>
                <w:sz w:val="21"/>
                <w:szCs w:val="21"/>
                <w:lang w:val="en-US" w:eastAsia="zh-CN"/>
              </w:rPr>
              <w:t>集中收集后外售废品收购站处理</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57" w:type="dxa"/>
            <w:bottom w:w="28" w:type="dxa"/>
            <w:right w:w="57" w:type="dxa"/>
          </w:tblCellMar>
        </w:tblPrEx>
        <w:trPr>
          <w:trHeight w:val="170" w:hRule="atLeast"/>
          <w:jc w:val="center"/>
        </w:trPr>
        <w:tc>
          <w:tcPr>
            <w:tcW w:w="9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废石英砂、废活性炭、废反渗透膜</w:t>
            </w:r>
          </w:p>
        </w:tc>
        <w:tc>
          <w:tcPr>
            <w:tcW w:w="7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sz w:val="21"/>
                <w:szCs w:val="21"/>
                <w:lang w:val="en-US" w:eastAsia="zh-CN"/>
              </w:rPr>
              <w:t>否</w:t>
            </w:r>
          </w:p>
        </w:tc>
        <w:tc>
          <w:tcPr>
            <w:tcW w:w="4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 w:val="0"/>
                <w:bCs w:val="0"/>
                <w:color w:val="auto"/>
                <w:sz w:val="21"/>
                <w:szCs w:val="21"/>
                <w:lang w:val="en-US" w:eastAsia="zh-CN"/>
              </w:rPr>
              <w:t>/</w:t>
            </w:r>
          </w:p>
        </w:tc>
        <w:tc>
          <w:tcPr>
            <w:tcW w:w="8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b w:val="0"/>
                <w:bCs/>
                <w:color w:val="auto"/>
                <w:sz w:val="21"/>
                <w:szCs w:val="21"/>
                <w:lang w:val="en-US" w:eastAsia="zh-CN"/>
              </w:rPr>
              <w:t>900-999-99</w:t>
            </w:r>
          </w:p>
        </w:tc>
        <w:tc>
          <w:tcPr>
            <w:tcW w:w="4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position w:val="2"/>
                <w:sz w:val="21"/>
                <w:szCs w:val="21"/>
                <w:lang w:val="en-US" w:eastAsia="zh-CN" w:bidi="zh-CN"/>
              </w:rPr>
            </w:pPr>
            <w:r>
              <w:rPr>
                <w:rFonts w:hint="eastAsia" w:ascii="Times New Roman" w:hAnsi="Times New Roman" w:eastAsia="宋体" w:cs="Times New Roman"/>
                <w:color w:val="auto"/>
                <w:kern w:val="2"/>
                <w:position w:val="2"/>
                <w:sz w:val="21"/>
                <w:szCs w:val="21"/>
                <w:lang w:val="en-US" w:eastAsia="zh-CN" w:bidi="zh-CN"/>
              </w:rPr>
              <w:t>0.8</w:t>
            </w:r>
          </w:p>
        </w:tc>
        <w:tc>
          <w:tcPr>
            <w:tcW w:w="1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position w:val="2"/>
                <w:sz w:val="21"/>
                <w:szCs w:val="21"/>
                <w:lang w:val="en-US" w:bidi="zh-CN"/>
              </w:rPr>
            </w:pPr>
            <w:r>
              <w:rPr>
                <w:rFonts w:hint="default" w:ascii="Times New Roman" w:hAnsi="Times New Roman" w:eastAsia="宋体" w:cs="Times New Roman"/>
                <w:bCs/>
                <w:snapToGrid w:val="0"/>
                <w:color w:val="auto"/>
                <w:sz w:val="21"/>
                <w:szCs w:val="21"/>
              </w:rPr>
              <w:t>由厂家负责更换并回收，不在场内暂存</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57" w:type="dxa"/>
            <w:bottom w:w="28" w:type="dxa"/>
            <w:right w:w="57" w:type="dxa"/>
          </w:tblCellMar>
        </w:tblPrEx>
        <w:trPr>
          <w:trHeight w:val="170" w:hRule="atLeast"/>
          <w:jc w:val="center"/>
        </w:trPr>
        <w:tc>
          <w:tcPr>
            <w:tcW w:w="9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bCs/>
                <w:kern w:val="2"/>
                <w:sz w:val="21"/>
                <w:szCs w:val="21"/>
                <w:lang w:val="en-US" w:eastAsia="zh-CN" w:bidi="ar-SA"/>
              </w:rPr>
            </w:pPr>
            <w:r>
              <w:rPr>
                <w:rFonts w:hint="default" w:ascii="Times New Roman" w:hAnsi="Times New Roman" w:eastAsia="宋体" w:cs="Times New Roman"/>
                <w:kern w:val="2"/>
                <w:sz w:val="21"/>
                <w:szCs w:val="21"/>
                <w:lang w:val="en-US" w:eastAsia="zh-CN" w:bidi="ar-SA"/>
              </w:rPr>
              <w:t>污水处理站污泥</w:t>
            </w:r>
          </w:p>
        </w:tc>
        <w:tc>
          <w:tcPr>
            <w:tcW w:w="7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eastAsia" w:ascii="Times New Roman" w:hAnsi="Times New Roman" w:eastAsia="宋体" w:cs="Times New Roman"/>
                <w:b w:val="0"/>
                <w:bCs w:val="0"/>
                <w:color w:val="auto"/>
                <w:sz w:val="21"/>
                <w:szCs w:val="21"/>
                <w:lang w:val="en-US" w:eastAsia="zh-CN"/>
              </w:rPr>
              <w:t>是</w:t>
            </w:r>
          </w:p>
        </w:tc>
        <w:tc>
          <w:tcPr>
            <w:tcW w:w="4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sz w:val="21"/>
                <w:szCs w:val="21"/>
                <w:lang w:val="en-US" w:eastAsia="zh-CN"/>
              </w:rPr>
              <w:t>HW49</w:t>
            </w:r>
          </w:p>
        </w:tc>
        <w:tc>
          <w:tcPr>
            <w:tcW w:w="8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sz w:val="21"/>
                <w:szCs w:val="21"/>
                <w:lang w:val="en-US" w:eastAsia="zh-CN"/>
              </w:rPr>
              <w:t>772</w:t>
            </w:r>
            <w:r>
              <w:rPr>
                <w:rFonts w:hint="default" w:ascii="Times New Roman" w:hAnsi="Times New Roman" w:eastAsia="宋体" w:cs="Times New Roman"/>
                <w:sz w:val="21"/>
                <w:szCs w:val="21"/>
                <w:lang w:val="en-US" w:eastAsia="zh-CN"/>
              </w:rPr>
              <w:t>-</w:t>
            </w:r>
            <w:r>
              <w:rPr>
                <w:rFonts w:hint="eastAsia" w:ascii="Times New Roman" w:hAnsi="Times New Roman" w:eastAsia="宋体" w:cs="Times New Roman"/>
                <w:sz w:val="21"/>
                <w:szCs w:val="21"/>
                <w:lang w:val="en-US" w:eastAsia="zh-CN"/>
              </w:rPr>
              <w:t>006</w:t>
            </w:r>
            <w:r>
              <w:rPr>
                <w:rFonts w:hint="default" w:ascii="Times New Roman" w:hAnsi="Times New Roman" w:eastAsia="宋体" w:cs="Times New Roman"/>
                <w:sz w:val="21"/>
                <w:szCs w:val="21"/>
                <w:lang w:val="en-US" w:eastAsia="zh-CN"/>
              </w:rPr>
              <w:t>-</w:t>
            </w:r>
            <w:r>
              <w:rPr>
                <w:rFonts w:hint="eastAsia" w:ascii="Times New Roman" w:hAnsi="Times New Roman" w:eastAsia="宋体" w:cs="Times New Roman"/>
                <w:sz w:val="21"/>
                <w:szCs w:val="21"/>
                <w:lang w:val="en-US" w:eastAsia="zh-CN"/>
              </w:rPr>
              <w:t>49</w:t>
            </w:r>
          </w:p>
        </w:tc>
        <w:tc>
          <w:tcPr>
            <w:tcW w:w="4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position w:val="2"/>
                <w:sz w:val="21"/>
                <w:szCs w:val="21"/>
                <w:lang w:val="en-US" w:eastAsia="zh-CN" w:bidi="zh-CN"/>
              </w:rPr>
            </w:pPr>
            <w:r>
              <w:rPr>
                <w:rFonts w:hint="eastAsia" w:ascii="Times New Roman" w:hAnsi="Times New Roman" w:eastAsia="宋体" w:cs="Times New Roman"/>
                <w:color w:val="auto"/>
                <w:kern w:val="2"/>
                <w:position w:val="2"/>
                <w:sz w:val="21"/>
                <w:szCs w:val="21"/>
                <w:lang w:val="en-US" w:eastAsia="zh-CN" w:bidi="zh-CN"/>
              </w:rPr>
              <w:t>2.5</w:t>
            </w:r>
          </w:p>
        </w:tc>
        <w:tc>
          <w:tcPr>
            <w:tcW w:w="1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2"/>
                <w:position w:val="2"/>
                <w:sz w:val="21"/>
                <w:szCs w:val="21"/>
                <w:lang w:val="en-US" w:eastAsia="zh-CN" w:bidi="zh-CN"/>
              </w:rPr>
            </w:pPr>
            <w:r>
              <w:rPr>
                <w:rFonts w:hint="default" w:ascii="Times New Roman" w:hAnsi="Times New Roman" w:eastAsia="宋体" w:cs="Times New Roman"/>
                <w:kern w:val="2"/>
                <w:sz w:val="21"/>
                <w:szCs w:val="21"/>
                <w:lang w:val="en-US" w:eastAsia="zh-CN" w:bidi="ar-SA"/>
              </w:rPr>
              <w:t>收集后暂存于危险废物暂存间内，定期委托有资质单位处置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57" w:type="dxa"/>
            <w:bottom w:w="28" w:type="dxa"/>
            <w:right w:w="57" w:type="dxa"/>
          </w:tblCellMar>
        </w:tblPrEx>
        <w:trPr>
          <w:trHeight w:val="170" w:hRule="atLeast"/>
          <w:jc w:val="center"/>
        </w:trPr>
        <w:tc>
          <w:tcPr>
            <w:tcW w:w="9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kern w:val="2"/>
                <w:sz w:val="21"/>
                <w:szCs w:val="21"/>
                <w:lang w:val="en-US" w:eastAsia="zh-CN" w:bidi="ar-SA"/>
              </w:rPr>
              <w:t>报废药品</w:t>
            </w:r>
          </w:p>
        </w:tc>
        <w:tc>
          <w:tcPr>
            <w:tcW w:w="7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是</w:t>
            </w:r>
          </w:p>
        </w:tc>
        <w:tc>
          <w:tcPr>
            <w:tcW w:w="4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sz w:val="21"/>
                <w:szCs w:val="21"/>
              </w:rPr>
              <w:t>HW03</w:t>
            </w:r>
          </w:p>
        </w:tc>
        <w:tc>
          <w:tcPr>
            <w:tcW w:w="8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sz w:val="21"/>
                <w:szCs w:val="21"/>
                <w:lang w:val="en-US" w:eastAsia="zh-CN"/>
              </w:rPr>
              <w:t>900-002-03</w:t>
            </w:r>
          </w:p>
        </w:tc>
        <w:tc>
          <w:tcPr>
            <w:tcW w:w="4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position w:val="2"/>
                <w:sz w:val="21"/>
                <w:szCs w:val="21"/>
                <w:lang w:val="en-US" w:eastAsia="zh-CN" w:bidi="zh-CN"/>
              </w:rPr>
            </w:pPr>
            <w:r>
              <w:rPr>
                <w:rFonts w:hint="eastAsia" w:ascii="Times New Roman" w:hAnsi="Times New Roman" w:eastAsia="宋体" w:cs="Times New Roman"/>
                <w:color w:val="auto"/>
                <w:kern w:val="2"/>
                <w:position w:val="2"/>
                <w:sz w:val="21"/>
                <w:szCs w:val="21"/>
                <w:lang w:val="en-US" w:eastAsia="zh-CN" w:bidi="zh-CN"/>
              </w:rPr>
              <w:t>1.25</w:t>
            </w:r>
          </w:p>
        </w:tc>
        <w:tc>
          <w:tcPr>
            <w:tcW w:w="1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kern w:val="2"/>
                <w:position w:val="2"/>
                <w:sz w:val="21"/>
                <w:szCs w:val="21"/>
                <w:lang w:val="en-US" w:eastAsia="zh-CN" w:bidi="zh-CN"/>
              </w:rPr>
            </w:pPr>
            <w:r>
              <w:rPr>
                <w:rFonts w:hint="default" w:ascii="Times New Roman" w:hAnsi="Times New Roman" w:eastAsia="宋体" w:cs="Times New Roman"/>
                <w:kern w:val="2"/>
                <w:sz w:val="21"/>
                <w:szCs w:val="21"/>
                <w:lang w:val="en-US" w:eastAsia="zh-CN" w:bidi="ar-SA"/>
              </w:rPr>
              <w:t>收集后暂存于危险废物暂存间内，定期委托有资质单位处置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57" w:type="dxa"/>
            <w:bottom w:w="28" w:type="dxa"/>
            <w:right w:w="57" w:type="dxa"/>
          </w:tblCellMar>
        </w:tblPrEx>
        <w:trPr>
          <w:trHeight w:val="170" w:hRule="atLeast"/>
          <w:jc w:val="center"/>
        </w:trPr>
        <w:tc>
          <w:tcPr>
            <w:tcW w:w="912" w:type="pct"/>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sz w:val="21"/>
                <w:szCs w:val="21"/>
                <w:lang w:val="en-US" w:eastAsia="zh-CN"/>
              </w:rPr>
              <w:t>危化品包装材料</w:t>
            </w:r>
          </w:p>
        </w:tc>
        <w:tc>
          <w:tcPr>
            <w:tcW w:w="7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是</w:t>
            </w:r>
          </w:p>
        </w:tc>
        <w:tc>
          <w:tcPr>
            <w:tcW w:w="4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sz w:val="21"/>
                <w:szCs w:val="21"/>
                <w:lang w:val="en-US" w:eastAsia="zh-CN"/>
              </w:rPr>
              <w:t>HW49</w:t>
            </w:r>
          </w:p>
        </w:tc>
        <w:tc>
          <w:tcPr>
            <w:tcW w:w="8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sz w:val="21"/>
                <w:szCs w:val="21"/>
                <w:lang w:val="en-US" w:eastAsia="zh-CN"/>
              </w:rPr>
              <w:t>900-039-49</w:t>
            </w:r>
          </w:p>
        </w:tc>
        <w:tc>
          <w:tcPr>
            <w:tcW w:w="4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position w:val="2"/>
                <w:sz w:val="21"/>
                <w:szCs w:val="21"/>
                <w:lang w:val="en-US" w:eastAsia="zh-CN" w:bidi="zh-CN"/>
              </w:rPr>
            </w:pPr>
            <w:r>
              <w:rPr>
                <w:rFonts w:hint="eastAsia" w:ascii="Times New Roman" w:hAnsi="Times New Roman" w:eastAsia="宋体" w:cs="Times New Roman"/>
                <w:color w:val="auto"/>
                <w:kern w:val="2"/>
                <w:position w:val="2"/>
                <w:sz w:val="21"/>
                <w:szCs w:val="21"/>
                <w:lang w:val="en-US" w:eastAsia="zh-CN" w:bidi="zh-CN"/>
              </w:rPr>
              <w:t>0.1</w:t>
            </w:r>
          </w:p>
        </w:tc>
        <w:tc>
          <w:tcPr>
            <w:tcW w:w="1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position w:val="2"/>
                <w:sz w:val="21"/>
                <w:szCs w:val="21"/>
                <w:lang w:val="en-US" w:bidi="zh-CN"/>
              </w:rPr>
            </w:pPr>
            <w:r>
              <w:rPr>
                <w:rFonts w:hint="default" w:ascii="Times New Roman" w:hAnsi="Times New Roman" w:eastAsia="宋体" w:cs="Times New Roman"/>
                <w:kern w:val="2"/>
                <w:sz w:val="21"/>
                <w:szCs w:val="21"/>
                <w:lang w:val="en-US" w:eastAsia="zh-CN" w:bidi="ar-SA"/>
              </w:rPr>
              <w:t>收集后暂存于危险废物暂存间内，定期委托有资质单位处置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57" w:type="dxa"/>
            <w:bottom w:w="28" w:type="dxa"/>
            <w:right w:w="57" w:type="dxa"/>
          </w:tblCellMar>
        </w:tblPrEx>
        <w:trPr>
          <w:trHeight w:val="170" w:hRule="atLeast"/>
          <w:jc w:val="center"/>
        </w:trPr>
        <w:tc>
          <w:tcPr>
            <w:tcW w:w="9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kern w:val="2"/>
                <w:sz w:val="21"/>
                <w:szCs w:val="21"/>
                <w:lang w:val="en-US" w:eastAsia="zh-CN" w:bidi="ar-SA"/>
              </w:rPr>
              <w:t>化验中心危废</w:t>
            </w:r>
          </w:p>
        </w:tc>
        <w:tc>
          <w:tcPr>
            <w:tcW w:w="7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是</w:t>
            </w:r>
          </w:p>
        </w:tc>
        <w:tc>
          <w:tcPr>
            <w:tcW w:w="4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sz w:val="21"/>
                <w:szCs w:val="21"/>
                <w:lang w:val="en-US" w:eastAsia="zh-CN"/>
              </w:rPr>
              <w:t>HW49</w:t>
            </w:r>
          </w:p>
        </w:tc>
        <w:tc>
          <w:tcPr>
            <w:tcW w:w="8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sz w:val="21"/>
                <w:szCs w:val="21"/>
                <w:lang w:val="en-US" w:eastAsia="zh-CN"/>
              </w:rPr>
              <w:t>900-0</w:t>
            </w:r>
            <w:r>
              <w:rPr>
                <w:rFonts w:hint="eastAsia" w:ascii="Times New Roman" w:hAnsi="Times New Roman" w:eastAsia="宋体" w:cs="Times New Roman"/>
                <w:sz w:val="21"/>
                <w:szCs w:val="21"/>
                <w:lang w:val="en-US" w:eastAsia="zh-CN"/>
              </w:rPr>
              <w:t>47</w:t>
            </w:r>
            <w:r>
              <w:rPr>
                <w:rFonts w:hint="default" w:ascii="Times New Roman" w:hAnsi="Times New Roman" w:eastAsia="宋体" w:cs="Times New Roman"/>
                <w:sz w:val="21"/>
                <w:szCs w:val="21"/>
                <w:lang w:val="en-US" w:eastAsia="zh-CN"/>
              </w:rPr>
              <w:t>-49</w:t>
            </w:r>
          </w:p>
        </w:tc>
        <w:tc>
          <w:tcPr>
            <w:tcW w:w="4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position w:val="2"/>
                <w:sz w:val="21"/>
                <w:szCs w:val="21"/>
                <w:lang w:val="en-US" w:eastAsia="zh-CN" w:bidi="zh-CN"/>
              </w:rPr>
            </w:pPr>
            <w:r>
              <w:rPr>
                <w:rFonts w:hint="eastAsia" w:ascii="Times New Roman" w:hAnsi="Times New Roman" w:eastAsia="宋体" w:cs="Times New Roman"/>
                <w:color w:val="auto"/>
                <w:kern w:val="2"/>
                <w:position w:val="2"/>
                <w:sz w:val="21"/>
                <w:szCs w:val="21"/>
                <w:lang w:val="en-US" w:eastAsia="zh-CN" w:bidi="zh-CN"/>
              </w:rPr>
              <w:t>1.2</w:t>
            </w:r>
          </w:p>
        </w:tc>
        <w:tc>
          <w:tcPr>
            <w:tcW w:w="1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position w:val="2"/>
                <w:sz w:val="21"/>
                <w:szCs w:val="21"/>
                <w:lang w:val="en-US" w:bidi="zh-CN"/>
              </w:rPr>
            </w:pPr>
            <w:r>
              <w:rPr>
                <w:rFonts w:hint="default" w:ascii="Times New Roman" w:hAnsi="Times New Roman" w:eastAsia="宋体" w:cs="Times New Roman"/>
                <w:kern w:val="2"/>
                <w:sz w:val="21"/>
                <w:szCs w:val="21"/>
                <w:lang w:val="en-US" w:eastAsia="zh-CN" w:bidi="ar-SA"/>
              </w:rPr>
              <w:t>收集后暂存于危险废物暂存间内，定期委托有资质单位处置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57" w:type="dxa"/>
            <w:bottom w:w="28" w:type="dxa"/>
            <w:right w:w="57" w:type="dxa"/>
          </w:tblCellMar>
        </w:tblPrEx>
        <w:trPr>
          <w:trHeight w:val="170" w:hRule="atLeast"/>
          <w:jc w:val="center"/>
        </w:trPr>
        <w:tc>
          <w:tcPr>
            <w:tcW w:w="9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kern w:val="2"/>
                <w:sz w:val="21"/>
                <w:szCs w:val="21"/>
                <w:lang w:val="en-US" w:eastAsia="zh-CN" w:bidi="ar-SA"/>
              </w:rPr>
              <w:t>废活性炭滤芯</w:t>
            </w:r>
          </w:p>
        </w:tc>
        <w:tc>
          <w:tcPr>
            <w:tcW w:w="7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是</w:t>
            </w:r>
          </w:p>
        </w:tc>
        <w:tc>
          <w:tcPr>
            <w:tcW w:w="4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sz w:val="21"/>
                <w:szCs w:val="21"/>
                <w:lang w:val="en-US" w:eastAsia="zh-CN"/>
              </w:rPr>
              <w:t>HW</w:t>
            </w:r>
            <w:r>
              <w:rPr>
                <w:rFonts w:hint="eastAsia" w:ascii="Times New Roman" w:hAnsi="Times New Roman" w:eastAsia="宋体" w:cs="Times New Roman"/>
                <w:sz w:val="21"/>
                <w:szCs w:val="21"/>
                <w:lang w:val="en-US" w:eastAsia="zh-CN"/>
              </w:rPr>
              <w:t>02</w:t>
            </w:r>
          </w:p>
        </w:tc>
        <w:tc>
          <w:tcPr>
            <w:tcW w:w="8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sz w:val="21"/>
                <w:szCs w:val="21"/>
                <w:lang w:val="en-US" w:eastAsia="zh-CN"/>
              </w:rPr>
            </w:pPr>
            <w:r>
              <w:rPr>
                <w:rFonts w:hint="eastAsia" w:ascii="Times New Roman" w:hAnsi="Times New Roman" w:eastAsia="宋体" w:cs="Times New Roman"/>
                <w:sz w:val="21"/>
                <w:szCs w:val="21"/>
                <w:lang w:val="en-US" w:eastAsia="zh-CN"/>
              </w:rPr>
              <w:t>272-003-02</w:t>
            </w:r>
          </w:p>
        </w:tc>
        <w:tc>
          <w:tcPr>
            <w:tcW w:w="4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position w:val="2"/>
                <w:sz w:val="21"/>
                <w:szCs w:val="21"/>
                <w:lang w:val="en-US" w:eastAsia="zh-CN" w:bidi="zh-CN"/>
              </w:rPr>
            </w:pPr>
            <w:r>
              <w:rPr>
                <w:rFonts w:hint="eastAsia" w:ascii="Times New Roman" w:hAnsi="Times New Roman" w:eastAsia="宋体" w:cs="Times New Roman"/>
                <w:sz w:val="21"/>
                <w:szCs w:val="21"/>
                <w:lang w:val="en-US" w:eastAsia="zh-CN"/>
              </w:rPr>
              <w:t>1.5</w:t>
            </w:r>
          </w:p>
        </w:tc>
        <w:tc>
          <w:tcPr>
            <w:tcW w:w="1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position w:val="2"/>
                <w:sz w:val="21"/>
                <w:szCs w:val="21"/>
                <w:lang w:val="en-US" w:bidi="zh-CN"/>
              </w:rPr>
            </w:pPr>
            <w:r>
              <w:rPr>
                <w:rFonts w:hint="default" w:ascii="Times New Roman" w:hAnsi="Times New Roman" w:eastAsia="宋体" w:cs="Times New Roman"/>
                <w:kern w:val="2"/>
                <w:sz w:val="21"/>
                <w:szCs w:val="21"/>
                <w:lang w:val="en-US" w:eastAsia="zh-CN" w:bidi="ar-SA"/>
              </w:rPr>
              <w:t>收集后暂存于危险废物暂存间内，定期委托有资质单位处置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57" w:type="dxa"/>
            <w:bottom w:w="28" w:type="dxa"/>
            <w:right w:w="57" w:type="dxa"/>
          </w:tblCellMar>
        </w:tblPrEx>
        <w:trPr>
          <w:trHeight w:val="170" w:hRule="atLeast"/>
          <w:jc w:val="center"/>
        </w:trPr>
        <w:tc>
          <w:tcPr>
            <w:tcW w:w="9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kern w:val="2"/>
                <w:sz w:val="21"/>
                <w:szCs w:val="21"/>
                <w:lang w:val="en-US" w:eastAsia="zh-CN" w:bidi="ar-SA"/>
              </w:rPr>
              <w:t>废空气滤芯</w:t>
            </w:r>
          </w:p>
        </w:tc>
        <w:tc>
          <w:tcPr>
            <w:tcW w:w="7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是</w:t>
            </w:r>
          </w:p>
        </w:tc>
        <w:tc>
          <w:tcPr>
            <w:tcW w:w="4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default" w:ascii="Times New Roman" w:hAnsi="Times New Roman" w:eastAsia="宋体" w:cs="Times New Roman"/>
                <w:sz w:val="21"/>
                <w:szCs w:val="21"/>
                <w:lang w:val="en-US" w:eastAsia="zh-CN"/>
              </w:rPr>
              <w:t>HW</w:t>
            </w:r>
            <w:r>
              <w:rPr>
                <w:rFonts w:hint="eastAsia" w:ascii="Times New Roman" w:hAnsi="Times New Roman" w:eastAsia="宋体" w:cs="Times New Roman"/>
                <w:sz w:val="21"/>
                <w:szCs w:val="21"/>
                <w:lang w:val="en-US" w:eastAsia="zh-CN"/>
              </w:rPr>
              <w:t>02</w:t>
            </w:r>
          </w:p>
        </w:tc>
        <w:tc>
          <w:tcPr>
            <w:tcW w:w="8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sz w:val="21"/>
                <w:szCs w:val="21"/>
                <w:lang w:val="en-US" w:eastAsia="zh-CN"/>
              </w:rPr>
              <w:t>272-003-02</w:t>
            </w:r>
          </w:p>
        </w:tc>
        <w:tc>
          <w:tcPr>
            <w:tcW w:w="4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position w:val="2"/>
                <w:sz w:val="21"/>
                <w:szCs w:val="21"/>
                <w:lang w:val="en-US" w:eastAsia="zh-CN" w:bidi="zh-CN"/>
              </w:rPr>
            </w:pPr>
            <w:r>
              <w:rPr>
                <w:rFonts w:hint="eastAsia" w:ascii="Times New Roman" w:hAnsi="Times New Roman" w:eastAsia="宋体" w:cs="Times New Roman"/>
                <w:sz w:val="21"/>
                <w:szCs w:val="21"/>
                <w:lang w:val="en-US" w:eastAsia="zh-CN"/>
              </w:rPr>
              <w:t>0.1</w:t>
            </w:r>
          </w:p>
        </w:tc>
        <w:tc>
          <w:tcPr>
            <w:tcW w:w="1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position w:val="2"/>
                <w:sz w:val="21"/>
                <w:szCs w:val="21"/>
                <w:lang w:val="en-US" w:bidi="zh-CN"/>
              </w:rPr>
            </w:pPr>
            <w:r>
              <w:rPr>
                <w:rFonts w:hint="default" w:ascii="Times New Roman" w:hAnsi="Times New Roman" w:eastAsia="宋体" w:cs="Times New Roman"/>
                <w:kern w:val="2"/>
                <w:sz w:val="21"/>
                <w:szCs w:val="21"/>
                <w:lang w:val="en-US" w:eastAsia="zh-CN" w:bidi="ar-SA"/>
              </w:rPr>
              <w:t>收集后暂存于危险废物暂存间内，定期委托有资质单位处置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8" w:type="dxa"/>
            <w:left w:w="57" w:type="dxa"/>
            <w:bottom w:w="28" w:type="dxa"/>
            <w:right w:w="57" w:type="dxa"/>
          </w:tblCellMar>
        </w:tblPrEx>
        <w:trPr>
          <w:trHeight w:val="170" w:hRule="atLeast"/>
          <w:jc w:val="center"/>
        </w:trPr>
        <w:tc>
          <w:tcPr>
            <w:tcW w:w="9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废活性炭</w:t>
            </w:r>
          </w:p>
        </w:tc>
        <w:tc>
          <w:tcPr>
            <w:tcW w:w="78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b w:val="0"/>
                <w:bCs w:val="0"/>
                <w:color w:val="auto"/>
                <w:kern w:val="2"/>
                <w:sz w:val="21"/>
                <w:szCs w:val="21"/>
                <w:lang w:val="en-US" w:eastAsia="zh-CN" w:bidi="ar-SA"/>
              </w:rPr>
              <w:t>是</w:t>
            </w:r>
          </w:p>
        </w:tc>
        <w:tc>
          <w:tcPr>
            <w:tcW w:w="4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sz w:val="21"/>
                <w:szCs w:val="21"/>
                <w:lang w:val="en-US" w:eastAsia="zh-CN"/>
              </w:rPr>
              <w:t>HW</w:t>
            </w:r>
            <w:r>
              <w:rPr>
                <w:rFonts w:hint="eastAsia" w:ascii="Times New Roman" w:hAnsi="Times New Roman" w:eastAsia="宋体" w:cs="Times New Roman"/>
                <w:sz w:val="21"/>
                <w:szCs w:val="21"/>
                <w:lang w:val="en-US" w:eastAsia="zh-CN"/>
              </w:rPr>
              <w:t>49</w:t>
            </w:r>
          </w:p>
        </w:tc>
        <w:tc>
          <w:tcPr>
            <w:tcW w:w="84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sz w:val="21"/>
                <w:szCs w:val="21"/>
                <w:lang w:val="en-US" w:eastAsia="zh-CN"/>
              </w:rPr>
            </w:pPr>
            <w:r>
              <w:rPr>
                <w:rFonts w:hint="default" w:ascii="Times New Roman" w:hAnsi="Times New Roman" w:eastAsia="宋体" w:cs="Times New Roman"/>
                <w:color w:val="auto"/>
                <w:kern w:val="2"/>
                <w:position w:val="2"/>
                <w:sz w:val="21"/>
                <w:szCs w:val="21"/>
                <w:lang w:val="en-US" w:eastAsia="zh-CN" w:bidi="zh-CN"/>
              </w:rPr>
              <w:t>900-039-49</w:t>
            </w:r>
          </w:p>
        </w:tc>
        <w:tc>
          <w:tcPr>
            <w:tcW w:w="44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position w:val="2"/>
                <w:sz w:val="21"/>
                <w:szCs w:val="21"/>
                <w:lang w:val="en-US" w:eastAsia="zh-CN" w:bidi="zh-CN"/>
              </w:rPr>
            </w:pPr>
            <w:r>
              <w:rPr>
                <w:rFonts w:hint="eastAsia" w:ascii="Times New Roman" w:hAnsi="Times New Roman" w:eastAsia="宋体" w:cs="Times New Roman"/>
                <w:color w:val="auto"/>
                <w:sz w:val="21"/>
                <w:szCs w:val="21"/>
                <w:lang w:val="en-US" w:eastAsia="zh-CN"/>
              </w:rPr>
              <w:t>0.465</w:t>
            </w:r>
          </w:p>
        </w:tc>
        <w:tc>
          <w:tcPr>
            <w:tcW w:w="152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position w:val="2"/>
                <w:sz w:val="21"/>
                <w:szCs w:val="21"/>
                <w:lang w:val="en-US" w:bidi="zh-CN"/>
              </w:rPr>
            </w:pPr>
            <w:r>
              <w:rPr>
                <w:rFonts w:hint="default" w:ascii="Times New Roman" w:hAnsi="Times New Roman" w:eastAsia="宋体" w:cs="Times New Roman"/>
                <w:kern w:val="2"/>
                <w:sz w:val="21"/>
                <w:szCs w:val="21"/>
                <w:lang w:val="en-US" w:eastAsia="zh-CN" w:bidi="ar-SA"/>
              </w:rPr>
              <w:t>收集后暂存于危险废物暂存间内，定期委托有资质单位处置</w:t>
            </w:r>
          </w:p>
        </w:tc>
      </w:tr>
    </w:tbl>
    <w:p>
      <w:pPr>
        <w:pStyle w:val="38"/>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9.2.2环保设施去除效率监测结果</w:t>
      </w:r>
    </w:p>
    <w:p>
      <w:pPr>
        <w:pStyle w:val="38"/>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9.2.2.1废水治理设施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本项目雨水由厂区雨水沟排入厂外市政雨水管道，蒸汽冷凝水经冷凝池冷凝后，用于地面清洁及循环冷却用水。生产废水经自建污水处理站处理后，通过市政污水管网排入菏泽众兴牡丹水环境有限公司污水处理厂进行深度处理；生活污水经化粪池预处理后，定期掏运用作农肥，不外排。另外，项目厂区化粪池进行了防渗漏处理，防止生活污水渗入地下而影响到本区域地下水环境。污水处理措施有效可行、经济实用。</w:t>
      </w:r>
    </w:p>
    <w:p>
      <w:pPr>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ascii="Times New Roman" w:hAnsi="Times New Roman" w:eastAsia="宋体" w:cs="Times New Roman"/>
          <w:color w:val="000000"/>
          <w:kern w:val="2"/>
          <w:sz w:val="24"/>
          <w:szCs w:val="28"/>
          <w:lang w:val="en-US" w:eastAsia="zh-CN" w:bidi="ar-SA"/>
        </w:rPr>
      </w:pPr>
      <w:r>
        <w:rPr>
          <w:rFonts w:ascii="Times New Roman" w:hAnsi="Times New Roman" w:eastAsia="宋体" w:cs="Times New Roman"/>
          <w:color w:val="000000"/>
          <w:kern w:val="2"/>
          <w:sz w:val="24"/>
          <w:szCs w:val="28"/>
          <w:lang w:val="en-US" w:eastAsia="zh-CN" w:bidi="ar-SA"/>
        </w:rPr>
        <w:t>验收监测期间，</w:t>
      </w:r>
      <w:r>
        <w:rPr>
          <w:rFonts w:hint="eastAsia" w:ascii="Times New Roman" w:hAnsi="Times New Roman" w:eastAsia="宋体" w:cs="Times New Roman"/>
          <w:color w:val="000000"/>
          <w:kern w:val="2"/>
          <w:sz w:val="24"/>
          <w:szCs w:val="28"/>
          <w:lang w:val="en-US" w:eastAsia="zh-CN" w:bidi="ar-SA"/>
        </w:rPr>
        <w:t>废水各项检测因子均</w:t>
      </w:r>
      <w:r>
        <w:rPr>
          <w:rFonts w:ascii="Times New Roman" w:hAnsi="Times New Roman" w:eastAsia="宋体" w:cs="Times New Roman"/>
          <w:color w:val="000000"/>
          <w:kern w:val="2"/>
          <w:sz w:val="24"/>
          <w:szCs w:val="28"/>
          <w:lang w:val="en-US" w:eastAsia="zh-CN" w:bidi="ar-SA"/>
        </w:rPr>
        <w:t>满足</w:t>
      </w:r>
      <w:r>
        <w:rPr>
          <w:rFonts w:hint="eastAsia" w:ascii="Times New Roman" w:hAnsi="Times New Roman" w:eastAsia="宋体" w:cs="Times New Roman"/>
          <w:sz w:val="24"/>
        </w:rPr>
        <w:t>执行《污水</w:t>
      </w:r>
      <w:r>
        <w:rPr>
          <w:rFonts w:hint="eastAsia" w:ascii="Times New Roman" w:hAnsi="Times New Roman" w:eastAsia="宋体" w:cs="Times New Roman"/>
          <w:sz w:val="24"/>
          <w:lang w:val="en-US" w:eastAsia="zh-CN"/>
        </w:rPr>
        <w:t>综合排放</w:t>
      </w:r>
      <w:r>
        <w:rPr>
          <w:rFonts w:hint="eastAsia" w:ascii="Times New Roman" w:hAnsi="Times New Roman" w:eastAsia="宋体" w:cs="Times New Roman"/>
          <w:sz w:val="24"/>
        </w:rPr>
        <w:t>标准》（GB</w:t>
      </w:r>
      <w:r>
        <w:rPr>
          <w:rFonts w:hint="eastAsia" w:ascii="Times New Roman" w:hAnsi="Times New Roman" w:eastAsia="宋体" w:cs="Times New Roman"/>
          <w:sz w:val="24"/>
          <w:lang w:val="en-US" w:eastAsia="zh-CN"/>
        </w:rPr>
        <w:t>8978</w:t>
      </w:r>
      <w:r>
        <w:rPr>
          <w:rFonts w:hint="eastAsia" w:ascii="Times New Roman" w:hAnsi="Times New Roman" w:eastAsia="宋体" w:cs="Times New Roman"/>
          <w:sz w:val="24"/>
        </w:rPr>
        <w:t>-</w:t>
      </w:r>
      <w:r>
        <w:rPr>
          <w:rFonts w:hint="eastAsia" w:ascii="Times New Roman" w:hAnsi="Times New Roman" w:eastAsia="宋体" w:cs="Times New Roman"/>
          <w:sz w:val="24"/>
          <w:lang w:val="en-US" w:eastAsia="zh-CN"/>
        </w:rPr>
        <w:t>1996</w:t>
      </w:r>
      <w:r>
        <w:rPr>
          <w:rFonts w:hint="eastAsia" w:ascii="Times New Roman" w:hAnsi="Times New Roman" w:eastAsia="宋体" w:cs="Times New Roman"/>
          <w:sz w:val="24"/>
        </w:rPr>
        <w:t>）</w:t>
      </w:r>
      <w:r>
        <w:rPr>
          <w:rFonts w:hint="eastAsia" w:ascii="Times New Roman" w:hAnsi="Times New Roman" w:eastAsia="宋体" w:cs="Times New Roman"/>
          <w:sz w:val="24"/>
          <w:lang w:val="en-US" w:eastAsia="zh-CN"/>
        </w:rPr>
        <w:t>表2三级标准、《混装制剂类制药工业水污染物排放标准》（GB 21908-2008）中表2标准</w:t>
      </w:r>
      <w:r>
        <w:rPr>
          <w:rFonts w:hint="eastAsia" w:ascii="Times New Roman" w:hAnsi="Times New Roman" w:eastAsia="宋体" w:cs="Times New Roman"/>
          <w:sz w:val="24"/>
        </w:rPr>
        <w:t>及</w:t>
      </w:r>
      <w:r>
        <w:rPr>
          <w:rFonts w:hint="eastAsia" w:ascii="Times New Roman" w:hAnsi="Times New Roman" w:eastAsia="宋体" w:cs="Times New Roman"/>
          <w:sz w:val="24"/>
          <w:lang w:eastAsia="zh-CN"/>
        </w:rPr>
        <w:t>菏泽众兴牡丹水环境有限公司污水处理厂</w:t>
      </w:r>
      <w:r>
        <w:rPr>
          <w:rFonts w:hint="eastAsia" w:ascii="Times New Roman" w:hAnsi="Times New Roman" w:eastAsia="宋体" w:cs="Times New Roman"/>
          <w:sz w:val="24"/>
        </w:rPr>
        <w:t>接管标准</w:t>
      </w:r>
      <w:r>
        <w:rPr>
          <w:rFonts w:ascii="Times New Roman" w:hAnsi="Times New Roman" w:eastAsia="宋体" w:cs="Times New Roman"/>
          <w:color w:val="000000"/>
          <w:kern w:val="2"/>
          <w:sz w:val="24"/>
          <w:szCs w:val="28"/>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eastAsia" w:ascii="Times New Roman" w:hAnsi="Times New Roman" w:eastAsia="宋体" w:cs="Times New Roman"/>
          <w:color w:val="000000"/>
          <w:sz w:val="24"/>
          <w:szCs w:val="24"/>
          <w:lang w:val="en-US" w:eastAsia="zh-CN"/>
        </w:rPr>
        <w:t>经计算，污水处理站废水处理量为3092.2m³/a，根据废水监测结果SS处理效率为58%，间接排放量为0.025</w:t>
      </w:r>
      <w:r>
        <w:rPr>
          <w:rFonts w:hint="default" w:ascii="Times New Roman" w:hAnsi="Times New Roman" w:eastAsia="宋体" w:cs="Times New Roman"/>
          <w:color w:val="000000"/>
          <w:sz w:val="24"/>
          <w:szCs w:val="24"/>
          <w:lang w:val="en-US" w:eastAsia="zh-CN"/>
        </w:rPr>
        <w:t>t/a</w:t>
      </w:r>
      <w:r>
        <w:rPr>
          <w:rFonts w:hint="eastAsia" w:ascii="Times New Roman" w:hAnsi="Times New Roman" w:eastAsia="宋体" w:cs="Times New Roman"/>
          <w:color w:val="000000"/>
          <w:sz w:val="24"/>
          <w:szCs w:val="24"/>
          <w:lang w:val="en-US" w:eastAsia="zh-CN"/>
        </w:rPr>
        <w:t>；</w:t>
      </w:r>
      <w:r>
        <w:rPr>
          <w:rFonts w:hint="eastAsia" w:ascii="Times New Roman" w:hAnsi="Times New Roman" w:eastAsia="宋体" w:cs="Times New Roman"/>
          <w:color w:val="auto"/>
          <w:sz w:val="24"/>
          <w:szCs w:val="24"/>
          <w:lang w:bidi="ar"/>
        </w:rPr>
        <w:t>全盐量</w:t>
      </w:r>
      <w:r>
        <w:rPr>
          <w:rFonts w:hint="eastAsia" w:ascii="Times New Roman" w:hAnsi="Times New Roman" w:eastAsia="宋体" w:cs="Times New Roman"/>
          <w:color w:val="000000"/>
          <w:sz w:val="24"/>
          <w:szCs w:val="24"/>
          <w:lang w:val="en-US" w:eastAsia="zh-CN"/>
        </w:rPr>
        <w:t>处理效率为21%，间接排放量为1.37</w:t>
      </w:r>
      <w:r>
        <w:rPr>
          <w:rFonts w:hint="default" w:ascii="Times New Roman" w:hAnsi="Times New Roman" w:eastAsia="宋体" w:cs="Times New Roman"/>
          <w:color w:val="000000"/>
          <w:sz w:val="24"/>
          <w:szCs w:val="24"/>
          <w:lang w:val="en-US" w:eastAsia="zh-CN"/>
        </w:rPr>
        <w:t>t/a</w:t>
      </w:r>
      <w:r>
        <w:rPr>
          <w:rFonts w:hint="eastAsia" w:ascii="Times New Roman" w:hAnsi="Times New Roman" w:eastAsia="宋体" w:cs="Times New Roman"/>
          <w:color w:val="000000"/>
          <w:sz w:val="24"/>
          <w:szCs w:val="24"/>
          <w:lang w:val="en-US" w:eastAsia="zh-CN"/>
        </w:rPr>
        <w:t>；</w:t>
      </w:r>
      <w:r>
        <w:rPr>
          <w:rFonts w:ascii="Times New Roman" w:hAnsi="Times New Roman" w:eastAsia="宋体" w:cs="Times New Roman"/>
          <w:color w:val="auto"/>
          <w:sz w:val="24"/>
          <w:szCs w:val="24"/>
          <w:lang w:bidi="ar"/>
        </w:rPr>
        <w:t>COD</w:t>
      </w:r>
      <w:r>
        <w:rPr>
          <w:rFonts w:hint="eastAsia" w:ascii="Times New Roman" w:hAnsi="Times New Roman" w:eastAsia="宋体" w:cs="Times New Roman"/>
          <w:color w:val="000000"/>
          <w:sz w:val="24"/>
          <w:szCs w:val="24"/>
          <w:lang w:val="en-US" w:eastAsia="zh-CN"/>
        </w:rPr>
        <w:t>处理效率为54%，间接排放量为0.095</w:t>
      </w:r>
      <w:r>
        <w:rPr>
          <w:rFonts w:hint="default" w:ascii="Times New Roman" w:hAnsi="Times New Roman" w:eastAsia="宋体" w:cs="Times New Roman"/>
          <w:color w:val="000000"/>
          <w:sz w:val="24"/>
          <w:szCs w:val="24"/>
          <w:lang w:val="en-US" w:eastAsia="zh-CN"/>
        </w:rPr>
        <w:t>t/a</w:t>
      </w:r>
      <w:r>
        <w:rPr>
          <w:rFonts w:hint="eastAsia" w:ascii="Times New Roman" w:hAnsi="Times New Roman" w:eastAsia="宋体" w:cs="Times New Roman"/>
          <w:color w:val="000000"/>
          <w:sz w:val="24"/>
          <w:szCs w:val="24"/>
          <w:lang w:val="en-US" w:eastAsia="zh-CN"/>
        </w:rPr>
        <w:t>；</w:t>
      </w:r>
      <w:r>
        <w:rPr>
          <w:rFonts w:ascii="Times New Roman" w:hAnsi="Times New Roman" w:eastAsia="宋体" w:cs="Times New Roman"/>
          <w:color w:val="auto"/>
          <w:sz w:val="24"/>
          <w:szCs w:val="24"/>
          <w:lang w:bidi="ar"/>
        </w:rPr>
        <w:t>氨氮</w:t>
      </w:r>
      <w:r>
        <w:rPr>
          <w:rFonts w:hint="eastAsia" w:ascii="Times New Roman" w:hAnsi="Times New Roman" w:eastAsia="宋体" w:cs="Times New Roman"/>
          <w:color w:val="000000"/>
          <w:sz w:val="24"/>
          <w:szCs w:val="24"/>
          <w:lang w:val="en-US" w:eastAsia="zh-CN"/>
        </w:rPr>
        <w:t>处理效率为86%，间接排放量为0.001</w:t>
      </w:r>
      <w:r>
        <w:rPr>
          <w:rFonts w:hint="default" w:ascii="Times New Roman" w:hAnsi="Times New Roman" w:eastAsia="宋体" w:cs="Times New Roman"/>
          <w:color w:val="000000"/>
          <w:sz w:val="24"/>
          <w:szCs w:val="24"/>
          <w:lang w:val="en-US" w:eastAsia="zh-CN"/>
        </w:rPr>
        <w:t>t/a</w:t>
      </w:r>
      <w:r>
        <w:rPr>
          <w:rFonts w:hint="eastAsia" w:ascii="Times New Roman" w:hAnsi="Times New Roman" w:eastAsia="宋体" w:cs="Times New Roman"/>
          <w:color w:val="000000"/>
          <w:sz w:val="24"/>
          <w:szCs w:val="24"/>
          <w:lang w:val="en-US" w:eastAsia="zh-CN"/>
        </w:rPr>
        <w:t>；</w:t>
      </w:r>
      <w:r>
        <w:rPr>
          <w:rFonts w:hint="eastAsia" w:ascii="Times New Roman" w:hAnsi="Times New Roman" w:eastAsia="宋体" w:cs="Times New Roman"/>
          <w:color w:val="auto"/>
          <w:sz w:val="24"/>
          <w:szCs w:val="24"/>
          <w:lang w:bidi="ar"/>
        </w:rPr>
        <w:t>总磷</w:t>
      </w:r>
      <w:r>
        <w:rPr>
          <w:rFonts w:hint="eastAsia" w:ascii="Times New Roman" w:hAnsi="Times New Roman" w:eastAsia="宋体" w:cs="Times New Roman"/>
          <w:color w:val="000000"/>
          <w:sz w:val="24"/>
          <w:szCs w:val="24"/>
          <w:lang w:val="en-US" w:eastAsia="zh-CN"/>
        </w:rPr>
        <w:t>处理效率为58%，间接排放量为0.00084</w:t>
      </w:r>
      <w:r>
        <w:rPr>
          <w:rFonts w:hint="default" w:ascii="Times New Roman" w:hAnsi="Times New Roman" w:eastAsia="宋体" w:cs="Times New Roman"/>
          <w:color w:val="000000"/>
          <w:sz w:val="24"/>
          <w:szCs w:val="24"/>
          <w:lang w:val="en-US" w:eastAsia="zh-CN"/>
        </w:rPr>
        <w:t>t/a</w:t>
      </w:r>
      <w:r>
        <w:rPr>
          <w:rFonts w:hint="eastAsia" w:ascii="Times New Roman" w:hAnsi="Times New Roman" w:eastAsia="宋体" w:cs="Times New Roman"/>
          <w:color w:val="000000"/>
          <w:sz w:val="24"/>
          <w:szCs w:val="24"/>
          <w:lang w:val="en-US" w:eastAsia="zh-CN"/>
        </w:rPr>
        <w:t>；</w:t>
      </w:r>
      <w:r>
        <w:rPr>
          <w:rFonts w:hint="eastAsia" w:ascii="Times New Roman" w:hAnsi="Times New Roman" w:eastAsia="宋体" w:cs="Times New Roman"/>
          <w:color w:val="auto"/>
          <w:sz w:val="24"/>
          <w:szCs w:val="24"/>
          <w:lang w:bidi="ar"/>
        </w:rPr>
        <w:t>总氮</w:t>
      </w:r>
      <w:r>
        <w:rPr>
          <w:rFonts w:hint="eastAsia" w:ascii="Times New Roman" w:hAnsi="Times New Roman" w:eastAsia="宋体" w:cs="Times New Roman"/>
          <w:color w:val="000000"/>
          <w:sz w:val="24"/>
          <w:szCs w:val="24"/>
          <w:lang w:val="en-US" w:eastAsia="zh-CN"/>
        </w:rPr>
        <w:t>处理效率为56%，间接排放量为0.012</w:t>
      </w:r>
      <w:r>
        <w:rPr>
          <w:rFonts w:hint="default" w:ascii="Times New Roman" w:hAnsi="Times New Roman" w:eastAsia="宋体" w:cs="Times New Roman"/>
          <w:color w:val="000000"/>
          <w:sz w:val="24"/>
          <w:szCs w:val="24"/>
          <w:lang w:val="en-US" w:eastAsia="zh-CN"/>
        </w:rPr>
        <w:t>t/a</w:t>
      </w:r>
      <w:r>
        <w:rPr>
          <w:rFonts w:hint="eastAsia" w:ascii="Times New Roman" w:hAnsi="Times New Roman" w:eastAsia="宋体" w:cs="Times New Roman"/>
          <w:color w:val="000000"/>
          <w:sz w:val="24"/>
          <w:szCs w:val="24"/>
          <w:lang w:val="en-US" w:eastAsia="zh-CN"/>
        </w:rPr>
        <w:t>；</w:t>
      </w:r>
      <w:r>
        <w:rPr>
          <w:rFonts w:hint="eastAsia" w:ascii="Times New Roman" w:hAnsi="Times New Roman" w:eastAsia="宋体" w:cs="Times New Roman"/>
          <w:color w:val="000000"/>
          <w:sz w:val="24"/>
          <w:szCs w:val="24"/>
          <w:lang w:bidi="ar"/>
        </w:rPr>
        <w:t>BOD</w:t>
      </w:r>
      <w:r>
        <w:rPr>
          <w:rFonts w:hint="eastAsia" w:ascii="Times New Roman" w:hAnsi="Times New Roman" w:eastAsia="宋体" w:cs="Times New Roman"/>
          <w:color w:val="000000"/>
          <w:sz w:val="24"/>
          <w:szCs w:val="24"/>
          <w:vertAlign w:val="subscript"/>
          <w:lang w:bidi="ar"/>
        </w:rPr>
        <w:t>5</w:t>
      </w:r>
      <w:r>
        <w:rPr>
          <w:rFonts w:hint="eastAsia" w:ascii="Times New Roman" w:hAnsi="Times New Roman" w:eastAsia="宋体" w:cs="Times New Roman"/>
          <w:color w:val="000000"/>
          <w:sz w:val="24"/>
          <w:szCs w:val="24"/>
          <w:lang w:val="en-US" w:eastAsia="zh-CN"/>
        </w:rPr>
        <w:t>处理效率为54%，间接排放量为0.029</w:t>
      </w:r>
      <w:r>
        <w:rPr>
          <w:rFonts w:hint="default" w:ascii="Times New Roman" w:hAnsi="Times New Roman" w:eastAsia="宋体" w:cs="Times New Roman"/>
          <w:color w:val="000000"/>
          <w:sz w:val="24"/>
          <w:szCs w:val="24"/>
          <w:lang w:val="en-US" w:eastAsia="zh-CN"/>
        </w:rPr>
        <w:t>t/a</w:t>
      </w:r>
      <w:r>
        <w:rPr>
          <w:rFonts w:hint="eastAsia" w:ascii="Times New Roman" w:hAnsi="Times New Roman" w:eastAsia="宋体" w:cs="Times New Roman"/>
          <w:color w:val="000000"/>
          <w:sz w:val="24"/>
          <w:szCs w:val="24"/>
          <w:lang w:val="en-US" w:eastAsia="zh-CN"/>
        </w:rPr>
        <w:t>；</w:t>
      </w:r>
      <w:r>
        <w:rPr>
          <w:rFonts w:hint="eastAsia" w:ascii="Times New Roman" w:hAnsi="Times New Roman" w:eastAsia="宋体" w:cs="Times New Roman"/>
          <w:color w:val="000000"/>
          <w:sz w:val="24"/>
          <w:szCs w:val="24"/>
          <w:lang w:bidi="ar"/>
        </w:rPr>
        <w:t>氟化物</w:t>
      </w:r>
      <w:r>
        <w:rPr>
          <w:rFonts w:hint="eastAsia" w:ascii="Times New Roman" w:hAnsi="Times New Roman" w:eastAsia="宋体" w:cs="Times New Roman"/>
          <w:color w:val="000000"/>
          <w:sz w:val="24"/>
          <w:szCs w:val="24"/>
          <w:lang w:val="en-US" w:eastAsia="zh-CN"/>
        </w:rPr>
        <w:t>处理效率为62%，间接排放量为0.002</w:t>
      </w:r>
      <w:r>
        <w:rPr>
          <w:rFonts w:hint="default" w:ascii="Times New Roman" w:hAnsi="Times New Roman" w:eastAsia="宋体" w:cs="Times New Roman"/>
          <w:color w:val="000000"/>
          <w:sz w:val="24"/>
          <w:szCs w:val="24"/>
          <w:lang w:val="en-US" w:eastAsia="zh-CN"/>
        </w:rPr>
        <w:t>t/a</w:t>
      </w:r>
      <w:r>
        <w:rPr>
          <w:rFonts w:hint="eastAsia" w:ascii="Times New Roman" w:hAnsi="Times New Roman" w:eastAsia="宋体" w:cs="Times New Roman"/>
          <w:color w:val="000000"/>
          <w:sz w:val="24"/>
          <w:szCs w:val="24"/>
          <w:lang w:val="en-US" w:eastAsia="zh-CN"/>
        </w:rPr>
        <w:t>。</w:t>
      </w:r>
    </w:p>
    <w:p>
      <w:pPr>
        <w:pStyle w:val="38"/>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9.2.2.2废气治理设施</w:t>
      </w:r>
    </w:p>
    <w:p>
      <w:pPr>
        <w:pStyle w:val="69"/>
        <w:keepNext w:val="0"/>
        <w:keepLines w:val="0"/>
        <w:pageBreakBefore w:val="0"/>
        <w:kinsoku/>
        <w:wordWrap/>
        <w:overflowPunct/>
        <w:topLinePunct w:val="0"/>
        <w:autoSpaceDE/>
        <w:autoSpaceDN/>
        <w:bidi w:val="0"/>
        <w:adjustRightInd w:val="0"/>
        <w:spacing w:before="0" w:after="0" w:line="360" w:lineRule="auto"/>
        <w:ind w:right="0" w:firstLine="480" w:firstLineChars="200"/>
        <w:jc w:val="both"/>
        <w:textAlignment w:val="auto"/>
        <w:rPr>
          <w:rFonts w:hint="default" w:ascii="Times New Roman" w:hAnsi="Times New Roman" w:eastAsia="宋体" w:cs="Times New Roman"/>
          <w:b w:val="0"/>
          <w:bCs w:val="0"/>
          <w:color w:val="000000"/>
          <w:spacing w:val="0"/>
          <w:w w:val="100"/>
          <w:kern w:val="0"/>
          <w:position w:val="0"/>
          <w:sz w:val="24"/>
          <w:szCs w:val="24"/>
          <w:lang w:val="en-US" w:eastAsia="zh-CN"/>
        </w:rPr>
      </w:pPr>
      <w:r>
        <w:rPr>
          <w:rFonts w:hint="default" w:ascii="Times New Roman" w:hAnsi="Times New Roman" w:eastAsia="宋体" w:cs="Times New Roman"/>
          <w:color w:val="000000"/>
          <w:sz w:val="24"/>
          <w:szCs w:val="24"/>
          <w:lang w:val="en-US" w:eastAsia="zh-CN"/>
        </w:rPr>
        <w:t>营运期项目</w:t>
      </w:r>
      <w:r>
        <w:rPr>
          <w:rFonts w:hint="default" w:ascii="Times New Roman" w:hAnsi="Times New Roman" w:eastAsia="宋体" w:cs="Times New Roman"/>
          <w:b w:val="0"/>
          <w:bCs w:val="0"/>
          <w:color w:val="000000"/>
          <w:spacing w:val="0"/>
          <w:w w:val="100"/>
          <w:kern w:val="0"/>
          <w:position w:val="0"/>
          <w:sz w:val="24"/>
          <w:szCs w:val="24"/>
          <w:lang w:val="en-US" w:eastAsia="zh-CN"/>
        </w:rPr>
        <w:t>污水处理站恶臭气体经“碱液喷淋塔+二级活性炭吸附装置”处理后，</w:t>
      </w:r>
      <w:r>
        <w:rPr>
          <w:rFonts w:hint="default" w:ascii="Times New Roman" w:hAnsi="Times New Roman" w:eastAsia="宋体" w:cs="Times New Roman"/>
          <w:kern w:val="2"/>
          <w:sz w:val="24"/>
          <w:szCs w:val="24"/>
          <w:lang w:val="en-US" w:eastAsia="zh-CN" w:bidi="ar-SA"/>
        </w:rPr>
        <w:t>最终通过1根15米高的排气筒（DA001）排放；</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auto"/>
          <w:sz w:val="24"/>
          <w:szCs w:val="24"/>
          <w:lang w:val="en-US" w:eastAsia="zh-CN"/>
        </w:rPr>
        <w:t>化验</w:t>
      </w:r>
      <w:r>
        <w:rPr>
          <w:rFonts w:hint="default" w:ascii="Times New Roman" w:hAnsi="Times New Roman" w:eastAsia="宋体" w:cs="Times New Roman"/>
          <w:b w:val="0"/>
          <w:bCs w:val="0"/>
          <w:color w:val="000000"/>
          <w:spacing w:val="0"/>
          <w:w w:val="100"/>
          <w:kern w:val="0"/>
          <w:position w:val="0"/>
          <w:sz w:val="24"/>
          <w:szCs w:val="24"/>
          <w:lang w:val="en-US" w:eastAsia="zh-CN"/>
        </w:rPr>
        <w:t>中心产生的有机废气经通风柜收集经“碱液喷淋塔+二级活性炭吸附装置”处理后，最终通过1根20米高的排气筒（DA002）排放（排气筒出口距离地面高度20m，排气筒高于楼层5米)。</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4"/>
        </w:rPr>
        <w:t>验收监测期间，</w:t>
      </w:r>
      <w:r>
        <w:rPr>
          <w:rFonts w:hint="default" w:ascii="Times New Roman" w:hAnsi="Times New Roman" w:eastAsia="宋体" w:cs="Times New Roman"/>
          <w:sz w:val="24"/>
          <w:szCs w:val="24"/>
        </w:rPr>
        <w:t>污水处理站有组织NH</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color w:val="000000"/>
          <w:sz w:val="24"/>
          <w:szCs w:val="24"/>
        </w:rPr>
        <w:t>的最大排放速率</w:t>
      </w:r>
      <w:r>
        <w:rPr>
          <w:rFonts w:hint="default" w:ascii="Times New Roman" w:hAnsi="Times New Roman" w:eastAsia="宋体" w:cs="Times New Roman"/>
          <w:sz w:val="24"/>
          <w:szCs w:val="24"/>
          <w:lang w:val="en-US" w:eastAsia="zh-CN"/>
        </w:rPr>
        <w:t>0.0019</w:t>
      </w:r>
      <w:r>
        <w:rPr>
          <w:rFonts w:hint="default" w:ascii="Times New Roman" w:hAnsi="Times New Roman" w:eastAsia="宋体" w:cs="Times New Roman"/>
          <w:color w:val="000000"/>
          <w:sz w:val="24"/>
          <w:szCs w:val="24"/>
        </w:rPr>
        <w:t>kg/h、最高排放浓度为</w:t>
      </w:r>
      <w:r>
        <w:rPr>
          <w:rFonts w:hint="default" w:ascii="Times New Roman" w:hAnsi="Times New Roman" w:eastAsia="宋体" w:cs="Times New Roman"/>
          <w:color w:val="000000"/>
          <w:sz w:val="24"/>
          <w:szCs w:val="24"/>
          <w:lang w:val="en-US" w:eastAsia="zh-CN"/>
        </w:rPr>
        <w:t>1.82</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w:t>
      </w:r>
      <w:r>
        <w:rPr>
          <w:rFonts w:hint="default" w:ascii="Times New Roman" w:hAnsi="Times New Roman" w:eastAsia="宋体" w:cs="Times New Roman"/>
          <w:color w:val="000000"/>
          <w:sz w:val="24"/>
          <w:szCs w:val="24"/>
        </w:rPr>
        <w:t>的最大排放速率</w:t>
      </w:r>
      <w:r>
        <w:rPr>
          <w:rFonts w:hint="default" w:ascii="Times New Roman" w:hAnsi="Times New Roman" w:eastAsia="宋体" w:cs="Times New Roman"/>
          <w:sz w:val="24"/>
          <w:szCs w:val="24"/>
          <w:lang w:val="en-US" w:eastAsia="zh-CN"/>
        </w:rPr>
        <w:t>0.00051</w:t>
      </w:r>
      <w:r>
        <w:rPr>
          <w:rFonts w:hint="default" w:ascii="Times New Roman" w:hAnsi="Times New Roman" w:eastAsia="宋体" w:cs="Times New Roman"/>
          <w:color w:val="000000"/>
          <w:sz w:val="24"/>
          <w:szCs w:val="24"/>
        </w:rPr>
        <w:t>kg/h、最高排放浓度为</w:t>
      </w:r>
      <w:r>
        <w:rPr>
          <w:rFonts w:hint="default" w:ascii="Times New Roman" w:hAnsi="Times New Roman" w:eastAsia="宋体" w:cs="Times New Roman"/>
          <w:color w:val="000000"/>
          <w:sz w:val="24"/>
          <w:szCs w:val="24"/>
          <w:lang w:val="en-US" w:eastAsia="zh-CN"/>
        </w:rPr>
        <w:t>0.49</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臭气浓度未检出</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NH</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sz w:val="24"/>
          <w:szCs w:val="24"/>
          <w:vertAlign w:val="baseline"/>
          <w:lang w:eastAsia="zh-CN"/>
        </w:rPr>
        <w:t>、</w:t>
      </w:r>
      <w:r>
        <w:rPr>
          <w:rFonts w:hint="default" w:ascii="Times New Roman" w:hAnsi="Times New Roman" w:eastAsia="宋体" w:cs="Times New Roman"/>
          <w:sz w:val="24"/>
          <w:szCs w:val="24"/>
        </w:rPr>
        <w:t>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S、臭气浓度</w:t>
      </w:r>
      <w:r>
        <w:rPr>
          <w:rFonts w:hint="default" w:ascii="Times New Roman" w:hAnsi="Times New Roman" w:eastAsia="宋体" w:cs="Times New Roman"/>
          <w:sz w:val="24"/>
          <w:szCs w:val="24"/>
          <w:lang w:val="en-US" w:eastAsia="zh-CN"/>
        </w:rPr>
        <w:t>分别满足</w:t>
      </w:r>
      <w:r>
        <w:rPr>
          <w:rFonts w:hint="default" w:ascii="Times New Roman" w:hAnsi="Times New Roman" w:eastAsia="宋体" w:cs="Times New Roman"/>
          <w:sz w:val="24"/>
          <w:szCs w:val="24"/>
        </w:rPr>
        <w:t>《恶臭污染物排放标准》（GB14554-93）表2排放限值要求</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sz w:val="24"/>
          <w:szCs w:val="24"/>
        </w:rPr>
        <w:t>NH</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color w:val="000000"/>
          <w:sz w:val="24"/>
          <w:szCs w:val="24"/>
          <w:lang w:val="en-US" w:eastAsia="zh-CN"/>
        </w:rPr>
        <w:t>≤4.9</w:t>
      </w:r>
      <w:r>
        <w:rPr>
          <w:rFonts w:hint="default" w:ascii="Times New Roman" w:hAnsi="Times New Roman" w:eastAsia="宋体" w:cs="Times New Roman"/>
          <w:color w:val="000000"/>
          <w:sz w:val="24"/>
          <w:szCs w:val="24"/>
        </w:rPr>
        <w:t>kg/h，</w:t>
      </w:r>
      <w:r>
        <w:rPr>
          <w:rFonts w:hint="default" w:ascii="Times New Roman" w:hAnsi="Times New Roman" w:eastAsia="宋体" w:cs="Times New Roman"/>
          <w:sz w:val="24"/>
          <w:szCs w:val="24"/>
        </w:rPr>
        <w:t>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w:t>
      </w:r>
      <w:r>
        <w:rPr>
          <w:rFonts w:hint="default" w:ascii="Times New Roman" w:hAnsi="Times New Roman" w:eastAsia="宋体" w:cs="Times New Roman"/>
          <w:color w:val="000000"/>
          <w:sz w:val="24"/>
          <w:szCs w:val="24"/>
          <w:lang w:val="en-US" w:eastAsia="zh-CN"/>
        </w:rPr>
        <w:t>≤0.33</w:t>
      </w:r>
      <w:r>
        <w:rPr>
          <w:rFonts w:hint="default" w:ascii="Times New Roman" w:hAnsi="Times New Roman" w:eastAsia="宋体" w:cs="Times New Roman"/>
          <w:color w:val="000000"/>
          <w:sz w:val="24"/>
          <w:szCs w:val="24"/>
        </w:rPr>
        <w:t>kg/h，</w:t>
      </w:r>
      <w:r>
        <w:rPr>
          <w:rFonts w:hint="default" w:ascii="Times New Roman" w:hAnsi="Times New Roman" w:eastAsia="宋体" w:cs="Times New Roman"/>
          <w:sz w:val="24"/>
          <w:szCs w:val="24"/>
        </w:rPr>
        <w:t>臭气浓度</w:t>
      </w:r>
      <w:r>
        <w:rPr>
          <w:rFonts w:hint="default" w:ascii="Times New Roman" w:hAnsi="Times New Roman" w:eastAsia="宋体" w:cs="Times New Roman"/>
          <w:color w:val="000000"/>
          <w:sz w:val="24"/>
          <w:szCs w:val="24"/>
          <w:lang w:val="en-US" w:eastAsia="zh-CN"/>
        </w:rPr>
        <w:t>≤2000（无量纲））</w:t>
      </w:r>
      <w:r>
        <w:rPr>
          <w:rFonts w:hint="default"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lang w:val="en-US" w:eastAsia="zh-CN"/>
        </w:rPr>
        <w:t>化验中心</w:t>
      </w:r>
      <w:r>
        <w:rPr>
          <w:rFonts w:hint="default" w:ascii="Times New Roman" w:hAnsi="Times New Roman" w:eastAsia="宋体" w:cs="Times New Roman"/>
          <w:sz w:val="24"/>
          <w:szCs w:val="24"/>
        </w:rPr>
        <w:t>有组织</w:t>
      </w:r>
      <w:r>
        <w:rPr>
          <w:rFonts w:hint="default" w:ascii="Times New Roman" w:hAnsi="Times New Roman" w:eastAsia="宋体" w:cs="Times New Roman"/>
          <w:sz w:val="24"/>
          <w:szCs w:val="24"/>
          <w:lang w:val="en-US" w:eastAsia="zh-CN"/>
        </w:rPr>
        <w:t>VOCs</w:t>
      </w:r>
      <w:r>
        <w:rPr>
          <w:rFonts w:hint="default" w:ascii="Times New Roman" w:hAnsi="Times New Roman" w:eastAsia="宋体" w:cs="Times New Roman"/>
          <w:color w:val="000000"/>
          <w:sz w:val="24"/>
          <w:szCs w:val="24"/>
        </w:rPr>
        <w:t>的最大排放速率</w:t>
      </w:r>
      <w:r>
        <w:rPr>
          <w:rFonts w:hint="default" w:ascii="Times New Roman" w:hAnsi="Times New Roman" w:eastAsia="宋体" w:cs="Times New Roman"/>
          <w:sz w:val="24"/>
          <w:szCs w:val="24"/>
          <w:lang w:val="en-US" w:eastAsia="zh-CN"/>
        </w:rPr>
        <w:t>0.00097</w:t>
      </w:r>
      <w:r>
        <w:rPr>
          <w:rFonts w:hint="default" w:ascii="Times New Roman" w:hAnsi="Times New Roman" w:eastAsia="宋体" w:cs="Times New Roman"/>
          <w:color w:val="000000"/>
          <w:sz w:val="24"/>
          <w:szCs w:val="24"/>
        </w:rPr>
        <w:t>kg/h、最高排放浓度为</w:t>
      </w:r>
      <w:r>
        <w:rPr>
          <w:rFonts w:hint="default" w:ascii="Times New Roman" w:hAnsi="Times New Roman" w:eastAsia="宋体" w:cs="Times New Roman"/>
          <w:color w:val="000000"/>
          <w:sz w:val="24"/>
          <w:szCs w:val="24"/>
          <w:lang w:val="en-US" w:eastAsia="zh-CN"/>
        </w:rPr>
        <w:t>1.57</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sz w:val="24"/>
          <w:szCs w:val="24"/>
        </w:rPr>
        <w:t>有组织</w:t>
      </w:r>
      <w:r>
        <w:rPr>
          <w:rFonts w:hint="default" w:ascii="Times New Roman" w:hAnsi="Times New Roman" w:eastAsia="宋体" w:cs="Times New Roman"/>
          <w:sz w:val="24"/>
          <w:szCs w:val="24"/>
          <w:lang w:val="en-US" w:eastAsia="zh-CN"/>
        </w:rPr>
        <w:t>VOCs</w:t>
      </w:r>
      <w:r>
        <w:rPr>
          <w:rFonts w:hint="default" w:ascii="Times New Roman" w:hAnsi="Times New Roman" w:eastAsia="宋体" w:cs="Times New Roman"/>
          <w:sz w:val="24"/>
          <w:szCs w:val="24"/>
          <w:highlight w:val="none"/>
          <w:lang w:val="en-US" w:eastAsia="zh-CN"/>
        </w:rPr>
        <w:t>排放</w:t>
      </w:r>
      <w:r>
        <w:rPr>
          <w:rFonts w:hint="eastAsia" w:ascii="Times New Roman" w:hAnsi="Times New Roman" w:eastAsia="宋体" w:cs="Times New Roman"/>
          <w:sz w:val="24"/>
          <w:szCs w:val="24"/>
          <w:highlight w:val="none"/>
          <w:lang w:val="en-US" w:eastAsia="zh-CN"/>
        </w:rPr>
        <w:t>满足</w:t>
      </w:r>
      <w:r>
        <w:rPr>
          <w:rFonts w:hint="default" w:ascii="Times New Roman" w:hAnsi="Times New Roman" w:eastAsia="宋体" w:cs="Times New Roman"/>
          <w:sz w:val="24"/>
          <w:szCs w:val="24"/>
          <w:highlight w:val="none"/>
          <w:lang w:val="en-US" w:eastAsia="zh-CN"/>
        </w:rPr>
        <w:t>《挥发性有机物排放标准 第7部分：其他行业》（DB37/2801.7-2019）表1“非重点行业”</w:t>
      </w:r>
      <w:r>
        <w:rPr>
          <w:rFonts w:hint="default" w:ascii="Times New Roman" w:hAnsi="Times New Roman" w:eastAsia="宋体" w:cs="Times New Roman"/>
          <w:sz w:val="24"/>
          <w:szCs w:val="24"/>
          <w:highlight w:val="none"/>
          <w:lang w:val="en-US" w:eastAsia="zh-CN"/>
        </w:rPr>
        <w:fldChar w:fldCharType="begin"/>
      </w:r>
      <w:r>
        <w:rPr>
          <w:rFonts w:hint="default" w:ascii="Times New Roman" w:hAnsi="Times New Roman" w:eastAsia="宋体" w:cs="Times New Roman"/>
          <w:sz w:val="24"/>
          <w:szCs w:val="24"/>
          <w:highlight w:val="none"/>
          <w:lang w:val="en-US" w:eastAsia="zh-CN"/>
        </w:rPr>
        <w:instrText xml:space="preserve"> = 2 \* ROMAN \* MERGEFORMAT </w:instrText>
      </w:r>
      <w:r>
        <w:rPr>
          <w:rFonts w:hint="default" w:ascii="Times New Roman" w:hAnsi="Times New Roman" w:eastAsia="宋体" w:cs="Times New Roman"/>
          <w:sz w:val="24"/>
          <w:szCs w:val="24"/>
          <w:highlight w:val="none"/>
          <w:lang w:val="en-US" w:eastAsia="zh-CN"/>
        </w:rPr>
        <w:fldChar w:fldCharType="separate"/>
      </w:r>
      <w:r>
        <w:rPr>
          <w:rFonts w:hint="default" w:ascii="Times New Roman" w:hAnsi="Times New Roman" w:eastAsia="宋体" w:cs="Times New Roman"/>
          <w:sz w:val="24"/>
          <w:szCs w:val="24"/>
          <w:highlight w:val="none"/>
        </w:rPr>
        <w:t>II</w:t>
      </w:r>
      <w:r>
        <w:rPr>
          <w:rFonts w:hint="default" w:ascii="Times New Roman" w:hAnsi="Times New Roman" w:eastAsia="宋体" w:cs="Times New Roman"/>
          <w:sz w:val="24"/>
          <w:szCs w:val="24"/>
          <w:highlight w:val="none"/>
          <w:lang w:val="en-US" w:eastAsia="zh-CN"/>
        </w:rPr>
        <w:fldChar w:fldCharType="end"/>
      </w:r>
      <w:r>
        <w:rPr>
          <w:rFonts w:hint="default" w:ascii="Times New Roman" w:hAnsi="Times New Roman" w:eastAsia="宋体" w:cs="Times New Roman"/>
          <w:sz w:val="24"/>
          <w:szCs w:val="24"/>
          <w:highlight w:val="none"/>
          <w:lang w:val="en-US" w:eastAsia="zh-CN"/>
        </w:rPr>
        <w:t>时段排放限值标准，</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sz w:val="24"/>
          <w:szCs w:val="24"/>
          <w:lang w:val="en-US" w:eastAsia="zh-CN"/>
        </w:rPr>
        <w:t>VOCs</w:t>
      </w:r>
      <w:r>
        <w:rPr>
          <w:rFonts w:hint="default" w:ascii="Times New Roman" w:hAnsi="Times New Roman" w:eastAsia="宋体" w:cs="Times New Roman"/>
          <w:color w:val="000000"/>
          <w:sz w:val="24"/>
          <w:szCs w:val="24"/>
          <w:lang w:val="en-US" w:eastAsia="zh-CN"/>
        </w:rPr>
        <w:t>≤6</w:t>
      </w:r>
      <w:r>
        <w:rPr>
          <w:rFonts w:hint="default" w:ascii="Times New Roman" w:hAnsi="Times New Roman" w:eastAsia="宋体" w:cs="Times New Roman"/>
          <w:color w:val="000000"/>
          <w:sz w:val="24"/>
          <w:szCs w:val="24"/>
        </w:rPr>
        <w:t>kg/h，</w:t>
      </w:r>
      <w:r>
        <w:rPr>
          <w:rFonts w:hint="default" w:ascii="Times New Roman" w:hAnsi="Times New Roman" w:eastAsia="宋体" w:cs="Times New Roman"/>
          <w:sz w:val="24"/>
          <w:szCs w:val="24"/>
          <w:lang w:val="en-US" w:eastAsia="zh-CN"/>
        </w:rPr>
        <w:t>VOCs</w:t>
      </w:r>
      <w:r>
        <w:rPr>
          <w:rFonts w:hint="default" w:ascii="Times New Roman" w:hAnsi="Times New Roman" w:eastAsia="宋体" w:cs="Times New Roman"/>
          <w:color w:val="000000"/>
          <w:sz w:val="24"/>
          <w:szCs w:val="24"/>
          <w:lang w:val="en-US" w:eastAsia="zh-CN"/>
        </w:rPr>
        <w:t>≤60mg/m</w:t>
      </w:r>
      <w:r>
        <w:rPr>
          <w:rFonts w:hint="default" w:ascii="Times New Roman" w:hAnsi="Times New Roman" w:eastAsia="宋体"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sz w:val="24"/>
          <w:szCs w:val="24"/>
          <w:highlight w:val="none"/>
          <w:lang w:val="en-US" w:eastAsia="zh-CN"/>
        </w:rPr>
        <w:t>。</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000000"/>
          <w:sz w:val="24"/>
          <w:szCs w:val="24"/>
          <w:lang w:val="en-US" w:eastAsia="zh-CN"/>
        </w:rPr>
        <w:t>该项目年生产</w:t>
      </w:r>
      <w:r>
        <w:rPr>
          <w:rFonts w:hint="default" w:ascii="Times New Roman" w:hAnsi="Times New Roman" w:eastAsia="宋体" w:cs="Times New Roman"/>
          <w:color w:val="000000"/>
          <w:sz w:val="24"/>
          <w:szCs w:val="24"/>
        </w:rPr>
        <w:t>300天；采用</w:t>
      </w:r>
      <w:r>
        <w:rPr>
          <w:rFonts w:hint="default" w:ascii="Times New Roman" w:hAnsi="Times New Roman" w:eastAsia="宋体" w:cs="Times New Roman"/>
          <w:color w:val="000000"/>
          <w:sz w:val="24"/>
          <w:szCs w:val="24"/>
          <w:lang w:val="en-US" w:eastAsia="zh-CN"/>
        </w:rPr>
        <w:t>四班三运转</w:t>
      </w:r>
      <w:r>
        <w:rPr>
          <w:rFonts w:hint="default" w:ascii="Times New Roman" w:hAnsi="Times New Roman" w:eastAsia="宋体" w:cs="Times New Roman"/>
          <w:color w:val="000000"/>
          <w:sz w:val="24"/>
          <w:szCs w:val="24"/>
        </w:rPr>
        <w:t>制，每班工作8小时，年工作</w:t>
      </w:r>
      <w:r>
        <w:rPr>
          <w:rFonts w:hint="default" w:ascii="Times New Roman" w:hAnsi="Times New Roman" w:eastAsia="宋体" w:cs="Times New Roman"/>
          <w:color w:val="000000"/>
          <w:sz w:val="24"/>
          <w:szCs w:val="24"/>
          <w:lang w:val="en-US" w:eastAsia="zh-CN"/>
        </w:rPr>
        <w:t>7200</w:t>
      </w:r>
      <w:r>
        <w:rPr>
          <w:rFonts w:hint="default" w:ascii="Times New Roman" w:hAnsi="Times New Roman" w:eastAsia="宋体" w:cs="Times New Roman"/>
          <w:color w:val="000000"/>
          <w:sz w:val="24"/>
          <w:szCs w:val="24"/>
        </w:rPr>
        <w:t>小时</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其中化验中心年工作时间为100h</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color w:val="auto"/>
          <w:sz w:val="24"/>
          <w:szCs w:val="24"/>
          <w:lang w:val="en-US" w:eastAsia="zh-CN"/>
        </w:rPr>
        <w:t>经计算有</w:t>
      </w:r>
      <w:r>
        <w:rPr>
          <w:rFonts w:hint="default" w:ascii="Times New Roman" w:hAnsi="Times New Roman" w:eastAsia="宋体" w:cs="Times New Roman"/>
          <w:sz w:val="24"/>
          <w:szCs w:val="24"/>
        </w:rPr>
        <w:t>组织NH</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color w:val="000000"/>
          <w:sz w:val="24"/>
          <w:szCs w:val="24"/>
          <w:lang w:val="en-US" w:eastAsia="zh-CN"/>
        </w:rPr>
        <w:t>处理效率为90.1%，排放量为0.014t/a；</w:t>
      </w:r>
      <w:r>
        <w:rPr>
          <w:rFonts w:hint="default" w:ascii="Times New Roman" w:hAnsi="Times New Roman" w:eastAsia="宋体" w:cs="Times New Roman"/>
          <w:color w:val="auto"/>
          <w:sz w:val="24"/>
          <w:szCs w:val="24"/>
          <w:lang w:val="en-US" w:eastAsia="zh-CN"/>
        </w:rPr>
        <w:t>有</w:t>
      </w:r>
      <w:r>
        <w:rPr>
          <w:rFonts w:hint="default" w:ascii="Times New Roman" w:hAnsi="Times New Roman" w:eastAsia="宋体" w:cs="Times New Roman"/>
          <w:sz w:val="24"/>
          <w:szCs w:val="24"/>
        </w:rPr>
        <w:t>组织H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w:t>
      </w:r>
      <w:r>
        <w:rPr>
          <w:rFonts w:hint="default" w:ascii="Times New Roman" w:hAnsi="Times New Roman" w:eastAsia="宋体" w:cs="Times New Roman"/>
          <w:color w:val="000000"/>
          <w:sz w:val="24"/>
          <w:szCs w:val="24"/>
          <w:lang w:val="en-US" w:eastAsia="zh-CN"/>
        </w:rPr>
        <w:t>处理效率为41.4%，排放量为0.0037t/a；</w:t>
      </w:r>
      <w:r>
        <w:rPr>
          <w:rFonts w:hint="default" w:ascii="Times New Roman" w:hAnsi="Times New Roman" w:eastAsia="宋体" w:cs="Times New Roman"/>
          <w:color w:val="auto"/>
          <w:sz w:val="24"/>
          <w:szCs w:val="24"/>
          <w:lang w:val="en-US" w:eastAsia="zh-CN"/>
        </w:rPr>
        <w:t>有</w:t>
      </w:r>
      <w:r>
        <w:rPr>
          <w:rFonts w:hint="default" w:ascii="Times New Roman" w:hAnsi="Times New Roman" w:eastAsia="宋体" w:cs="Times New Roman"/>
          <w:sz w:val="24"/>
          <w:szCs w:val="24"/>
        </w:rPr>
        <w:t>组织</w:t>
      </w:r>
      <w:r>
        <w:rPr>
          <w:rFonts w:hint="default" w:ascii="Times New Roman" w:hAnsi="Times New Roman" w:eastAsia="宋体" w:cs="Times New Roman"/>
          <w:sz w:val="24"/>
          <w:szCs w:val="24"/>
          <w:lang w:val="en-US" w:eastAsia="zh-CN"/>
        </w:rPr>
        <w:t>VOCs</w:t>
      </w:r>
      <w:r>
        <w:rPr>
          <w:rFonts w:hint="default" w:ascii="Times New Roman" w:hAnsi="Times New Roman" w:eastAsia="宋体" w:cs="Times New Roman"/>
          <w:color w:val="000000"/>
          <w:sz w:val="24"/>
          <w:szCs w:val="24"/>
          <w:lang w:val="en-US" w:eastAsia="zh-CN"/>
        </w:rPr>
        <w:t>处理效率为86.5%，排放量为0.0001t/a；</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G1小容量注射剂（安瓿瓶、西林瓶）车间产生的异味，通过车间内微负压收集，由中央空气净化系统处理后，经出风口无组织排放。</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000000"/>
          <w:sz w:val="24"/>
          <w:szCs w:val="24"/>
        </w:rPr>
        <w:t>项目厂界无</w:t>
      </w:r>
      <w:r>
        <w:rPr>
          <w:rFonts w:hint="default" w:ascii="Times New Roman" w:hAnsi="Times New Roman" w:eastAsia="宋体" w:cs="Times New Roman"/>
          <w:color w:val="000000"/>
          <w:sz w:val="24"/>
          <w:szCs w:val="24"/>
          <w:lang w:val="en-US" w:eastAsia="zh-CN"/>
        </w:rPr>
        <w:t>组织</w:t>
      </w:r>
      <w:r>
        <w:rPr>
          <w:rFonts w:hint="default" w:ascii="Times New Roman" w:hAnsi="Times New Roman" w:eastAsia="宋体" w:cs="Times New Roman"/>
          <w:b w:val="0"/>
          <w:bCs/>
          <w:sz w:val="24"/>
          <w:szCs w:val="24"/>
        </w:rPr>
        <w:t>NH</w:t>
      </w:r>
      <w:r>
        <w:rPr>
          <w:rFonts w:hint="default" w:ascii="Times New Roman" w:hAnsi="Times New Roman" w:eastAsia="宋体" w:cs="Times New Roman"/>
          <w:b w:val="0"/>
          <w:bCs/>
          <w:sz w:val="24"/>
          <w:szCs w:val="24"/>
          <w:vertAlign w:val="subscript"/>
        </w:rPr>
        <w:t>3</w:t>
      </w:r>
      <w:r>
        <w:rPr>
          <w:rFonts w:hint="default" w:ascii="Times New Roman" w:hAnsi="Times New Roman" w:eastAsia="宋体" w:cs="Times New Roman"/>
          <w:color w:val="000000"/>
          <w:sz w:val="24"/>
          <w:szCs w:val="24"/>
          <w:lang w:val="en-US" w:eastAsia="zh-CN"/>
        </w:rPr>
        <w:t>最大排放浓度为0.38</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b w:val="0"/>
          <w:bCs/>
          <w:sz w:val="24"/>
          <w:szCs w:val="24"/>
        </w:rPr>
        <w:t>H</w:t>
      </w:r>
      <w:r>
        <w:rPr>
          <w:rFonts w:hint="default" w:ascii="Times New Roman" w:hAnsi="Times New Roman" w:eastAsia="宋体" w:cs="Times New Roman"/>
          <w:b w:val="0"/>
          <w:bCs/>
          <w:sz w:val="24"/>
          <w:szCs w:val="24"/>
          <w:vertAlign w:val="subscript"/>
        </w:rPr>
        <w:t>2</w:t>
      </w:r>
      <w:r>
        <w:rPr>
          <w:rFonts w:hint="default" w:ascii="Times New Roman" w:hAnsi="Times New Roman" w:eastAsia="宋体" w:cs="Times New Roman"/>
          <w:b w:val="0"/>
          <w:bCs/>
          <w:sz w:val="24"/>
          <w:szCs w:val="24"/>
        </w:rPr>
        <w:t>S</w:t>
      </w:r>
      <w:r>
        <w:rPr>
          <w:rFonts w:hint="default" w:ascii="Times New Roman" w:hAnsi="Times New Roman" w:eastAsia="宋体" w:cs="Times New Roman"/>
          <w:color w:val="000000"/>
          <w:sz w:val="24"/>
          <w:szCs w:val="24"/>
          <w:lang w:val="en-US" w:eastAsia="zh-CN"/>
        </w:rPr>
        <w:t>最大排放浓度为0.013</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color w:val="auto"/>
          <w:sz w:val="24"/>
          <w:szCs w:val="24"/>
          <w:lang w:val="en-US" w:eastAsia="zh-CN"/>
        </w:rPr>
        <w:t>臭气浓度</w:t>
      </w:r>
      <w:r>
        <w:rPr>
          <w:rFonts w:hint="default" w:ascii="Times New Roman" w:hAnsi="Times New Roman" w:eastAsia="宋体" w:cs="Times New Roman"/>
          <w:color w:val="000000"/>
          <w:sz w:val="24"/>
          <w:szCs w:val="24"/>
          <w:lang w:val="en-US" w:eastAsia="zh-CN"/>
        </w:rPr>
        <w:t>为17</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lang w:val="en-US" w:eastAsia="zh-CN"/>
        </w:rPr>
        <w:t>无量纲</w:t>
      </w:r>
      <w:r>
        <w:rPr>
          <w:rFonts w:hint="default"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color w:val="000000"/>
          <w:sz w:val="24"/>
          <w:szCs w:val="24"/>
          <w:lang w:val="en-US" w:eastAsia="zh-CN"/>
        </w:rPr>
        <w:t>排放满足</w:t>
      </w:r>
      <w:r>
        <w:rPr>
          <w:rFonts w:hint="default" w:ascii="Times New Roman" w:hAnsi="Times New Roman" w:eastAsia="宋体" w:cs="Times New Roman"/>
          <w:b w:val="0"/>
          <w:bCs/>
          <w:sz w:val="24"/>
          <w:szCs w:val="24"/>
        </w:rPr>
        <w:t>《恶臭污染物排放标准》（GB14554-93）表1标准</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b w:val="0"/>
          <w:bCs/>
          <w:sz w:val="24"/>
          <w:szCs w:val="24"/>
        </w:rPr>
        <w:t>NH</w:t>
      </w:r>
      <w:r>
        <w:rPr>
          <w:rFonts w:hint="default" w:ascii="Times New Roman" w:hAnsi="Times New Roman" w:eastAsia="宋体" w:cs="Times New Roman"/>
          <w:b w:val="0"/>
          <w:bCs/>
          <w:sz w:val="24"/>
          <w:szCs w:val="24"/>
          <w:vertAlign w:val="subscript"/>
        </w:rPr>
        <w:t>3</w:t>
      </w:r>
      <w:r>
        <w:rPr>
          <w:rFonts w:hint="default" w:ascii="Times New Roman" w:hAnsi="Times New Roman" w:eastAsia="宋体" w:cs="Times New Roman"/>
          <w:color w:val="000000"/>
          <w:sz w:val="24"/>
          <w:szCs w:val="24"/>
          <w:lang w:val="en-US" w:eastAsia="zh-CN"/>
        </w:rPr>
        <w:t>≤1.5mg/m</w:t>
      </w:r>
      <w:r>
        <w:rPr>
          <w:rFonts w:hint="default" w:ascii="Times New Roman" w:hAnsi="Times New Roman" w:eastAsia="宋体"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b w:val="0"/>
          <w:bCs/>
          <w:sz w:val="24"/>
          <w:szCs w:val="24"/>
        </w:rPr>
        <w:t>H</w:t>
      </w:r>
      <w:r>
        <w:rPr>
          <w:rFonts w:hint="default" w:ascii="Times New Roman" w:hAnsi="Times New Roman" w:eastAsia="宋体" w:cs="Times New Roman"/>
          <w:b w:val="0"/>
          <w:bCs/>
          <w:sz w:val="24"/>
          <w:szCs w:val="24"/>
          <w:vertAlign w:val="subscript"/>
        </w:rPr>
        <w:t>2</w:t>
      </w:r>
      <w:r>
        <w:rPr>
          <w:rFonts w:hint="default" w:ascii="Times New Roman" w:hAnsi="Times New Roman" w:eastAsia="宋体" w:cs="Times New Roman"/>
          <w:b w:val="0"/>
          <w:bCs/>
          <w:sz w:val="24"/>
          <w:szCs w:val="24"/>
        </w:rPr>
        <w:t>S</w:t>
      </w:r>
      <w:r>
        <w:rPr>
          <w:rFonts w:hint="default" w:ascii="Times New Roman" w:hAnsi="Times New Roman" w:eastAsia="宋体" w:cs="Times New Roman"/>
          <w:color w:val="000000"/>
          <w:sz w:val="24"/>
          <w:szCs w:val="24"/>
          <w:lang w:val="en-US" w:eastAsia="zh-CN"/>
        </w:rPr>
        <w:t>≤0.06mg/m</w:t>
      </w:r>
      <w:r>
        <w:rPr>
          <w:rFonts w:hint="default" w:ascii="Times New Roman" w:hAnsi="Times New Roman" w:eastAsia="宋体"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color w:val="auto"/>
          <w:sz w:val="24"/>
          <w:szCs w:val="24"/>
          <w:lang w:val="en-US" w:eastAsia="zh-CN"/>
        </w:rPr>
        <w:t>臭气浓度</w:t>
      </w:r>
      <w:r>
        <w:rPr>
          <w:rFonts w:hint="default" w:ascii="Times New Roman" w:hAnsi="Times New Roman" w:eastAsia="宋体" w:cs="Times New Roman"/>
          <w:color w:val="000000"/>
          <w:sz w:val="24"/>
          <w:szCs w:val="24"/>
          <w:lang w:val="en-US" w:eastAsia="zh-CN"/>
        </w:rPr>
        <w:t>≤20无量纲）；</w:t>
      </w:r>
      <w:r>
        <w:rPr>
          <w:rFonts w:hint="default" w:ascii="Times New Roman" w:hAnsi="Times New Roman" w:eastAsia="宋体" w:cs="Times New Roman"/>
          <w:color w:val="000000"/>
          <w:sz w:val="24"/>
          <w:szCs w:val="24"/>
        </w:rPr>
        <w:t>厂界无</w:t>
      </w:r>
      <w:r>
        <w:rPr>
          <w:rFonts w:hint="default" w:ascii="Times New Roman" w:hAnsi="Times New Roman" w:eastAsia="宋体" w:cs="Times New Roman"/>
          <w:color w:val="000000"/>
          <w:sz w:val="24"/>
          <w:szCs w:val="24"/>
          <w:lang w:val="en-US" w:eastAsia="zh-CN"/>
        </w:rPr>
        <w:t>组织VOCs最大排放浓度为1.48</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color w:val="000000"/>
          <w:sz w:val="24"/>
          <w:szCs w:val="24"/>
          <w:lang w:val="en-US" w:eastAsia="zh-CN"/>
        </w:rPr>
        <w:t>排放满足</w:t>
      </w:r>
      <w:r>
        <w:rPr>
          <w:rFonts w:hint="default" w:ascii="Times New Roman" w:hAnsi="Times New Roman" w:eastAsia="宋体" w:cs="Times New Roman"/>
          <w:b w:val="0"/>
          <w:bCs/>
          <w:sz w:val="24"/>
          <w:szCs w:val="24"/>
          <w:lang w:val="en-US" w:eastAsia="zh-CN"/>
        </w:rPr>
        <w:t>《挥发性有机物排放标准 第7部分：其他行业》（DB37/2801.7-2019）表2厂界监控点浓度限值标准</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b w:val="0"/>
          <w:bCs/>
          <w:sz w:val="24"/>
          <w:szCs w:val="24"/>
          <w:highlight w:val="none"/>
          <w:lang w:val="en-US" w:eastAsia="zh-CN"/>
        </w:rPr>
        <w:t>VOCs≤</w:t>
      </w:r>
      <w:r>
        <w:rPr>
          <w:rFonts w:hint="default" w:ascii="Times New Roman" w:hAnsi="Times New Roman" w:eastAsia="宋体" w:cs="Times New Roman"/>
          <w:color w:val="000000"/>
          <w:sz w:val="24"/>
          <w:szCs w:val="24"/>
          <w:lang w:val="en-US" w:eastAsia="zh-CN"/>
        </w:rPr>
        <w:t>2.0mg/m</w:t>
      </w:r>
      <w:r>
        <w:rPr>
          <w:rFonts w:hint="default" w:ascii="Times New Roman" w:hAnsi="Times New Roman" w:eastAsia="宋体"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lang w:val="en-US" w:eastAsia="zh-CN"/>
        </w:rPr>
        <w:t>）。综上分析：</w:t>
      </w:r>
      <w:r>
        <w:rPr>
          <w:rFonts w:hint="default" w:ascii="Times New Roman" w:hAnsi="Times New Roman" w:eastAsia="宋体" w:cs="Times New Roman"/>
          <w:sz w:val="24"/>
          <w:szCs w:val="24"/>
        </w:rPr>
        <w:t>废气处理措施有效可行、经济实用</w:t>
      </w:r>
      <w:r>
        <w:rPr>
          <w:rFonts w:hint="default" w:ascii="Times New Roman" w:hAnsi="Times New Roman" w:eastAsia="宋体" w:cs="Times New Roman"/>
          <w:color w:val="auto"/>
          <w:sz w:val="24"/>
          <w:szCs w:val="24"/>
          <w:lang w:val="en-US" w:eastAsia="zh-CN"/>
        </w:rPr>
        <w:t>。</w:t>
      </w:r>
    </w:p>
    <w:p>
      <w:pPr>
        <w:pStyle w:val="38"/>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9.2.2.3厂界噪声治理设施</w:t>
      </w:r>
    </w:p>
    <w:p>
      <w:pPr>
        <w:pStyle w:val="8"/>
        <w:spacing w:after="0" w:line="360" w:lineRule="auto"/>
        <w:ind w:left="0" w:firstLine="480" w:firstLineChars="200"/>
        <w:rPr>
          <w:rFonts w:hint="default" w:ascii="Times New Roman" w:hAnsi="Times New Roman" w:eastAsia="宋体" w:cs="Times New Roman"/>
          <w:sz w:val="24"/>
          <w:szCs w:val="28"/>
        </w:rPr>
      </w:pPr>
      <w:r>
        <w:rPr>
          <w:rFonts w:hint="default" w:ascii="Times New Roman" w:hAnsi="Times New Roman" w:eastAsia="宋体" w:cs="Times New Roman"/>
          <w:color w:val="000000"/>
          <w:sz w:val="24"/>
          <w:szCs w:val="28"/>
        </w:rPr>
        <w:t>根据现场监测期间监测结果：厂界4个噪声监测点，昼间噪声值范围为</w:t>
      </w:r>
      <w:r>
        <w:rPr>
          <w:rFonts w:hint="eastAsia" w:ascii="Times New Roman" w:hAnsi="Times New Roman" w:eastAsia="宋体" w:cs="Times New Roman"/>
          <w:color w:val="000000"/>
          <w:sz w:val="24"/>
          <w:szCs w:val="28"/>
          <w:lang w:val="en-US" w:eastAsia="zh-CN"/>
        </w:rPr>
        <w:t>50.5</w:t>
      </w:r>
      <w:r>
        <w:rPr>
          <w:rFonts w:hint="default" w:ascii="Times New Roman" w:hAnsi="Times New Roman" w:eastAsia="宋体" w:cs="Times New Roman"/>
          <w:color w:val="000000"/>
          <w:sz w:val="24"/>
          <w:szCs w:val="28"/>
        </w:rPr>
        <w:t>～</w:t>
      </w:r>
      <w:r>
        <w:rPr>
          <w:rFonts w:hint="eastAsia" w:ascii="Times New Roman" w:hAnsi="Times New Roman" w:eastAsia="宋体" w:cs="Times New Roman"/>
          <w:color w:val="000000"/>
          <w:sz w:val="24"/>
          <w:szCs w:val="28"/>
          <w:lang w:val="en-US" w:eastAsia="zh-CN"/>
        </w:rPr>
        <w:t>59.0</w:t>
      </w:r>
      <w:r>
        <w:rPr>
          <w:rFonts w:hint="default" w:ascii="Times New Roman" w:hAnsi="Times New Roman" w:eastAsia="宋体" w:cs="Times New Roman"/>
          <w:color w:val="000000"/>
          <w:sz w:val="24"/>
          <w:szCs w:val="28"/>
        </w:rPr>
        <w:t>dB(A)，夜间噪声值范围为</w:t>
      </w:r>
      <w:r>
        <w:rPr>
          <w:rFonts w:hint="eastAsia" w:ascii="Times New Roman" w:hAnsi="Times New Roman" w:eastAsia="宋体" w:cs="Times New Roman"/>
          <w:color w:val="000000"/>
          <w:sz w:val="24"/>
          <w:szCs w:val="28"/>
          <w:lang w:val="en-US" w:eastAsia="zh-CN"/>
        </w:rPr>
        <w:t>41.5</w:t>
      </w:r>
      <w:r>
        <w:rPr>
          <w:rFonts w:hint="default" w:ascii="Times New Roman" w:hAnsi="Times New Roman" w:eastAsia="宋体" w:cs="Times New Roman"/>
          <w:color w:val="000000"/>
          <w:sz w:val="24"/>
          <w:szCs w:val="28"/>
        </w:rPr>
        <w:t>～</w:t>
      </w:r>
      <w:r>
        <w:rPr>
          <w:rFonts w:hint="eastAsia" w:ascii="Times New Roman" w:hAnsi="Times New Roman" w:eastAsia="宋体" w:cs="Times New Roman"/>
          <w:color w:val="000000"/>
          <w:sz w:val="24"/>
          <w:szCs w:val="28"/>
          <w:lang w:val="en-US" w:eastAsia="zh-CN"/>
        </w:rPr>
        <w:t>49.1</w:t>
      </w:r>
      <w:r>
        <w:rPr>
          <w:rFonts w:hint="default" w:ascii="Times New Roman" w:hAnsi="Times New Roman" w:eastAsia="宋体" w:cs="Times New Roman"/>
          <w:color w:val="000000"/>
          <w:sz w:val="24"/>
          <w:szCs w:val="28"/>
        </w:rPr>
        <w:t>dB(A)</w:t>
      </w:r>
      <w:r>
        <w:rPr>
          <w:rFonts w:hint="eastAsia"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rPr>
        <w:t>检测结果达到《工业企业厂界环境噪声排放标准》(GB12348-2008)中2类标准限值要求</w:t>
      </w:r>
      <w:r>
        <w:rPr>
          <w:rFonts w:hint="eastAsia" w:ascii="Times New Roman" w:hAnsi="Times New Roman" w:eastAsia="宋体" w:cs="Times New Roman"/>
          <w:color w:val="000000"/>
          <w:sz w:val="24"/>
          <w:szCs w:val="28"/>
          <w:lang w:eastAsia="zh-CN"/>
        </w:rPr>
        <w:t>，</w:t>
      </w:r>
      <w:r>
        <w:rPr>
          <w:rFonts w:hint="eastAsia" w:ascii="Times New Roman" w:hAnsi="Times New Roman" w:eastAsia="宋体" w:cs="Times New Roman"/>
          <w:color w:val="000000"/>
          <w:sz w:val="24"/>
          <w:szCs w:val="28"/>
          <w:lang w:val="en-US" w:eastAsia="zh-CN"/>
        </w:rPr>
        <w:t>且</w:t>
      </w:r>
      <w:r>
        <w:rPr>
          <w:rFonts w:hint="default" w:ascii="Times New Roman" w:hAnsi="Times New Roman" w:eastAsia="宋体" w:cs="Times New Roman"/>
          <w:sz w:val="24"/>
          <w:szCs w:val="28"/>
        </w:rPr>
        <w:t>该项目的噪声源治理采取集中布置、基础减振、建筑物隔音和加强管理等措施，这些降噪措施在技术上是成熟的，在经济上是合理的。</w:t>
      </w:r>
    </w:p>
    <w:p>
      <w:pPr>
        <w:pStyle w:val="38"/>
        <w:spacing w:line="360" w:lineRule="auto"/>
        <w:ind w:firstLine="0" w:firstLineChars="0"/>
        <w:jc w:val="left"/>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9.2.2.4固体废物治理设施</w:t>
      </w:r>
    </w:p>
    <w:p>
      <w:pPr>
        <w:autoSpaceDE w:val="0"/>
        <w:autoSpaceDN w:val="0"/>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color w:val="000000"/>
          <w:sz w:val="24"/>
          <w:szCs w:val="28"/>
        </w:rPr>
        <w:t>该项目不涉及固（液）体废物监测项目。</w:t>
      </w:r>
      <w:bookmarkStart w:id="74" w:name="_Hlk46997474"/>
      <w:r>
        <w:rPr>
          <w:rFonts w:hint="default" w:ascii="Times New Roman" w:hAnsi="Times New Roman" w:eastAsia="宋体" w:cs="Times New Roman"/>
          <w:sz w:val="24"/>
          <w:szCs w:val="24"/>
        </w:rPr>
        <w:t>建设项目固体废物：</w:t>
      </w:r>
      <w:r>
        <w:rPr>
          <w:rFonts w:hint="eastAsia" w:ascii="Times New Roman" w:hAnsi="Times New Roman" w:eastAsia="宋体" w:cs="Times New Roman"/>
          <w:sz w:val="24"/>
          <w:szCs w:val="24"/>
          <w:lang w:val="en-US" w:eastAsia="zh-CN"/>
        </w:rPr>
        <w:t>本项目产生的固体废弃物主要为废活性炭滤芯、报废药品、</w:t>
      </w:r>
      <w:r>
        <w:rPr>
          <w:rFonts w:hint="default" w:ascii="Times New Roman" w:hAnsi="Times New Roman" w:eastAsia="宋体" w:cs="Times New Roman"/>
          <w:sz w:val="24"/>
          <w:szCs w:val="24"/>
          <w:lang w:val="en-US" w:eastAsia="zh-CN"/>
        </w:rPr>
        <w:t>废活性炭</w:t>
      </w:r>
      <w:r>
        <w:rPr>
          <w:rFonts w:hint="eastAsia" w:ascii="Times New Roman" w:hAnsi="Times New Roman" w:eastAsia="宋体" w:cs="Times New Roman"/>
          <w:sz w:val="24"/>
          <w:szCs w:val="24"/>
          <w:lang w:val="en-US" w:eastAsia="zh-CN"/>
        </w:rPr>
        <w:t>、废外包材料、危化品包装材料、化验中心危废、污水处理站污泥、</w:t>
      </w:r>
      <w:r>
        <w:rPr>
          <w:rFonts w:hint="default" w:ascii="Times New Roman" w:hAnsi="Times New Roman" w:eastAsia="宋体" w:cs="Times New Roman"/>
          <w:sz w:val="24"/>
          <w:szCs w:val="24"/>
          <w:lang w:val="en-US" w:eastAsia="zh-CN"/>
        </w:rPr>
        <w:t>废离子交换树脂</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生活垃圾</w:t>
      </w:r>
      <w:r>
        <w:rPr>
          <w:rFonts w:hint="eastAsia" w:ascii="Times New Roman" w:hAnsi="Times New Roman" w:eastAsia="宋体" w:cs="Times New Roman"/>
          <w:sz w:val="24"/>
          <w:szCs w:val="24"/>
          <w:lang w:val="en-US" w:eastAsia="zh-CN"/>
        </w:rPr>
        <w:t>。其中</w:t>
      </w:r>
      <w:r>
        <w:rPr>
          <w:rFonts w:hint="default" w:ascii="Times New Roman" w:hAnsi="Times New Roman" w:eastAsia="宋体" w:cs="Times New Roman"/>
          <w:sz w:val="24"/>
          <w:szCs w:val="24"/>
          <w:lang w:val="en-US" w:eastAsia="zh-CN"/>
        </w:rPr>
        <w:t>污水处理站污泥</w:t>
      </w:r>
      <w:r>
        <w:rPr>
          <w:rFonts w:hint="eastAsia" w:ascii="Times New Roman" w:hAnsi="Times New Roman" w:eastAsia="宋体" w:cs="Times New Roman"/>
          <w:sz w:val="24"/>
          <w:szCs w:val="24"/>
          <w:lang w:val="en-US" w:eastAsia="zh-CN"/>
        </w:rPr>
        <w:t>、废活性炭滤芯、报废药品、</w:t>
      </w:r>
      <w:r>
        <w:rPr>
          <w:rFonts w:hint="default" w:ascii="Times New Roman" w:hAnsi="Times New Roman" w:eastAsia="宋体" w:cs="Times New Roman"/>
          <w:sz w:val="24"/>
          <w:szCs w:val="24"/>
          <w:lang w:val="en-US" w:eastAsia="zh-CN"/>
        </w:rPr>
        <w:t>废活性炭</w:t>
      </w:r>
      <w:r>
        <w:rPr>
          <w:rFonts w:hint="eastAsia" w:ascii="Times New Roman" w:hAnsi="Times New Roman" w:eastAsia="宋体" w:cs="Times New Roman"/>
          <w:sz w:val="24"/>
          <w:szCs w:val="24"/>
          <w:lang w:val="en-US" w:eastAsia="zh-CN"/>
        </w:rPr>
        <w:t>、危化品包装材料、化验中心危废</w:t>
      </w:r>
      <w:r>
        <w:rPr>
          <w:rFonts w:hint="default" w:ascii="Times New Roman" w:hAnsi="Times New Roman" w:eastAsia="宋体" w:cs="Times New Roman"/>
          <w:sz w:val="24"/>
          <w:szCs w:val="24"/>
          <w:lang w:val="en-US" w:eastAsia="zh-CN"/>
        </w:rPr>
        <w:t>均属危险废物</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集中收集后，</w:t>
      </w:r>
      <w:r>
        <w:rPr>
          <w:rFonts w:hint="eastAsia" w:ascii="Times New Roman" w:hAnsi="Times New Roman" w:eastAsia="宋体" w:cs="Times New Roman"/>
          <w:sz w:val="24"/>
          <w:szCs w:val="24"/>
          <w:lang w:val="en-US" w:eastAsia="zh-CN"/>
        </w:rPr>
        <w:t>暂存于危废暂存间内，</w:t>
      </w:r>
      <w:r>
        <w:rPr>
          <w:rFonts w:hint="default" w:ascii="Times New Roman" w:hAnsi="Times New Roman" w:eastAsia="宋体" w:cs="Times New Roman"/>
          <w:sz w:val="24"/>
          <w:szCs w:val="24"/>
          <w:lang w:val="en-US" w:eastAsia="zh-CN"/>
        </w:rPr>
        <w:t>定期委托有资质单位处置</w:t>
      </w:r>
      <w:r>
        <w:rPr>
          <w:rFonts w:hint="default" w:ascii="Times New Roman" w:hAnsi="Times New Roman" w:eastAsia="宋体" w:cs="Times New Roman"/>
          <w:sz w:val="24"/>
          <w:szCs w:val="24"/>
        </w:rPr>
        <w:t>。以上措施有效可行，固废做到了无害化处理，对周围环境影响较小。</w:t>
      </w:r>
    </w:p>
    <w:p>
      <w:pPr>
        <w:pStyle w:val="38"/>
        <w:spacing w:line="360" w:lineRule="auto"/>
        <w:ind w:firstLine="0" w:firstLineChars="0"/>
        <w:jc w:val="left"/>
        <w:rPr>
          <w:rFonts w:hint="default" w:ascii="Times New Roman" w:hAnsi="Times New Roman" w:eastAsia="宋体" w:cs="Times New Roman"/>
          <w:b/>
          <w:sz w:val="24"/>
          <w:szCs w:val="32"/>
          <w:lang w:val="en-US"/>
        </w:rPr>
      </w:pPr>
      <w:r>
        <w:rPr>
          <w:rFonts w:hint="default" w:ascii="Times New Roman" w:hAnsi="Times New Roman" w:eastAsia="宋体" w:cs="Times New Roman"/>
          <w:b/>
          <w:sz w:val="24"/>
          <w:szCs w:val="32"/>
        </w:rPr>
        <w:t>9.2.2.</w:t>
      </w:r>
      <w:r>
        <w:rPr>
          <w:rFonts w:hint="default" w:ascii="Times New Roman" w:hAnsi="Times New Roman" w:eastAsia="宋体" w:cs="Times New Roman"/>
          <w:b/>
          <w:sz w:val="24"/>
          <w:szCs w:val="32"/>
          <w:lang w:val="en-US" w:eastAsia="zh-CN"/>
        </w:rPr>
        <w:t>5总量控制</w:t>
      </w:r>
    </w:p>
    <w:p>
      <w:pPr>
        <w:widowControl/>
        <w:spacing w:line="360" w:lineRule="auto"/>
        <w:ind w:firstLine="480" w:firstLineChars="200"/>
        <w:rPr>
          <w:rFonts w:hint="default" w:ascii="Times New Roman" w:hAnsi="Times New Roman" w:eastAsia="宋体" w:cs="Times New Roman"/>
          <w:color w:val="000000"/>
          <w:sz w:val="24"/>
          <w:szCs w:val="28"/>
          <w:lang w:val="en-US" w:eastAsia="zh-CN"/>
        </w:rPr>
      </w:pPr>
      <w:r>
        <w:rPr>
          <w:rFonts w:hint="default" w:ascii="Times New Roman" w:hAnsi="Times New Roman" w:eastAsia="宋体" w:cs="Times New Roman"/>
          <w:color w:val="000000"/>
          <w:sz w:val="24"/>
          <w:szCs w:val="28"/>
          <w:lang w:val="en-US" w:eastAsia="zh-CN"/>
        </w:rPr>
        <w:t>根据检测结果可知，</w:t>
      </w:r>
      <w:r>
        <w:rPr>
          <w:rFonts w:hint="eastAsia" w:ascii="Times New Roman" w:hAnsi="Times New Roman" w:eastAsia="宋体" w:cs="Times New Roman"/>
          <w:color w:val="000000"/>
          <w:sz w:val="24"/>
          <w:szCs w:val="28"/>
          <w:lang w:val="en-US" w:eastAsia="zh-CN"/>
        </w:rPr>
        <w:t>项目VOCs</w:t>
      </w:r>
      <w:r>
        <w:rPr>
          <w:rFonts w:hint="default" w:ascii="Times New Roman" w:hAnsi="Times New Roman" w:eastAsia="宋体" w:cs="Times New Roman"/>
          <w:color w:val="000000"/>
          <w:sz w:val="24"/>
          <w:szCs w:val="28"/>
          <w:lang w:val="en-US" w:eastAsia="zh-CN"/>
        </w:rPr>
        <w:t>排放量为</w:t>
      </w:r>
      <w:r>
        <w:rPr>
          <w:rFonts w:hint="eastAsia" w:ascii="Times New Roman" w:hAnsi="Times New Roman" w:eastAsia="宋体" w:cs="Times New Roman"/>
          <w:color w:val="000000"/>
          <w:sz w:val="24"/>
          <w:szCs w:val="28"/>
          <w:lang w:val="en-US" w:eastAsia="zh-CN"/>
        </w:rPr>
        <w:t>0.0001</w:t>
      </w:r>
      <w:r>
        <w:rPr>
          <w:rFonts w:hint="default" w:ascii="Times New Roman" w:hAnsi="Times New Roman" w:eastAsia="宋体" w:cs="Times New Roman"/>
          <w:color w:val="000000"/>
          <w:sz w:val="24"/>
          <w:szCs w:val="28"/>
          <w:lang w:val="en-US" w:eastAsia="zh-CN"/>
        </w:rPr>
        <w:t>t/a</w:t>
      </w:r>
      <w:r>
        <w:rPr>
          <w:rFonts w:hint="eastAsia" w:ascii="Times New Roman" w:hAnsi="Times New Roman" w:eastAsia="宋体" w:cs="Times New Roman"/>
          <w:color w:val="000000"/>
          <w:sz w:val="24"/>
          <w:szCs w:val="28"/>
          <w:lang w:val="en-US" w:eastAsia="zh-CN"/>
        </w:rPr>
        <w:t>，满足总量控制指标</w:t>
      </w:r>
      <w:r>
        <w:rPr>
          <w:rFonts w:hint="default" w:ascii="Times New Roman" w:hAnsi="Times New Roman" w:eastAsia="宋体" w:cs="Times New Roman"/>
          <w:color w:val="000000"/>
          <w:sz w:val="24"/>
          <w:szCs w:val="28"/>
          <w:lang w:val="en-US" w:eastAsia="zh-CN"/>
        </w:rPr>
        <w:t>。</w:t>
      </w:r>
    </w:p>
    <w:bookmarkEnd w:id="74"/>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75" w:name="_Toc18159"/>
      <w:r>
        <w:rPr>
          <w:rFonts w:hint="default" w:ascii="Times New Roman" w:hAnsi="Times New Roman" w:eastAsia="宋体" w:cs="Times New Roman"/>
          <w:b/>
          <w:sz w:val="28"/>
          <w:szCs w:val="32"/>
        </w:rPr>
        <w:t>9.3工程建设对环境的影响</w:t>
      </w:r>
      <w:bookmarkEnd w:id="75"/>
    </w:p>
    <w:p>
      <w:pPr>
        <w:pStyle w:val="8"/>
        <w:spacing w:after="0" w:line="360" w:lineRule="auto"/>
        <w:ind w:left="0" w:firstLine="480" w:firstLineChars="200"/>
        <w:rPr>
          <w:rFonts w:hint="default" w:ascii="Times New Roman" w:hAnsi="Times New Roman" w:eastAsia="宋体" w:cs="Times New Roman"/>
          <w:color w:val="000000"/>
          <w:sz w:val="24"/>
          <w:szCs w:val="28"/>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000000"/>
          <w:sz w:val="24"/>
          <w:szCs w:val="28"/>
        </w:rPr>
        <w:t>在各项环保措施落实的情况下，该项目外排污染物能够达到相应标准的要求，对周围环境影响很小。</w:t>
      </w:r>
    </w:p>
    <w:p>
      <w:pPr>
        <w:pStyle w:val="38"/>
        <w:spacing w:line="360" w:lineRule="auto"/>
        <w:ind w:left="-210" w:leftChars="-100" w:firstLine="0" w:firstLineChars="0"/>
        <w:jc w:val="center"/>
        <w:outlineLvl w:val="0"/>
        <w:rPr>
          <w:rFonts w:hint="default" w:ascii="Times New Roman" w:hAnsi="Times New Roman" w:eastAsia="宋体" w:cs="Times New Roman"/>
          <w:b/>
          <w:sz w:val="32"/>
          <w:szCs w:val="32"/>
        </w:rPr>
      </w:pPr>
      <w:bookmarkStart w:id="76" w:name="_Toc8853"/>
      <w:r>
        <w:rPr>
          <w:rFonts w:hint="default" w:ascii="Times New Roman" w:hAnsi="Times New Roman" w:eastAsia="宋体" w:cs="Times New Roman"/>
          <w:b/>
          <w:sz w:val="32"/>
          <w:szCs w:val="32"/>
        </w:rPr>
        <w:t>10、验收监测结论</w:t>
      </w:r>
      <w:bookmarkEnd w:id="76"/>
    </w:p>
    <w:p>
      <w:pPr>
        <w:pStyle w:val="38"/>
        <w:spacing w:line="360" w:lineRule="auto"/>
        <w:ind w:firstLine="0" w:firstLineChars="0"/>
        <w:jc w:val="both"/>
        <w:outlineLvl w:val="1"/>
        <w:rPr>
          <w:rFonts w:hint="default" w:ascii="Times New Roman" w:hAnsi="Times New Roman" w:eastAsia="宋体" w:cs="Times New Roman"/>
          <w:b/>
          <w:sz w:val="28"/>
          <w:szCs w:val="32"/>
        </w:rPr>
      </w:pPr>
      <w:bookmarkStart w:id="77" w:name="_Toc22038"/>
      <w:r>
        <w:rPr>
          <w:rFonts w:hint="default" w:ascii="Times New Roman" w:hAnsi="Times New Roman" w:eastAsia="宋体" w:cs="Times New Roman"/>
          <w:b/>
          <w:sz w:val="28"/>
          <w:szCs w:val="32"/>
        </w:rPr>
        <w:t>10.1环境保护设施调试效果</w:t>
      </w:r>
      <w:bookmarkEnd w:id="77"/>
    </w:p>
    <w:p>
      <w:pPr>
        <w:pStyle w:val="8"/>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该项目按照国家建设项目环境保护法律法规办理了环评手续，环评及批复中提出的污染防治措施和各项要求基本落实到位，验收监测期间各项环保设施运行稳定正常。本次对</w:t>
      </w:r>
      <w:r>
        <w:rPr>
          <w:rFonts w:hint="eastAsia" w:ascii="Times New Roman" w:hAnsi="Times New Roman" w:eastAsia="宋体" w:cs="Times New Roman"/>
          <w:color w:val="000000"/>
          <w:sz w:val="24"/>
          <w:szCs w:val="28"/>
          <w:lang w:val="en-US" w:eastAsia="zh-CN"/>
        </w:rPr>
        <w:t>山东豪瑞恩全球高端制剂项目（一期）</w:t>
      </w:r>
      <w:r>
        <w:rPr>
          <w:rFonts w:hint="default" w:ascii="Times New Roman" w:hAnsi="Times New Roman" w:eastAsia="宋体" w:cs="Times New Roman"/>
          <w:color w:val="000000"/>
          <w:sz w:val="24"/>
          <w:szCs w:val="28"/>
        </w:rPr>
        <w:t>验收结论如下：</w:t>
      </w:r>
    </w:p>
    <w:p>
      <w:pPr>
        <w:pStyle w:val="38"/>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10.1.1有组织废气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color w:val="auto"/>
          <w:sz w:val="24"/>
          <w:szCs w:val="24"/>
          <w:lang w:val="en-US" w:eastAsia="zh-CN"/>
        </w:rPr>
        <w:t>由监测结果表明，验收监测期间，</w:t>
      </w:r>
      <w:r>
        <w:rPr>
          <w:rFonts w:hint="default" w:ascii="Times New Roman" w:hAnsi="Times New Roman" w:eastAsia="宋体" w:cs="Times New Roman"/>
          <w:sz w:val="24"/>
          <w:szCs w:val="24"/>
        </w:rPr>
        <w:t>污水处理站有组织NH</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color w:val="000000"/>
          <w:sz w:val="24"/>
          <w:szCs w:val="24"/>
        </w:rPr>
        <w:t>的最大排放速率</w:t>
      </w:r>
      <w:r>
        <w:rPr>
          <w:rFonts w:hint="default" w:ascii="Times New Roman" w:hAnsi="Times New Roman" w:eastAsia="宋体" w:cs="Times New Roman"/>
          <w:sz w:val="24"/>
          <w:szCs w:val="24"/>
          <w:lang w:val="en-US" w:eastAsia="zh-CN"/>
        </w:rPr>
        <w:t>0.0019</w:t>
      </w:r>
      <w:r>
        <w:rPr>
          <w:rFonts w:hint="default" w:ascii="Times New Roman" w:hAnsi="Times New Roman" w:eastAsia="宋体" w:cs="Times New Roman"/>
          <w:color w:val="000000"/>
          <w:sz w:val="24"/>
          <w:szCs w:val="24"/>
        </w:rPr>
        <w:t>kg/h、最高排放浓度为</w:t>
      </w:r>
      <w:r>
        <w:rPr>
          <w:rFonts w:hint="default" w:ascii="Times New Roman" w:hAnsi="Times New Roman" w:eastAsia="宋体" w:cs="Times New Roman"/>
          <w:color w:val="000000"/>
          <w:sz w:val="24"/>
          <w:szCs w:val="24"/>
          <w:lang w:val="en-US" w:eastAsia="zh-CN"/>
        </w:rPr>
        <w:t>1.82</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w:t>
      </w:r>
      <w:r>
        <w:rPr>
          <w:rFonts w:hint="default" w:ascii="Times New Roman" w:hAnsi="Times New Roman" w:eastAsia="宋体" w:cs="Times New Roman"/>
          <w:color w:val="000000"/>
          <w:sz w:val="24"/>
          <w:szCs w:val="24"/>
        </w:rPr>
        <w:t>的最大排放速率</w:t>
      </w:r>
      <w:r>
        <w:rPr>
          <w:rFonts w:hint="default" w:ascii="Times New Roman" w:hAnsi="Times New Roman" w:eastAsia="宋体" w:cs="Times New Roman"/>
          <w:sz w:val="24"/>
          <w:szCs w:val="24"/>
          <w:lang w:val="en-US" w:eastAsia="zh-CN"/>
        </w:rPr>
        <w:t>0.00051</w:t>
      </w:r>
      <w:r>
        <w:rPr>
          <w:rFonts w:hint="default" w:ascii="Times New Roman" w:hAnsi="Times New Roman" w:eastAsia="宋体" w:cs="Times New Roman"/>
          <w:color w:val="000000"/>
          <w:sz w:val="24"/>
          <w:szCs w:val="24"/>
        </w:rPr>
        <w:t>kg/h、最高排放浓度为</w:t>
      </w:r>
      <w:r>
        <w:rPr>
          <w:rFonts w:hint="default" w:ascii="Times New Roman" w:hAnsi="Times New Roman" w:eastAsia="宋体" w:cs="Times New Roman"/>
          <w:color w:val="000000"/>
          <w:sz w:val="24"/>
          <w:szCs w:val="24"/>
          <w:lang w:val="en-US" w:eastAsia="zh-CN"/>
        </w:rPr>
        <w:t>0.49</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臭气浓度未检出</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NH</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sz w:val="24"/>
          <w:szCs w:val="24"/>
          <w:vertAlign w:val="baseline"/>
          <w:lang w:eastAsia="zh-CN"/>
        </w:rPr>
        <w:t>、</w:t>
      </w:r>
      <w:r>
        <w:rPr>
          <w:rFonts w:hint="default" w:ascii="Times New Roman" w:hAnsi="Times New Roman" w:eastAsia="宋体" w:cs="Times New Roman"/>
          <w:sz w:val="24"/>
          <w:szCs w:val="24"/>
        </w:rPr>
        <w:t>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S、臭气浓度</w:t>
      </w:r>
      <w:r>
        <w:rPr>
          <w:rFonts w:hint="default" w:ascii="Times New Roman" w:hAnsi="Times New Roman" w:eastAsia="宋体" w:cs="Times New Roman"/>
          <w:sz w:val="24"/>
          <w:szCs w:val="24"/>
          <w:lang w:val="en-US" w:eastAsia="zh-CN"/>
        </w:rPr>
        <w:t>分别满足</w:t>
      </w:r>
      <w:r>
        <w:rPr>
          <w:rFonts w:hint="default" w:ascii="Times New Roman" w:hAnsi="Times New Roman" w:eastAsia="宋体" w:cs="Times New Roman"/>
          <w:sz w:val="24"/>
          <w:szCs w:val="24"/>
        </w:rPr>
        <w:t>《恶臭污染物排放标准》（GB14554-93）表2排放限值要求</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sz w:val="24"/>
          <w:szCs w:val="24"/>
        </w:rPr>
        <w:t>NH</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color w:val="000000"/>
          <w:sz w:val="24"/>
          <w:szCs w:val="24"/>
          <w:lang w:val="en-US" w:eastAsia="zh-CN"/>
        </w:rPr>
        <w:t>≤4.9</w:t>
      </w:r>
      <w:r>
        <w:rPr>
          <w:rFonts w:hint="default" w:ascii="Times New Roman" w:hAnsi="Times New Roman" w:eastAsia="宋体" w:cs="Times New Roman"/>
          <w:color w:val="000000"/>
          <w:sz w:val="24"/>
          <w:szCs w:val="24"/>
        </w:rPr>
        <w:t>kg/h，</w:t>
      </w:r>
      <w:r>
        <w:rPr>
          <w:rFonts w:hint="default" w:ascii="Times New Roman" w:hAnsi="Times New Roman" w:eastAsia="宋体" w:cs="Times New Roman"/>
          <w:sz w:val="24"/>
          <w:szCs w:val="24"/>
        </w:rPr>
        <w:t>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w:t>
      </w:r>
      <w:r>
        <w:rPr>
          <w:rFonts w:hint="default" w:ascii="Times New Roman" w:hAnsi="Times New Roman" w:eastAsia="宋体" w:cs="Times New Roman"/>
          <w:color w:val="000000"/>
          <w:sz w:val="24"/>
          <w:szCs w:val="24"/>
          <w:lang w:val="en-US" w:eastAsia="zh-CN"/>
        </w:rPr>
        <w:t>≤0.33</w:t>
      </w:r>
      <w:r>
        <w:rPr>
          <w:rFonts w:hint="default" w:ascii="Times New Roman" w:hAnsi="Times New Roman" w:eastAsia="宋体" w:cs="Times New Roman"/>
          <w:color w:val="000000"/>
          <w:sz w:val="24"/>
          <w:szCs w:val="24"/>
        </w:rPr>
        <w:t>kg/h，</w:t>
      </w:r>
      <w:r>
        <w:rPr>
          <w:rFonts w:hint="default" w:ascii="Times New Roman" w:hAnsi="Times New Roman" w:eastAsia="宋体" w:cs="Times New Roman"/>
          <w:sz w:val="24"/>
          <w:szCs w:val="24"/>
        </w:rPr>
        <w:t>臭气浓度</w:t>
      </w:r>
      <w:r>
        <w:rPr>
          <w:rFonts w:hint="default" w:ascii="Times New Roman" w:hAnsi="Times New Roman" w:eastAsia="宋体" w:cs="Times New Roman"/>
          <w:color w:val="000000"/>
          <w:sz w:val="24"/>
          <w:szCs w:val="24"/>
          <w:lang w:val="en-US" w:eastAsia="zh-CN"/>
        </w:rPr>
        <w:t>≤2000（无量纲））</w:t>
      </w:r>
      <w:r>
        <w:rPr>
          <w:rFonts w:hint="default"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sz w:val="24"/>
          <w:szCs w:val="24"/>
          <w:lang w:val="en-US" w:eastAsia="zh-CN"/>
        </w:rPr>
        <w:t>化验中心</w:t>
      </w:r>
      <w:r>
        <w:rPr>
          <w:rFonts w:hint="default" w:ascii="Times New Roman" w:hAnsi="Times New Roman" w:eastAsia="宋体" w:cs="Times New Roman"/>
          <w:sz w:val="24"/>
          <w:szCs w:val="24"/>
        </w:rPr>
        <w:t>有组织</w:t>
      </w:r>
      <w:r>
        <w:rPr>
          <w:rFonts w:hint="default" w:ascii="Times New Roman" w:hAnsi="Times New Roman" w:eastAsia="宋体" w:cs="Times New Roman"/>
          <w:sz w:val="24"/>
          <w:szCs w:val="24"/>
          <w:lang w:val="en-US" w:eastAsia="zh-CN"/>
        </w:rPr>
        <w:t>VOCs</w:t>
      </w:r>
      <w:r>
        <w:rPr>
          <w:rFonts w:hint="default" w:ascii="Times New Roman" w:hAnsi="Times New Roman" w:eastAsia="宋体" w:cs="Times New Roman"/>
          <w:color w:val="000000"/>
          <w:sz w:val="24"/>
          <w:szCs w:val="24"/>
        </w:rPr>
        <w:t>的最大排放速率</w:t>
      </w:r>
      <w:r>
        <w:rPr>
          <w:rFonts w:hint="default" w:ascii="Times New Roman" w:hAnsi="Times New Roman" w:eastAsia="宋体" w:cs="Times New Roman"/>
          <w:sz w:val="24"/>
          <w:szCs w:val="24"/>
          <w:lang w:val="en-US" w:eastAsia="zh-CN"/>
        </w:rPr>
        <w:t>0.00097</w:t>
      </w:r>
      <w:r>
        <w:rPr>
          <w:rFonts w:hint="default" w:ascii="Times New Roman" w:hAnsi="Times New Roman" w:eastAsia="宋体" w:cs="Times New Roman"/>
          <w:color w:val="000000"/>
          <w:sz w:val="24"/>
          <w:szCs w:val="24"/>
        </w:rPr>
        <w:t>kg/h、最高排放浓度为</w:t>
      </w:r>
      <w:r>
        <w:rPr>
          <w:rFonts w:hint="default" w:ascii="Times New Roman" w:hAnsi="Times New Roman" w:eastAsia="宋体" w:cs="Times New Roman"/>
          <w:color w:val="000000"/>
          <w:sz w:val="24"/>
          <w:szCs w:val="24"/>
          <w:lang w:val="en-US" w:eastAsia="zh-CN"/>
        </w:rPr>
        <w:t>1.57</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sz w:val="24"/>
          <w:szCs w:val="24"/>
        </w:rPr>
        <w:t>有组织</w:t>
      </w:r>
      <w:r>
        <w:rPr>
          <w:rFonts w:hint="default" w:ascii="Times New Roman" w:hAnsi="Times New Roman" w:eastAsia="宋体" w:cs="Times New Roman"/>
          <w:sz w:val="24"/>
          <w:szCs w:val="24"/>
          <w:lang w:val="en-US" w:eastAsia="zh-CN"/>
        </w:rPr>
        <w:t>VOCs</w:t>
      </w:r>
      <w:r>
        <w:rPr>
          <w:rFonts w:hint="default" w:ascii="Times New Roman" w:hAnsi="Times New Roman" w:eastAsia="宋体" w:cs="Times New Roman"/>
          <w:sz w:val="24"/>
          <w:szCs w:val="24"/>
          <w:highlight w:val="none"/>
          <w:lang w:val="en-US" w:eastAsia="zh-CN"/>
        </w:rPr>
        <w:t>排放执行《挥发性有机物排放标准 第7部分：其他行业》（DB37/2801.7-2019）表1“非重点行业”</w:t>
      </w:r>
      <w:r>
        <w:rPr>
          <w:rFonts w:hint="default" w:ascii="Times New Roman" w:hAnsi="Times New Roman" w:eastAsia="宋体" w:cs="Times New Roman"/>
          <w:sz w:val="24"/>
          <w:szCs w:val="24"/>
          <w:highlight w:val="none"/>
          <w:lang w:val="en-US" w:eastAsia="zh-CN"/>
        </w:rPr>
        <w:fldChar w:fldCharType="begin"/>
      </w:r>
      <w:r>
        <w:rPr>
          <w:rFonts w:hint="default" w:ascii="Times New Roman" w:hAnsi="Times New Roman" w:eastAsia="宋体" w:cs="Times New Roman"/>
          <w:sz w:val="24"/>
          <w:szCs w:val="24"/>
          <w:highlight w:val="none"/>
          <w:lang w:val="en-US" w:eastAsia="zh-CN"/>
        </w:rPr>
        <w:instrText xml:space="preserve"> = 2 \* ROMAN \* MERGEFORMAT </w:instrText>
      </w:r>
      <w:r>
        <w:rPr>
          <w:rFonts w:hint="default" w:ascii="Times New Roman" w:hAnsi="Times New Roman" w:eastAsia="宋体" w:cs="Times New Roman"/>
          <w:sz w:val="24"/>
          <w:szCs w:val="24"/>
          <w:highlight w:val="none"/>
          <w:lang w:val="en-US" w:eastAsia="zh-CN"/>
        </w:rPr>
        <w:fldChar w:fldCharType="separate"/>
      </w:r>
      <w:r>
        <w:rPr>
          <w:rFonts w:hint="default" w:ascii="Times New Roman" w:hAnsi="Times New Roman" w:eastAsia="宋体" w:cs="Times New Roman"/>
          <w:sz w:val="24"/>
          <w:szCs w:val="24"/>
          <w:highlight w:val="none"/>
        </w:rPr>
        <w:t>II</w:t>
      </w:r>
      <w:r>
        <w:rPr>
          <w:rFonts w:hint="default" w:ascii="Times New Roman" w:hAnsi="Times New Roman" w:eastAsia="宋体" w:cs="Times New Roman"/>
          <w:sz w:val="24"/>
          <w:szCs w:val="24"/>
          <w:highlight w:val="none"/>
          <w:lang w:val="en-US" w:eastAsia="zh-CN"/>
        </w:rPr>
        <w:fldChar w:fldCharType="end"/>
      </w:r>
      <w:r>
        <w:rPr>
          <w:rFonts w:hint="default" w:ascii="Times New Roman" w:hAnsi="Times New Roman" w:eastAsia="宋体" w:cs="Times New Roman"/>
          <w:sz w:val="24"/>
          <w:szCs w:val="24"/>
          <w:highlight w:val="none"/>
          <w:lang w:val="en-US" w:eastAsia="zh-CN"/>
        </w:rPr>
        <w:t>时段排放限值标准，</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sz w:val="24"/>
          <w:szCs w:val="24"/>
          <w:lang w:val="en-US" w:eastAsia="zh-CN"/>
        </w:rPr>
        <w:t>VOCs</w:t>
      </w:r>
      <w:r>
        <w:rPr>
          <w:rFonts w:hint="default" w:ascii="Times New Roman" w:hAnsi="Times New Roman" w:eastAsia="宋体" w:cs="Times New Roman"/>
          <w:color w:val="000000"/>
          <w:sz w:val="24"/>
          <w:szCs w:val="24"/>
          <w:lang w:val="en-US" w:eastAsia="zh-CN"/>
        </w:rPr>
        <w:t>≤6</w:t>
      </w:r>
      <w:r>
        <w:rPr>
          <w:rFonts w:hint="default" w:ascii="Times New Roman" w:hAnsi="Times New Roman" w:eastAsia="宋体" w:cs="Times New Roman"/>
          <w:color w:val="000000"/>
          <w:sz w:val="24"/>
          <w:szCs w:val="24"/>
        </w:rPr>
        <w:t>kg/h，</w:t>
      </w:r>
      <w:r>
        <w:rPr>
          <w:rFonts w:hint="default" w:ascii="Times New Roman" w:hAnsi="Times New Roman" w:eastAsia="宋体" w:cs="Times New Roman"/>
          <w:sz w:val="24"/>
          <w:szCs w:val="24"/>
          <w:lang w:val="en-US" w:eastAsia="zh-CN"/>
        </w:rPr>
        <w:t>VOCs</w:t>
      </w:r>
      <w:r>
        <w:rPr>
          <w:rFonts w:hint="default" w:ascii="Times New Roman" w:hAnsi="Times New Roman" w:eastAsia="宋体" w:cs="Times New Roman"/>
          <w:color w:val="000000"/>
          <w:sz w:val="24"/>
          <w:szCs w:val="24"/>
          <w:lang w:val="en-US" w:eastAsia="zh-CN"/>
        </w:rPr>
        <w:t>≤60mg/m</w:t>
      </w:r>
      <w:r>
        <w:rPr>
          <w:rFonts w:hint="default" w:ascii="Times New Roman" w:hAnsi="Times New Roman" w:eastAsia="宋体"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lang w:val="en-US" w:eastAsia="zh-CN"/>
        </w:rPr>
        <w:t>）</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kern w:val="2"/>
          <w:sz w:val="24"/>
          <w:szCs w:val="24"/>
          <w:lang w:val="en-US" w:eastAsia="zh-CN" w:bidi="ar-SA"/>
        </w:rPr>
        <w:t>废气治理措施能够满足达标排放的要求。</w:t>
      </w:r>
    </w:p>
    <w:p>
      <w:pPr>
        <w:pStyle w:val="38"/>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10.1.2无组织废气</w:t>
      </w:r>
    </w:p>
    <w:p>
      <w:pPr>
        <w:widowControl w:val="0"/>
        <w:spacing w:after="0" w:line="360" w:lineRule="auto"/>
        <w:ind w:left="0" w:firstLine="480" w:firstLineChars="200"/>
        <w:jc w:val="both"/>
        <w:rPr>
          <w:rFonts w:hint="default" w:ascii="Times New Roman" w:hAnsi="Times New Roman" w:eastAsia="宋体" w:cs="Times New Roman"/>
          <w:color w:val="000000"/>
          <w:sz w:val="24"/>
          <w:szCs w:val="32"/>
        </w:rPr>
      </w:pPr>
      <w:r>
        <w:rPr>
          <w:rFonts w:hint="default" w:ascii="Times New Roman" w:hAnsi="Times New Roman" w:eastAsia="宋体" w:cs="Times New Roman"/>
          <w:color w:val="000000"/>
          <w:kern w:val="2"/>
          <w:sz w:val="24"/>
          <w:szCs w:val="28"/>
          <w:lang w:val="en-US" w:eastAsia="zh-CN" w:bidi="ar-SA"/>
        </w:rPr>
        <w:t>该项目产生的无组织废气污染物主要为注射剂生产车间配制废气、化验中心废气以及污水处理站产生的恶臭。</w:t>
      </w:r>
      <w:r>
        <w:rPr>
          <w:rFonts w:hint="default" w:ascii="Times New Roman" w:hAnsi="Times New Roman" w:eastAsia="宋体" w:cs="Times New Roman"/>
          <w:color w:val="000000"/>
          <w:sz w:val="24"/>
          <w:szCs w:val="24"/>
          <w:lang w:val="en-US" w:eastAsia="zh-CN"/>
        </w:rPr>
        <w:t>根据</w:t>
      </w:r>
      <w:r>
        <w:rPr>
          <w:rFonts w:hint="default" w:ascii="Times New Roman" w:hAnsi="Times New Roman" w:eastAsia="宋体" w:cs="Times New Roman"/>
          <w:color w:val="auto"/>
          <w:sz w:val="24"/>
          <w:szCs w:val="24"/>
          <w:lang w:val="en-US" w:eastAsia="zh-CN"/>
        </w:rPr>
        <w:t>监测结果</w:t>
      </w:r>
      <w:r>
        <w:rPr>
          <w:rFonts w:hint="default" w:ascii="Times New Roman" w:hAnsi="Times New Roman" w:eastAsia="宋体" w:cs="Times New Roman"/>
          <w:color w:val="000000"/>
          <w:sz w:val="24"/>
          <w:szCs w:val="24"/>
          <w:lang w:val="en-US" w:eastAsia="zh-CN"/>
        </w:rPr>
        <w:t>可知，</w:t>
      </w:r>
      <w:r>
        <w:rPr>
          <w:rFonts w:hint="default" w:ascii="Times New Roman" w:hAnsi="Times New Roman" w:eastAsia="宋体" w:cs="Times New Roman"/>
          <w:color w:val="000000"/>
          <w:sz w:val="24"/>
          <w:szCs w:val="24"/>
        </w:rPr>
        <w:t>项目厂界无</w:t>
      </w:r>
      <w:r>
        <w:rPr>
          <w:rFonts w:hint="default" w:ascii="Times New Roman" w:hAnsi="Times New Roman" w:eastAsia="宋体" w:cs="Times New Roman"/>
          <w:color w:val="000000"/>
          <w:sz w:val="24"/>
          <w:szCs w:val="24"/>
          <w:lang w:val="en-US" w:eastAsia="zh-CN"/>
        </w:rPr>
        <w:t>组织</w:t>
      </w:r>
      <w:r>
        <w:rPr>
          <w:rFonts w:ascii="Times New Roman" w:hAnsi="Times New Roman" w:eastAsia="宋体" w:cs="Times New Roman"/>
          <w:b w:val="0"/>
          <w:bCs/>
          <w:sz w:val="24"/>
          <w:szCs w:val="24"/>
        </w:rPr>
        <w:t>NH</w:t>
      </w:r>
      <w:r>
        <w:rPr>
          <w:rFonts w:ascii="Times New Roman" w:hAnsi="Times New Roman" w:eastAsia="宋体" w:cs="Times New Roman"/>
          <w:b w:val="0"/>
          <w:bCs/>
          <w:sz w:val="24"/>
          <w:szCs w:val="24"/>
          <w:vertAlign w:val="subscript"/>
        </w:rPr>
        <w:t>3</w:t>
      </w:r>
      <w:r>
        <w:rPr>
          <w:rFonts w:hint="default" w:ascii="Times New Roman" w:hAnsi="Times New Roman" w:eastAsia="宋体" w:cs="Times New Roman"/>
          <w:color w:val="000000"/>
          <w:sz w:val="24"/>
          <w:szCs w:val="24"/>
          <w:lang w:val="en-US" w:eastAsia="zh-CN"/>
        </w:rPr>
        <w:t>最大排放浓度为0.3</w:t>
      </w:r>
      <w:r>
        <w:rPr>
          <w:rFonts w:hint="eastAsia" w:ascii="Times New Roman" w:hAnsi="Times New Roman" w:eastAsia="宋体" w:cs="Times New Roman"/>
          <w:color w:val="000000"/>
          <w:sz w:val="24"/>
          <w:szCs w:val="24"/>
          <w:lang w:val="en-US" w:eastAsia="zh-CN"/>
        </w:rPr>
        <w:t>8</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vertAlign w:val="baseline"/>
          <w:lang w:eastAsia="zh-CN"/>
        </w:rPr>
        <w:t>，</w:t>
      </w:r>
      <w:r>
        <w:rPr>
          <w:rFonts w:ascii="Times New Roman" w:hAnsi="Times New Roman" w:eastAsia="宋体" w:cs="Times New Roman"/>
          <w:b w:val="0"/>
          <w:bCs/>
          <w:sz w:val="24"/>
          <w:szCs w:val="24"/>
        </w:rPr>
        <w:t>H</w:t>
      </w:r>
      <w:r>
        <w:rPr>
          <w:rFonts w:ascii="Times New Roman" w:hAnsi="Times New Roman" w:eastAsia="宋体" w:cs="Times New Roman"/>
          <w:b w:val="0"/>
          <w:bCs/>
          <w:sz w:val="24"/>
          <w:szCs w:val="24"/>
          <w:vertAlign w:val="subscript"/>
        </w:rPr>
        <w:t>2</w:t>
      </w:r>
      <w:r>
        <w:rPr>
          <w:rFonts w:ascii="Times New Roman" w:hAnsi="Times New Roman" w:eastAsia="宋体" w:cs="Times New Roman"/>
          <w:b w:val="0"/>
          <w:bCs/>
          <w:sz w:val="24"/>
          <w:szCs w:val="24"/>
        </w:rPr>
        <w:t>S</w:t>
      </w:r>
      <w:r>
        <w:rPr>
          <w:rFonts w:hint="default" w:ascii="Times New Roman" w:hAnsi="Times New Roman" w:eastAsia="宋体" w:cs="Times New Roman"/>
          <w:color w:val="000000"/>
          <w:sz w:val="24"/>
          <w:szCs w:val="24"/>
          <w:lang w:val="en-US" w:eastAsia="zh-CN"/>
        </w:rPr>
        <w:t>最大排放浓度为0.</w:t>
      </w:r>
      <w:r>
        <w:rPr>
          <w:rFonts w:hint="eastAsia" w:ascii="Times New Roman" w:hAnsi="Times New Roman" w:eastAsia="宋体" w:cs="Times New Roman"/>
          <w:color w:val="000000"/>
          <w:sz w:val="24"/>
          <w:szCs w:val="24"/>
          <w:lang w:val="en-US" w:eastAsia="zh-CN"/>
        </w:rPr>
        <w:t>013</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color w:val="auto"/>
          <w:sz w:val="24"/>
          <w:szCs w:val="24"/>
          <w:lang w:val="en-US" w:eastAsia="zh-CN"/>
        </w:rPr>
        <w:t>臭气浓度</w:t>
      </w:r>
      <w:r>
        <w:rPr>
          <w:rFonts w:hint="default" w:ascii="Times New Roman" w:hAnsi="Times New Roman" w:eastAsia="宋体" w:cs="Times New Roman"/>
          <w:color w:val="000000"/>
          <w:sz w:val="24"/>
          <w:szCs w:val="24"/>
          <w:lang w:val="en-US" w:eastAsia="zh-CN"/>
        </w:rPr>
        <w:t>为</w:t>
      </w:r>
      <w:r>
        <w:rPr>
          <w:rFonts w:hint="eastAsia" w:ascii="Times New Roman" w:hAnsi="Times New Roman" w:eastAsia="宋体" w:cs="Times New Roman"/>
          <w:color w:val="000000"/>
          <w:sz w:val="24"/>
          <w:szCs w:val="24"/>
          <w:lang w:val="en-US" w:eastAsia="zh-CN"/>
        </w:rPr>
        <w:t>17</w:t>
      </w:r>
      <w:r>
        <w:rPr>
          <w:rFonts w:hint="eastAsia" w:ascii="Times New Roman" w:hAnsi="Times New Roman" w:eastAsia="宋体" w:cs="Times New Roman"/>
          <w:color w:val="000000"/>
          <w:sz w:val="24"/>
          <w:szCs w:val="24"/>
          <w:lang w:eastAsia="zh-CN"/>
        </w:rPr>
        <w:t>（</w:t>
      </w:r>
      <w:r>
        <w:rPr>
          <w:rFonts w:hint="eastAsia" w:ascii="Times New Roman" w:hAnsi="Times New Roman" w:eastAsia="宋体" w:cs="Times New Roman"/>
          <w:color w:val="000000"/>
          <w:sz w:val="24"/>
          <w:szCs w:val="24"/>
          <w:lang w:val="en-US" w:eastAsia="zh-CN"/>
        </w:rPr>
        <w:t>无量纲</w:t>
      </w:r>
      <w:r>
        <w:rPr>
          <w:rFonts w:hint="eastAsia" w:ascii="Times New Roman" w:hAnsi="Times New Roman" w:eastAsia="宋体" w:cs="Times New Roman"/>
          <w:color w:val="000000"/>
          <w:sz w:val="24"/>
          <w:szCs w:val="24"/>
          <w:lang w:eastAsia="zh-CN"/>
        </w:rPr>
        <w:t>）</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color w:val="000000"/>
          <w:sz w:val="24"/>
          <w:szCs w:val="24"/>
          <w:lang w:val="en-US" w:eastAsia="zh-CN"/>
        </w:rPr>
        <w:t>排放满足</w:t>
      </w:r>
      <w:r>
        <w:rPr>
          <w:rFonts w:ascii="Times New Roman" w:hAnsi="Times New Roman" w:eastAsia="宋体" w:cs="Times New Roman"/>
          <w:b w:val="0"/>
          <w:bCs/>
          <w:sz w:val="24"/>
          <w:szCs w:val="24"/>
        </w:rPr>
        <w:t>《恶臭污染物排放标准》（GB14554-93）表1标准</w:t>
      </w:r>
      <w:r>
        <w:rPr>
          <w:rFonts w:hint="default" w:ascii="Times New Roman" w:hAnsi="Times New Roman" w:eastAsia="宋体" w:cs="Times New Roman"/>
          <w:color w:val="000000"/>
          <w:sz w:val="24"/>
          <w:szCs w:val="24"/>
          <w:lang w:val="en-US" w:eastAsia="zh-CN"/>
        </w:rPr>
        <w:t>（</w:t>
      </w:r>
      <w:r>
        <w:rPr>
          <w:rFonts w:ascii="Times New Roman" w:hAnsi="Times New Roman" w:eastAsia="宋体" w:cs="Times New Roman"/>
          <w:b w:val="0"/>
          <w:bCs/>
          <w:sz w:val="24"/>
          <w:szCs w:val="24"/>
        </w:rPr>
        <w:t>NH</w:t>
      </w:r>
      <w:r>
        <w:rPr>
          <w:rFonts w:ascii="Times New Roman" w:hAnsi="Times New Roman" w:eastAsia="宋体" w:cs="Times New Roman"/>
          <w:b w:val="0"/>
          <w:bCs/>
          <w:sz w:val="24"/>
          <w:szCs w:val="24"/>
          <w:vertAlign w:val="subscript"/>
        </w:rPr>
        <w:t>3</w:t>
      </w:r>
      <w:r>
        <w:rPr>
          <w:rFonts w:hint="eastAsia"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eastAsia="zh-CN"/>
        </w:rPr>
        <w:t>1.</w:t>
      </w:r>
      <w:r>
        <w:rPr>
          <w:rFonts w:hint="eastAsia" w:ascii="Times New Roman" w:hAnsi="Times New Roman" w:eastAsia="宋体" w:cs="Times New Roman"/>
          <w:color w:val="000000"/>
          <w:sz w:val="24"/>
          <w:szCs w:val="24"/>
          <w:lang w:val="en-US" w:eastAsia="zh-CN"/>
        </w:rPr>
        <w:t>5</w:t>
      </w:r>
      <w:r>
        <w:rPr>
          <w:rFonts w:hint="default" w:ascii="Times New Roman" w:hAnsi="Times New Roman" w:eastAsia="宋体" w:cs="Times New Roman"/>
          <w:color w:val="000000"/>
          <w:sz w:val="24"/>
          <w:szCs w:val="24"/>
          <w:lang w:val="en-US" w:eastAsia="zh-CN"/>
        </w:rPr>
        <w:t>mg/m</w:t>
      </w:r>
      <w:r>
        <w:rPr>
          <w:rFonts w:hint="default" w:ascii="Times New Roman" w:hAnsi="Times New Roman" w:eastAsia="宋体"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vertAlign w:val="baseline"/>
          <w:lang w:eastAsia="zh-CN"/>
        </w:rPr>
        <w:t>，</w:t>
      </w:r>
      <w:r>
        <w:rPr>
          <w:rFonts w:ascii="Times New Roman" w:hAnsi="Times New Roman" w:eastAsia="宋体" w:cs="Times New Roman"/>
          <w:b w:val="0"/>
          <w:bCs/>
          <w:sz w:val="24"/>
          <w:szCs w:val="24"/>
        </w:rPr>
        <w:t>H</w:t>
      </w:r>
      <w:r>
        <w:rPr>
          <w:rFonts w:ascii="Times New Roman" w:hAnsi="Times New Roman" w:eastAsia="宋体" w:cs="Times New Roman"/>
          <w:b w:val="0"/>
          <w:bCs/>
          <w:sz w:val="24"/>
          <w:szCs w:val="24"/>
          <w:vertAlign w:val="subscript"/>
        </w:rPr>
        <w:t>2</w:t>
      </w:r>
      <w:r>
        <w:rPr>
          <w:rFonts w:ascii="Times New Roman" w:hAnsi="Times New Roman" w:eastAsia="宋体" w:cs="Times New Roman"/>
          <w:b w:val="0"/>
          <w:bCs/>
          <w:sz w:val="24"/>
          <w:szCs w:val="24"/>
        </w:rPr>
        <w:t>S</w:t>
      </w:r>
      <w:r>
        <w:rPr>
          <w:rFonts w:hint="eastAsia" w:ascii="Times New Roman" w:hAnsi="Times New Roman" w:eastAsia="宋体" w:cs="Times New Roman"/>
          <w:color w:val="000000"/>
          <w:sz w:val="24"/>
          <w:szCs w:val="24"/>
          <w:lang w:val="en-US" w:eastAsia="zh-CN"/>
        </w:rPr>
        <w:t>≤0.06</w:t>
      </w:r>
      <w:r>
        <w:rPr>
          <w:rFonts w:hint="default" w:ascii="Times New Roman" w:hAnsi="Times New Roman" w:eastAsia="宋体" w:cs="Times New Roman"/>
          <w:color w:val="000000"/>
          <w:sz w:val="24"/>
          <w:szCs w:val="24"/>
          <w:lang w:val="en-US" w:eastAsia="zh-CN"/>
        </w:rPr>
        <w:t>mg/m</w:t>
      </w:r>
      <w:r>
        <w:rPr>
          <w:rFonts w:hint="default" w:ascii="Times New Roman" w:hAnsi="Times New Roman" w:eastAsia="宋体"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color w:val="auto"/>
          <w:sz w:val="24"/>
          <w:szCs w:val="24"/>
          <w:lang w:val="en-US" w:eastAsia="zh-CN"/>
        </w:rPr>
        <w:t>臭气浓度</w:t>
      </w:r>
      <w:r>
        <w:rPr>
          <w:rFonts w:hint="eastAsia" w:ascii="Times New Roman" w:hAnsi="Times New Roman" w:eastAsia="宋体" w:cs="Times New Roman"/>
          <w:color w:val="000000"/>
          <w:sz w:val="24"/>
          <w:szCs w:val="24"/>
          <w:lang w:val="en-US" w:eastAsia="zh-CN"/>
        </w:rPr>
        <w:t>≤20无量纲</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rPr>
        <w:t>厂界无</w:t>
      </w:r>
      <w:r>
        <w:rPr>
          <w:rFonts w:hint="default" w:ascii="Times New Roman" w:hAnsi="Times New Roman" w:eastAsia="宋体" w:cs="Times New Roman"/>
          <w:color w:val="000000"/>
          <w:sz w:val="24"/>
          <w:szCs w:val="24"/>
          <w:lang w:val="en-US" w:eastAsia="zh-CN"/>
        </w:rPr>
        <w:t>组织VOCs最大排放浓度为</w:t>
      </w:r>
      <w:r>
        <w:rPr>
          <w:rFonts w:hint="eastAsia" w:ascii="Times New Roman" w:hAnsi="Times New Roman" w:eastAsia="宋体" w:cs="Times New Roman"/>
          <w:color w:val="000000"/>
          <w:sz w:val="24"/>
          <w:szCs w:val="24"/>
          <w:lang w:val="en-US" w:eastAsia="zh-CN"/>
        </w:rPr>
        <w:t>1.48</w:t>
      </w:r>
      <w:r>
        <w:rPr>
          <w:rFonts w:hint="default" w:ascii="Times New Roman" w:hAnsi="Times New Roman" w:eastAsia="宋体" w:cs="Times New Roman"/>
          <w:color w:val="000000"/>
          <w:sz w:val="24"/>
          <w:szCs w:val="24"/>
        </w:rPr>
        <w:t>mg/m</w:t>
      </w:r>
      <w:r>
        <w:rPr>
          <w:rFonts w:hint="default" w:ascii="Times New Roman" w:hAnsi="Times New Roman" w:eastAsia="宋体" w:cs="Times New Roman"/>
          <w:color w:val="000000"/>
          <w:sz w:val="24"/>
          <w:szCs w:val="24"/>
          <w:vertAlign w:val="superscript"/>
        </w:rPr>
        <w:t>3</w:t>
      </w:r>
      <w:r>
        <w:rPr>
          <w:rFonts w:hint="default" w:ascii="Times New Roman" w:hAnsi="Times New Roman" w:eastAsia="宋体" w:cs="Times New Roman"/>
          <w:color w:val="000000"/>
          <w:sz w:val="24"/>
          <w:szCs w:val="24"/>
          <w:vertAlign w:val="baseline"/>
          <w:lang w:eastAsia="zh-CN"/>
        </w:rPr>
        <w:t>，</w:t>
      </w:r>
      <w:r>
        <w:rPr>
          <w:rFonts w:hint="default" w:ascii="Times New Roman" w:hAnsi="Times New Roman" w:eastAsia="宋体" w:cs="Times New Roman"/>
          <w:color w:val="000000"/>
          <w:sz w:val="24"/>
          <w:szCs w:val="24"/>
          <w:lang w:val="en-US" w:eastAsia="zh-CN"/>
        </w:rPr>
        <w:t>排放满足</w:t>
      </w:r>
      <w:r>
        <w:rPr>
          <w:rFonts w:hint="default" w:ascii="Times New Roman" w:hAnsi="Times New Roman" w:eastAsia="宋体" w:cs="Times New Roman"/>
          <w:b w:val="0"/>
          <w:bCs/>
          <w:sz w:val="24"/>
          <w:szCs w:val="24"/>
          <w:lang w:val="en-US" w:eastAsia="zh-CN"/>
        </w:rPr>
        <w:t>《挥发性有机物排放标准 第7部分：其他行业》（DB37/2801.7-2019）表2厂界监控点浓度限值标准</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b w:val="0"/>
          <w:bCs/>
          <w:sz w:val="24"/>
          <w:szCs w:val="24"/>
          <w:highlight w:val="none"/>
          <w:lang w:val="en-US" w:eastAsia="zh-CN"/>
        </w:rPr>
        <w:t>VOCs</w:t>
      </w:r>
      <w:r>
        <w:rPr>
          <w:rFonts w:hint="eastAsia" w:ascii="Times New Roman" w:hAnsi="Times New Roman" w:eastAsia="宋体" w:cs="Times New Roman"/>
          <w:b w:val="0"/>
          <w:bCs/>
          <w:sz w:val="24"/>
          <w:szCs w:val="24"/>
          <w:highlight w:val="none"/>
          <w:lang w:val="en-US" w:eastAsia="zh-CN"/>
        </w:rPr>
        <w:t>≤</w:t>
      </w:r>
      <w:r>
        <w:rPr>
          <w:rFonts w:hint="default" w:ascii="Times New Roman" w:hAnsi="Times New Roman" w:eastAsia="宋体" w:cs="Times New Roman"/>
          <w:color w:val="000000"/>
          <w:sz w:val="24"/>
          <w:szCs w:val="24"/>
          <w:lang w:val="en-US" w:eastAsia="zh-CN"/>
        </w:rPr>
        <w:t>2.0mg/m</w:t>
      </w:r>
      <w:r>
        <w:rPr>
          <w:rFonts w:hint="default" w:ascii="Times New Roman" w:hAnsi="Times New Roman" w:eastAsia="宋体"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32"/>
          <w:lang w:val="en-US" w:eastAsia="zh-CN"/>
        </w:rPr>
        <w:t>。</w:t>
      </w:r>
    </w:p>
    <w:p>
      <w:pPr>
        <w:pStyle w:val="38"/>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10.1.3噪声</w:t>
      </w:r>
    </w:p>
    <w:p>
      <w:pPr>
        <w:pStyle w:val="8"/>
        <w:spacing w:after="0" w:line="360" w:lineRule="auto"/>
        <w:ind w:left="0" w:firstLine="480" w:firstLineChars="200"/>
        <w:jc w:val="both"/>
        <w:rPr>
          <w:rFonts w:hint="default" w:ascii="Times New Roman" w:hAnsi="Times New Roman" w:eastAsia="宋体" w:cs="Times New Roman"/>
          <w:color w:val="000000"/>
          <w:sz w:val="24"/>
          <w:szCs w:val="28"/>
        </w:rPr>
      </w:pPr>
      <w:bookmarkStart w:id="78" w:name="_Hlk46997552"/>
      <w:r>
        <w:rPr>
          <w:rFonts w:hint="default" w:ascii="Times New Roman" w:hAnsi="Times New Roman" w:eastAsia="宋体" w:cs="Times New Roman"/>
          <w:color w:val="000000"/>
          <w:sz w:val="24"/>
          <w:szCs w:val="28"/>
        </w:rPr>
        <w:t>根据现场监测期间监测结果：厂界4个噪声监测点，昼间噪声值范围为</w:t>
      </w:r>
      <w:r>
        <w:rPr>
          <w:rFonts w:hint="eastAsia" w:ascii="Times New Roman" w:hAnsi="Times New Roman" w:eastAsia="宋体" w:cs="Times New Roman"/>
          <w:color w:val="000000"/>
          <w:sz w:val="24"/>
          <w:szCs w:val="28"/>
          <w:lang w:val="en-US" w:eastAsia="zh-CN"/>
        </w:rPr>
        <w:t>50.5</w:t>
      </w:r>
      <w:r>
        <w:rPr>
          <w:rFonts w:hint="default" w:ascii="Times New Roman" w:hAnsi="Times New Roman" w:eastAsia="宋体" w:cs="Times New Roman"/>
          <w:color w:val="000000"/>
          <w:sz w:val="24"/>
          <w:szCs w:val="28"/>
        </w:rPr>
        <w:t>～</w:t>
      </w:r>
      <w:r>
        <w:rPr>
          <w:rFonts w:hint="eastAsia" w:ascii="Times New Roman" w:hAnsi="Times New Roman" w:eastAsia="宋体" w:cs="Times New Roman"/>
          <w:color w:val="000000"/>
          <w:sz w:val="24"/>
          <w:szCs w:val="28"/>
          <w:lang w:val="en-US" w:eastAsia="zh-CN"/>
        </w:rPr>
        <w:t>59.0</w:t>
      </w:r>
      <w:r>
        <w:rPr>
          <w:rFonts w:hint="default" w:ascii="Times New Roman" w:hAnsi="Times New Roman" w:eastAsia="宋体" w:cs="Times New Roman"/>
          <w:color w:val="000000"/>
          <w:sz w:val="24"/>
          <w:szCs w:val="28"/>
        </w:rPr>
        <w:t>dB(A)，夜间噪声值范围为</w:t>
      </w:r>
      <w:r>
        <w:rPr>
          <w:rFonts w:hint="eastAsia" w:ascii="Times New Roman" w:hAnsi="Times New Roman" w:eastAsia="宋体" w:cs="Times New Roman"/>
          <w:color w:val="000000"/>
          <w:sz w:val="24"/>
          <w:szCs w:val="28"/>
          <w:lang w:val="en-US" w:eastAsia="zh-CN"/>
        </w:rPr>
        <w:t>41.5</w:t>
      </w:r>
      <w:r>
        <w:rPr>
          <w:rFonts w:hint="default" w:ascii="Times New Roman" w:hAnsi="Times New Roman" w:eastAsia="宋体" w:cs="Times New Roman"/>
          <w:color w:val="000000"/>
          <w:sz w:val="24"/>
          <w:szCs w:val="28"/>
        </w:rPr>
        <w:t>～</w:t>
      </w:r>
      <w:r>
        <w:rPr>
          <w:rFonts w:hint="eastAsia" w:ascii="Times New Roman" w:hAnsi="Times New Roman" w:eastAsia="宋体" w:cs="Times New Roman"/>
          <w:color w:val="000000"/>
          <w:sz w:val="24"/>
          <w:szCs w:val="28"/>
          <w:lang w:val="en-US" w:eastAsia="zh-CN"/>
        </w:rPr>
        <w:t>49.1</w:t>
      </w:r>
      <w:r>
        <w:rPr>
          <w:rFonts w:hint="default" w:ascii="Times New Roman" w:hAnsi="Times New Roman" w:eastAsia="宋体" w:cs="Times New Roman"/>
          <w:color w:val="000000"/>
          <w:sz w:val="24"/>
          <w:szCs w:val="28"/>
        </w:rPr>
        <w:t>dB(A)</w:t>
      </w:r>
      <w:r>
        <w:rPr>
          <w:rFonts w:hint="eastAsia" w:ascii="Times New Roman" w:hAnsi="Times New Roman" w:eastAsia="宋体" w:cs="Times New Roman"/>
          <w:color w:val="000000"/>
          <w:sz w:val="24"/>
          <w:szCs w:val="28"/>
          <w:lang w:eastAsia="zh-CN"/>
        </w:rPr>
        <w:t>，</w:t>
      </w:r>
      <w:r>
        <w:rPr>
          <w:rFonts w:hint="default" w:ascii="Times New Roman" w:hAnsi="Times New Roman" w:eastAsia="宋体" w:cs="Times New Roman"/>
          <w:color w:val="000000"/>
          <w:sz w:val="24"/>
          <w:szCs w:val="28"/>
        </w:rPr>
        <w:t>检测结果达到《工业企业厂界环境噪声排放标准》(GB12348-2008)中2类标准限值要求。</w:t>
      </w:r>
    </w:p>
    <w:bookmarkEnd w:id="78"/>
    <w:p>
      <w:pPr>
        <w:pStyle w:val="38"/>
        <w:spacing w:line="360" w:lineRule="auto"/>
        <w:ind w:firstLine="0" w:firstLineChars="0"/>
        <w:jc w:val="both"/>
        <w:rPr>
          <w:rFonts w:hint="eastAsia" w:ascii="Times New Roman" w:hAnsi="Times New Roman" w:eastAsia="宋体" w:cs="Times New Roman"/>
          <w:b/>
          <w:sz w:val="24"/>
          <w:szCs w:val="32"/>
          <w:lang w:eastAsia="zh-CN"/>
        </w:rPr>
      </w:pPr>
      <w:r>
        <w:rPr>
          <w:rFonts w:hint="default" w:ascii="Times New Roman" w:hAnsi="Times New Roman" w:eastAsia="宋体" w:cs="Times New Roman"/>
          <w:b/>
          <w:sz w:val="24"/>
          <w:szCs w:val="32"/>
        </w:rPr>
        <w:t>10.1.</w:t>
      </w:r>
      <w:r>
        <w:rPr>
          <w:rFonts w:hint="eastAsia" w:ascii="Times New Roman" w:hAnsi="Times New Roman" w:eastAsia="宋体" w:cs="Times New Roman"/>
          <w:b/>
          <w:sz w:val="24"/>
          <w:szCs w:val="32"/>
          <w:lang w:val="en-US" w:eastAsia="zh-CN"/>
        </w:rPr>
        <w:t>4废水</w:t>
      </w:r>
    </w:p>
    <w:p>
      <w:pPr>
        <w:autoSpaceDE w:val="0"/>
        <w:autoSpaceDN w:val="0"/>
        <w:spacing w:line="360" w:lineRule="auto"/>
        <w:ind w:firstLine="480" w:firstLineChars="200"/>
        <w:rPr>
          <w:rFonts w:hint="default"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验收监测期间，废水各项检测因子均满足执行《污水综合排放标准》（GB8978-1996）表2三级标准、《混装制剂类制药工业水污染物排放标准》（GB 21908-2008）中表2标准及菏泽众兴牡丹水环境有限公司污水处理厂接管标准。废水处理技术可行。</w:t>
      </w:r>
    </w:p>
    <w:p>
      <w:pPr>
        <w:pStyle w:val="38"/>
        <w:spacing w:line="360" w:lineRule="auto"/>
        <w:ind w:firstLine="0" w:firstLineChars="0"/>
        <w:jc w:val="both"/>
        <w:rPr>
          <w:rFonts w:hint="default" w:ascii="Times New Roman" w:hAnsi="Times New Roman" w:eastAsia="宋体" w:cs="Times New Roman"/>
          <w:b/>
          <w:sz w:val="24"/>
          <w:szCs w:val="32"/>
        </w:rPr>
      </w:pPr>
      <w:r>
        <w:rPr>
          <w:rFonts w:hint="default" w:ascii="Times New Roman" w:hAnsi="Times New Roman" w:eastAsia="宋体" w:cs="Times New Roman"/>
          <w:b/>
          <w:sz w:val="24"/>
          <w:szCs w:val="32"/>
        </w:rPr>
        <w:t>10.1.</w:t>
      </w:r>
      <w:r>
        <w:rPr>
          <w:rFonts w:hint="eastAsia" w:ascii="Times New Roman" w:hAnsi="Times New Roman" w:eastAsia="宋体" w:cs="Times New Roman"/>
          <w:b/>
          <w:sz w:val="24"/>
          <w:szCs w:val="32"/>
          <w:lang w:val="en-US" w:eastAsia="zh-CN"/>
        </w:rPr>
        <w:t>5</w:t>
      </w:r>
      <w:r>
        <w:rPr>
          <w:rFonts w:hint="default" w:ascii="Times New Roman" w:hAnsi="Times New Roman" w:eastAsia="宋体" w:cs="Times New Roman"/>
          <w:b/>
          <w:sz w:val="24"/>
          <w:szCs w:val="32"/>
        </w:rPr>
        <w:t>固废</w:t>
      </w:r>
    </w:p>
    <w:p>
      <w:pPr>
        <w:autoSpaceDE w:val="0"/>
        <w:autoSpaceDN w:val="0"/>
        <w:spacing w:line="360" w:lineRule="auto"/>
        <w:ind w:firstLine="480" w:firstLineChars="200"/>
        <w:rPr>
          <w:rFonts w:hint="default" w:ascii="Times New Roman" w:hAnsi="Times New Roman" w:eastAsia="宋体" w:cs="Times New Roman"/>
          <w:color w:val="000000"/>
          <w:sz w:val="24"/>
          <w:szCs w:val="28"/>
          <w:lang w:val="en-US" w:eastAsia="zh-CN"/>
        </w:rPr>
      </w:pPr>
      <w:r>
        <w:rPr>
          <w:rFonts w:hint="eastAsia" w:ascii="Times New Roman" w:hAnsi="Times New Roman" w:eastAsia="宋体" w:cs="Times New Roman"/>
          <w:sz w:val="24"/>
          <w:szCs w:val="24"/>
          <w:lang w:val="en-US" w:eastAsia="zh-CN"/>
        </w:rPr>
        <w:t>本项目产生的固体废弃物主要为废活性炭滤芯、报废药品、</w:t>
      </w:r>
      <w:r>
        <w:rPr>
          <w:rFonts w:hint="default" w:ascii="Times New Roman" w:hAnsi="Times New Roman" w:eastAsia="宋体" w:cs="Times New Roman"/>
          <w:sz w:val="24"/>
          <w:szCs w:val="24"/>
          <w:lang w:val="en-US" w:eastAsia="zh-CN"/>
        </w:rPr>
        <w:t>废活性炭</w:t>
      </w:r>
      <w:r>
        <w:rPr>
          <w:rFonts w:hint="eastAsia" w:ascii="Times New Roman" w:hAnsi="Times New Roman" w:eastAsia="宋体" w:cs="Times New Roman"/>
          <w:sz w:val="24"/>
          <w:szCs w:val="24"/>
          <w:lang w:val="en-US" w:eastAsia="zh-CN"/>
        </w:rPr>
        <w:t>、废外包材料、危化品包装材料、化验中心危废、污水处理站污泥、</w:t>
      </w:r>
      <w:r>
        <w:rPr>
          <w:rFonts w:hint="default" w:ascii="Times New Roman" w:hAnsi="Times New Roman" w:eastAsia="宋体" w:cs="Times New Roman"/>
          <w:sz w:val="24"/>
          <w:szCs w:val="24"/>
          <w:lang w:val="en-US" w:eastAsia="zh-CN"/>
        </w:rPr>
        <w:t>废离子交换树脂</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生活垃圾</w:t>
      </w:r>
      <w:r>
        <w:rPr>
          <w:rFonts w:hint="eastAsia" w:ascii="Times New Roman" w:hAnsi="Times New Roman" w:eastAsia="宋体" w:cs="Times New Roman"/>
          <w:sz w:val="24"/>
          <w:szCs w:val="24"/>
          <w:lang w:val="en-US" w:eastAsia="zh-CN"/>
        </w:rPr>
        <w:t>等。其中</w:t>
      </w:r>
      <w:r>
        <w:rPr>
          <w:rFonts w:hint="default" w:ascii="Times New Roman" w:hAnsi="Times New Roman" w:eastAsia="宋体" w:cs="Times New Roman"/>
          <w:sz w:val="24"/>
          <w:szCs w:val="24"/>
          <w:lang w:val="en-US" w:eastAsia="zh-CN"/>
        </w:rPr>
        <w:t>污水处理站污泥</w:t>
      </w:r>
      <w:r>
        <w:rPr>
          <w:rFonts w:hint="eastAsia" w:ascii="Times New Roman" w:hAnsi="Times New Roman" w:eastAsia="宋体" w:cs="Times New Roman"/>
          <w:sz w:val="24"/>
          <w:szCs w:val="24"/>
          <w:lang w:val="en-US" w:eastAsia="zh-CN"/>
        </w:rPr>
        <w:t>、废活性炭滤芯、报废药品、</w:t>
      </w:r>
      <w:r>
        <w:rPr>
          <w:rFonts w:hint="default" w:ascii="Times New Roman" w:hAnsi="Times New Roman" w:eastAsia="宋体" w:cs="Times New Roman"/>
          <w:sz w:val="24"/>
          <w:szCs w:val="24"/>
          <w:lang w:val="en-US" w:eastAsia="zh-CN"/>
        </w:rPr>
        <w:t>废活性炭</w:t>
      </w:r>
      <w:r>
        <w:rPr>
          <w:rFonts w:hint="eastAsia" w:ascii="Times New Roman" w:hAnsi="Times New Roman" w:eastAsia="宋体" w:cs="Times New Roman"/>
          <w:sz w:val="24"/>
          <w:szCs w:val="24"/>
          <w:lang w:val="en-US" w:eastAsia="zh-CN"/>
        </w:rPr>
        <w:t>、危化品包装材料、化验中心危废</w:t>
      </w:r>
      <w:r>
        <w:rPr>
          <w:rFonts w:hint="default" w:ascii="Times New Roman" w:hAnsi="Times New Roman" w:eastAsia="宋体" w:cs="Times New Roman"/>
          <w:sz w:val="24"/>
          <w:szCs w:val="24"/>
          <w:lang w:val="en-US" w:eastAsia="zh-CN"/>
        </w:rPr>
        <w:t>均属危险废物</w:t>
      </w:r>
      <w:r>
        <w:rPr>
          <w:rFonts w:hint="eastAsia" w:ascii="Times New Roman" w:hAnsi="Times New Roman" w:eastAsia="宋体" w:cs="Times New Roman"/>
          <w:sz w:val="24"/>
          <w:szCs w:val="24"/>
          <w:lang w:val="en-US" w:eastAsia="zh-CN"/>
        </w:rPr>
        <w:t>，</w:t>
      </w:r>
      <w:r>
        <w:rPr>
          <w:rFonts w:hint="default" w:ascii="Times New Roman" w:hAnsi="Times New Roman" w:eastAsia="宋体" w:cs="Times New Roman"/>
          <w:sz w:val="24"/>
          <w:szCs w:val="24"/>
          <w:lang w:val="en-US" w:eastAsia="zh-CN"/>
        </w:rPr>
        <w:t>集中收集后，</w:t>
      </w:r>
      <w:r>
        <w:rPr>
          <w:rFonts w:hint="eastAsia" w:ascii="Times New Roman" w:hAnsi="Times New Roman" w:eastAsia="宋体" w:cs="Times New Roman"/>
          <w:sz w:val="24"/>
          <w:szCs w:val="24"/>
          <w:lang w:val="en-US" w:eastAsia="zh-CN"/>
        </w:rPr>
        <w:t>暂存于危废暂存间内，</w:t>
      </w:r>
      <w:r>
        <w:rPr>
          <w:rFonts w:hint="default" w:ascii="Times New Roman" w:hAnsi="Times New Roman" w:eastAsia="宋体" w:cs="Times New Roman"/>
          <w:sz w:val="24"/>
          <w:szCs w:val="24"/>
          <w:lang w:val="en-US" w:eastAsia="zh-CN"/>
        </w:rPr>
        <w:t>定期委托有资质单位处置</w:t>
      </w:r>
      <w:r>
        <w:rPr>
          <w:rFonts w:hint="eastAsia" w:ascii="Times New Roman" w:hAnsi="Times New Roman" w:eastAsia="宋体" w:cs="Times New Roman"/>
          <w:sz w:val="24"/>
          <w:szCs w:val="24"/>
          <w:lang w:val="en-US" w:eastAsia="zh-CN"/>
        </w:rPr>
        <w:t>。</w:t>
      </w:r>
      <w:r>
        <w:rPr>
          <w:rFonts w:hint="eastAsia" w:ascii="Times New Roman" w:hAnsi="Times New Roman" w:eastAsia="宋体" w:cs="Times New Roman"/>
          <w:position w:val="2"/>
          <w:sz w:val="24"/>
          <w:szCs w:val="24"/>
          <w:lang w:val="en-US" w:bidi="zh-CN"/>
        </w:rPr>
        <w:t>均</w:t>
      </w:r>
      <w:r>
        <w:rPr>
          <w:rFonts w:hint="eastAsia" w:ascii="Times New Roman" w:hAnsi="Times New Roman" w:eastAsia="宋体" w:cs="Times New Roman"/>
          <w:color w:val="000000"/>
          <w:sz w:val="24"/>
          <w:szCs w:val="28"/>
          <w:lang w:val="en-US" w:eastAsia="zh-CN"/>
        </w:rPr>
        <w:t>不对环境产生二次污染</w:t>
      </w:r>
      <w:r>
        <w:rPr>
          <w:rFonts w:hint="default" w:ascii="Times New Roman" w:hAnsi="Times New Roman" w:eastAsia="宋体" w:cs="Times New Roman"/>
          <w:sz w:val="24"/>
          <w:szCs w:val="24"/>
        </w:rPr>
        <w:t>。</w:t>
      </w:r>
      <w:r>
        <w:rPr>
          <w:rFonts w:hint="default" w:ascii="Times New Roman" w:hAnsi="Times New Roman" w:eastAsia="宋体" w:cs="Times New Roman"/>
          <w:color w:val="000000"/>
          <w:sz w:val="24"/>
          <w:szCs w:val="28"/>
        </w:rPr>
        <w:t>以上措施有效可行，固废做到了无害化处理，对周围环境影响较小。</w:t>
      </w:r>
    </w:p>
    <w:p>
      <w:pPr>
        <w:pStyle w:val="38"/>
        <w:spacing w:line="360" w:lineRule="auto"/>
        <w:ind w:firstLine="0" w:firstLineChars="0"/>
        <w:jc w:val="both"/>
        <w:outlineLvl w:val="1"/>
        <w:rPr>
          <w:rFonts w:hint="default" w:ascii="Times New Roman" w:hAnsi="Times New Roman" w:eastAsia="宋体" w:cs="Times New Roman"/>
          <w:b/>
          <w:sz w:val="28"/>
          <w:szCs w:val="32"/>
        </w:rPr>
      </w:pPr>
      <w:bookmarkStart w:id="79" w:name="_Toc32426"/>
      <w:r>
        <w:rPr>
          <w:rFonts w:hint="default" w:ascii="Times New Roman" w:hAnsi="Times New Roman" w:eastAsia="宋体" w:cs="Times New Roman"/>
          <w:b/>
          <w:sz w:val="28"/>
          <w:szCs w:val="32"/>
        </w:rPr>
        <w:t>10.2建议</w:t>
      </w:r>
      <w:bookmarkEnd w:id="79"/>
    </w:p>
    <w:p>
      <w:pPr>
        <w:pStyle w:val="8"/>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1、保护环境，人人有责，加强环境管理，提高职工环保意识，加强职工环保教育，制定各项环保规章制度，将环境管理纳入到日常生产中，最大限度减少资源浪费和环境污染。</w:t>
      </w:r>
    </w:p>
    <w:p>
      <w:pPr>
        <w:pStyle w:val="8"/>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2、加强厂区周边绿化建设，扩大厂区绿化面积。</w:t>
      </w:r>
    </w:p>
    <w:p>
      <w:pPr>
        <w:pStyle w:val="8"/>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3、加强厂区内风险防范设施的日常保养及维护，确保风险防范设施无故障。</w:t>
      </w:r>
    </w:p>
    <w:p>
      <w:pPr>
        <w:pStyle w:val="8"/>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4、做好对噪声污染的防治措施，在设备选型时应优先选用高效、低噪的设备。对于高噪声的设备设置专门的消声、隔音罩，并加强维护管理。</w:t>
      </w:r>
    </w:p>
    <w:p>
      <w:pPr>
        <w:pStyle w:val="8"/>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5、加强环保设施的维护与环境保护治理，确保项目运行期间保设施的正常运行，降低对周围环境造成的影响。</w:t>
      </w:r>
    </w:p>
    <w:p>
      <w:pPr>
        <w:pStyle w:val="8"/>
        <w:spacing w:after="0" w:line="360" w:lineRule="auto"/>
        <w:ind w:left="0" w:firstLine="480" w:firstLineChars="200"/>
        <w:jc w:val="both"/>
        <w:rPr>
          <w:rFonts w:hint="default" w:ascii="Times New Roman" w:hAnsi="Times New Roman" w:eastAsia="宋体" w:cs="Times New Roman"/>
          <w:color w:val="000000"/>
          <w:sz w:val="24"/>
          <w:szCs w:val="28"/>
        </w:rPr>
      </w:pPr>
      <w:r>
        <w:rPr>
          <w:rFonts w:hint="default" w:ascii="Times New Roman" w:hAnsi="Times New Roman" w:eastAsia="宋体" w:cs="Times New Roman"/>
          <w:color w:val="000000"/>
          <w:sz w:val="24"/>
          <w:szCs w:val="28"/>
        </w:rPr>
        <w:t>6、做好环境应急预案的培训与演练，定期检查、维护消防设备与应急物资，提高环境事故应急响应能力。</w:t>
      </w:r>
    </w:p>
    <w:p>
      <w:pPr>
        <w:pStyle w:val="8"/>
        <w:spacing w:after="0" w:line="360" w:lineRule="auto"/>
        <w:ind w:left="0" w:firstLine="480" w:firstLineChars="200"/>
        <w:jc w:val="both"/>
        <w:rPr>
          <w:rFonts w:hint="default" w:ascii="Times New Roman" w:hAnsi="Times New Roman" w:eastAsia="宋体" w:cs="Times New Roman"/>
          <w:color w:val="000000"/>
          <w:sz w:val="24"/>
          <w:szCs w:val="28"/>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r>
        <w:rPr>
          <w:rFonts w:hint="default" w:ascii="Times New Roman" w:hAnsi="Times New Roman" w:eastAsia="宋体" w:cs="Times New Roman"/>
          <w:color w:val="000000"/>
          <w:sz w:val="24"/>
          <w:szCs w:val="28"/>
        </w:rPr>
        <w:t>7、建立固废管理台帐，做好固废处理记录。</w:t>
      </w:r>
    </w:p>
    <w:p>
      <w:pPr>
        <w:pStyle w:val="38"/>
        <w:adjustRightInd w:val="0"/>
        <w:snapToGrid w:val="0"/>
        <w:ind w:left="-210" w:leftChars="-100" w:firstLine="0" w:firstLineChars="0"/>
        <w:jc w:val="center"/>
        <w:outlineLvl w:val="0"/>
        <w:rPr>
          <w:rFonts w:hint="default" w:ascii="Times New Roman" w:hAnsi="Times New Roman" w:eastAsia="宋体" w:cs="Times New Roman"/>
          <w:b/>
          <w:sz w:val="32"/>
          <w:szCs w:val="32"/>
        </w:rPr>
      </w:pPr>
      <w:bookmarkStart w:id="80" w:name="_Toc522270330"/>
      <w:bookmarkStart w:id="81" w:name="_Toc523388556"/>
      <w:bookmarkStart w:id="82" w:name="_Toc523409008"/>
      <w:bookmarkStart w:id="83" w:name="_Toc14424"/>
      <w:r>
        <w:rPr>
          <w:rFonts w:hint="default" w:ascii="Times New Roman" w:hAnsi="Times New Roman" w:eastAsia="宋体" w:cs="Times New Roman"/>
          <w:b/>
          <w:sz w:val="32"/>
          <w:szCs w:val="32"/>
        </w:rPr>
        <w:t>11、</w:t>
      </w:r>
      <w:bookmarkEnd w:id="80"/>
      <w:bookmarkEnd w:id="81"/>
      <w:bookmarkEnd w:id="82"/>
      <w:r>
        <w:rPr>
          <w:rFonts w:hint="default" w:ascii="Times New Roman" w:hAnsi="Times New Roman" w:eastAsia="宋体" w:cs="Times New Roman"/>
          <w:b/>
          <w:sz w:val="32"/>
          <w:szCs w:val="32"/>
        </w:rPr>
        <w:t>建设项目竣工环境保护“三同时”验收登记表</w:t>
      </w:r>
      <w:bookmarkEnd w:id="83"/>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Layout w:type="fixed"/>
        <w:tblCellMar>
          <w:top w:w="0" w:type="dxa"/>
          <w:left w:w="108" w:type="dxa"/>
          <w:bottom w:w="0" w:type="dxa"/>
          <w:right w:w="108" w:type="dxa"/>
        </w:tblCellMar>
      </w:tblPr>
      <w:tblGrid>
        <w:gridCol w:w="453"/>
        <w:gridCol w:w="122"/>
        <w:gridCol w:w="1539"/>
        <w:gridCol w:w="793"/>
        <w:gridCol w:w="764"/>
        <w:gridCol w:w="226"/>
        <w:gridCol w:w="542"/>
        <w:gridCol w:w="163"/>
        <w:gridCol w:w="594"/>
        <w:gridCol w:w="456"/>
        <w:gridCol w:w="473"/>
        <w:gridCol w:w="771"/>
        <w:gridCol w:w="961"/>
        <w:gridCol w:w="2160"/>
        <w:gridCol w:w="841"/>
        <w:gridCol w:w="543"/>
        <w:gridCol w:w="357"/>
        <w:gridCol w:w="230"/>
        <w:gridCol w:w="746"/>
        <w:gridCol w:w="556"/>
        <w:gridCol w:w="8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70" w:hRule="atLeast"/>
          <w:jc w:val="center"/>
        </w:trPr>
        <w:tc>
          <w:tcPr>
            <w:tcW w:w="5000" w:type="pct"/>
            <w:gridSpan w:val="21"/>
            <w:tcBorders>
              <w:top w:val="nil"/>
              <w:left w:val="nil"/>
              <w:bottom w:val="single" w:color="auto" w:sz="4" w:space="0"/>
              <w:right w:val="nil"/>
            </w:tcBorders>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填表单位(盖章)：                                             填表人(签字)：                                         项目经办人(签字)：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70" w:hRule="atLeast"/>
          <w:jc w:val="center"/>
        </w:trPr>
        <w:tc>
          <w:tcPr>
            <w:tcW w:w="159" w:type="pct"/>
            <w:vMerge w:val="restart"/>
            <w:tcBorders>
              <w:top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建设项目</w:t>
            </w:r>
          </w:p>
        </w:tc>
        <w:tc>
          <w:tcPr>
            <w:tcW w:w="585" w:type="pct"/>
            <w:gridSpan w:val="2"/>
            <w:tcBorders>
              <w:top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项目名称</w:t>
            </w:r>
          </w:p>
        </w:tc>
        <w:tc>
          <w:tcPr>
            <w:tcW w:w="1414" w:type="pct"/>
            <w:gridSpan w:val="8"/>
            <w:tcBorders>
              <w:top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山东豪瑞恩全球高端制剂项目（一期）</w:t>
            </w:r>
          </w:p>
        </w:tc>
        <w:tc>
          <w:tcPr>
            <w:tcW w:w="610" w:type="pct"/>
            <w:gridSpan w:val="2"/>
            <w:tcBorders>
              <w:top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项目代码</w:t>
            </w:r>
          </w:p>
        </w:tc>
        <w:tc>
          <w:tcPr>
            <w:tcW w:w="761" w:type="pct"/>
            <w:tcBorders>
              <w:top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2110-371772-04-01-171339</w:t>
            </w:r>
          </w:p>
        </w:tc>
        <w:tc>
          <w:tcPr>
            <w:tcW w:w="488" w:type="pct"/>
            <w:gridSpan w:val="2"/>
            <w:tcBorders>
              <w:top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建设地点</w:t>
            </w:r>
          </w:p>
        </w:tc>
        <w:tc>
          <w:tcPr>
            <w:tcW w:w="978" w:type="pct"/>
            <w:gridSpan w:val="5"/>
            <w:tcBorders>
              <w:top w:val="single" w:color="auto" w:sz="4" w:space="0"/>
            </w:tcBorders>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山东省菏泽市高新区北环路2999号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59" w:type="pct"/>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85"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行业类别(分类管理名录)</w:t>
            </w:r>
          </w:p>
        </w:tc>
        <w:tc>
          <w:tcPr>
            <w:tcW w:w="1414" w:type="pct"/>
            <w:gridSpan w:val="8"/>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C2720化学药品制剂制造</w:t>
            </w:r>
          </w:p>
        </w:tc>
        <w:tc>
          <w:tcPr>
            <w:tcW w:w="61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建设性质</w:t>
            </w:r>
          </w:p>
        </w:tc>
        <w:tc>
          <w:tcPr>
            <w:tcW w:w="1250" w:type="pct"/>
            <w:gridSpan w:val="3"/>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sym w:font="Wingdings 2" w:char="0052"/>
            </w:r>
            <w:r>
              <w:rPr>
                <w:rFonts w:hint="default" w:ascii="Times New Roman" w:hAnsi="Times New Roman" w:eastAsia="宋体" w:cs="Times New Roman"/>
                <w:sz w:val="18"/>
                <w:szCs w:val="18"/>
                <w:lang w:val="en-US" w:eastAsia="zh-CN"/>
              </w:rPr>
              <w:t>新建□改扩建□技术改造</w:t>
            </w:r>
          </w:p>
        </w:tc>
        <w:tc>
          <w:tcPr>
            <w:tcW w:w="470" w:type="pct"/>
            <w:gridSpan w:val="3"/>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项目厂区中心经度/纬度</w:t>
            </w:r>
          </w:p>
        </w:tc>
        <w:tc>
          <w:tcPr>
            <w:tcW w:w="50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东经</w:t>
            </w:r>
            <w:r>
              <w:rPr>
                <w:rFonts w:hint="eastAsia" w:ascii="Times New Roman" w:hAnsi="Times New Roman" w:eastAsia="宋体" w:cs="Times New Roman"/>
                <w:sz w:val="18"/>
                <w:szCs w:val="18"/>
                <w:lang w:val="en-US" w:eastAsia="zh-CN"/>
              </w:rPr>
              <w:t>：</w:t>
            </w:r>
            <w:r>
              <w:rPr>
                <w:rFonts w:hint="default" w:ascii="Times New Roman" w:hAnsi="Times New Roman" w:eastAsia="宋体" w:cs="Times New Roman"/>
                <w:sz w:val="18"/>
                <w:szCs w:val="18"/>
                <w:lang w:val="en-US" w:eastAsia="zh-CN"/>
              </w:rPr>
              <w:t>115°</w:t>
            </w:r>
            <w:r>
              <w:rPr>
                <w:rFonts w:hint="eastAsia" w:ascii="Times New Roman" w:hAnsi="Times New Roman" w:eastAsia="宋体" w:cs="Times New Roman"/>
                <w:sz w:val="18"/>
                <w:szCs w:val="18"/>
                <w:lang w:val="en-US" w:eastAsia="zh-CN"/>
              </w:rPr>
              <w:t>25</w:t>
            </w:r>
            <w:r>
              <w:rPr>
                <w:rFonts w:hint="default" w:ascii="Times New Roman" w:hAnsi="Times New Roman" w:eastAsia="宋体" w:cs="Times New Roman"/>
                <w:sz w:val="18"/>
                <w:szCs w:val="18"/>
                <w:lang w:val="en-US" w:eastAsia="zh-CN"/>
              </w:rPr>
              <w:t>′</w:t>
            </w:r>
            <w:r>
              <w:rPr>
                <w:rFonts w:hint="eastAsia" w:ascii="Times New Roman" w:hAnsi="Times New Roman" w:eastAsia="宋体" w:cs="Times New Roman"/>
                <w:sz w:val="18"/>
                <w:szCs w:val="18"/>
                <w:lang w:val="en-US" w:eastAsia="zh-CN"/>
              </w:rPr>
              <w:t>06.999</w:t>
            </w:r>
            <w:r>
              <w:rPr>
                <w:rFonts w:hint="default" w:ascii="Times New Roman" w:hAnsi="Times New Roman" w:eastAsia="宋体" w:cs="Times New Roman"/>
                <w:sz w:val="18"/>
                <w:szCs w:val="18"/>
                <w:lang w:val="en-US" w:eastAsia="zh-CN"/>
              </w:rPr>
              <w:t>″，北纬35°1</w:t>
            </w:r>
            <w:r>
              <w:rPr>
                <w:rFonts w:hint="eastAsia" w:ascii="Times New Roman" w:hAnsi="Times New Roman" w:eastAsia="宋体" w:cs="Times New Roman"/>
                <w:sz w:val="18"/>
                <w:szCs w:val="18"/>
                <w:lang w:val="en-US" w:eastAsia="zh-CN"/>
              </w:rPr>
              <w:t>7</w:t>
            </w:r>
            <w:r>
              <w:rPr>
                <w:rFonts w:hint="default" w:ascii="Times New Roman" w:hAnsi="Times New Roman" w:eastAsia="宋体" w:cs="Times New Roman"/>
                <w:sz w:val="18"/>
                <w:szCs w:val="18"/>
                <w:lang w:val="en-US" w:eastAsia="zh-CN"/>
              </w:rPr>
              <w:t>′</w:t>
            </w:r>
            <w:r>
              <w:rPr>
                <w:rFonts w:hint="eastAsia" w:ascii="Times New Roman" w:hAnsi="Times New Roman" w:eastAsia="宋体" w:cs="Times New Roman"/>
                <w:sz w:val="18"/>
                <w:szCs w:val="18"/>
                <w:lang w:val="en-US" w:eastAsia="zh-CN"/>
              </w:rPr>
              <w:t>15</w:t>
            </w:r>
            <w:r>
              <w:rPr>
                <w:rFonts w:hint="default" w:ascii="Times New Roman" w:hAnsi="Times New Roman" w:eastAsia="宋体" w:cs="Times New Roman"/>
                <w:sz w:val="18"/>
                <w:szCs w:val="18"/>
                <w:lang w:val="en-US" w:eastAsia="zh-CN"/>
              </w:rPr>
              <w:t>.</w:t>
            </w:r>
            <w:r>
              <w:rPr>
                <w:rFonts w:hint="eastAsia" w:ascii="Times New Roman" w:hAnsi="Times New Roman" w:eastAsia="宋体" w:cs="Times New Roman"/>
                <w:sz w:val="18"/>
                <w:szCs w:val="18"/>
                <w:lang w:val="en-US" w:eastAsia="zh-CN"/>
              </w:rPr>
              <w:t>31</w:t>
            </w:r>
            <w:r>
              <w:rPr>
                <w:rFonts w:hint="default" w:ascii="Times New Roman" w:hAnsi="Times New Roman" w:eastAsia="宋体" w:cs="Times New Roman"/>
                <w:sz w:val="18"/>
                <w:szCs w:val="18"/>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59" w:type="pct"/>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85"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设计生产能力</w:t>
            </w:r>
          </w:p>
        </w:tc>
        <w:tc>
          <w:tcPr>
            <w:tcW w:w="1414" w:type="pct"/>
            <w:gridSpan w:val="8"/>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eastAsia="zh-CN"/>
              </w:rPr>
            </w:pPr>
            <w:r>
              <w:rPr>
                <w:rFonts w:hint="eastAsia" w:ascii="Times New Roman" w:hAnsi="Times New Roman" w:eastAsia="宋体" w:cs="Times New Roman"/>
                <w:sz w:val="18"/>
                <w:szCs w:val="18"/>
                <w:lang w:val="en-US" w:eastAsia="zh-CN"/>
              </w:rPr>
              <w:t>左氧氟沙星氯化钠注射液3250万袋、氟康</w:t>
            </w:r>
            <w:r>
              <w:rPr>
                <w:rFonts w:hint="default" w:ascii="Times New Roman" w:hAnsi="Times New Roman" w:eastAsia="宋体" w:cs="Times New Roman"/>
                <w:sz w:val="18"/>
                <w:szCs w:val="18"/>
                <w:lang w:val="en-US" w:eastAsia="zh-CN"/>
              </w:rPr>
              <w:t>唑</w:t>
            </w:r>
            <w:r>
              <w:rPr>
                <w:rFonts w:hint="eastAsia" w:ascii="Times New Roman" w:hAnsi="Times New Roman" w:eastAsia="宋体" w:cs="Times New Roman"/>
                <w:sz w:val="18"/>
                <w:szCs w:val="18"/>
                <w:lang w:val="en-US" w:eastAsia="zh-CN"/>
              </w:rPr>
              <w:t>氯化钠注射液64万袋、米力农葡萄糖注射液200万袋、复方氨基酸注射液（18AA-SF））800万袋，共计4314万袋；大容量（玻璃瓶）注射剂产品：</w:t>
            </w:r>
            <w:r>
              <w:rPr>
                <w:rFonts w:hint="default" w:ascii="Times New Roman" w:hAnsi="Times New Roman" w:eastAsia="宋体" w:cs="Times New Roman"/>
                <w:sz w:val="18"/>
                <w:szCs w:val="18"/>
                <w:lang w:val="en-US" w:eastAsia="zh-CN"/>
              </w:rPr>
              <w:t>丙氨酰谷氨酰胺注射液</w:t>
            </w:r>
            <w:r>
              <w:rPr>
                <w:rFonts w:hint="eastAsia" w:ascii="Times New Roman" w:hAnsi="Times New Roman" w:eastAsia="宋体" w:cs="Times New Roman"/>
                <w:sz w:val="18"/>
                <w:szCs w:val="18"/>
                <w:lang w:val="en-US" w:eastAsia="zh-CN"/>
              </w:rPr>
              <w:t>200万瓶、复方氨基酸注射液（18AA）150万瓶、复方氨基酸注射液（18AA--VII）850万瓶、复方氨基酸注射液（14AA）500万瓶、复方氨基酸注射液（14AA-SF））800万瓶，共计2500万瓶；小容量（安瓿瓶）注射剂产品：氨甲环酸注射液1000万支、胞磷胆碱钠注射液10000万支、维生素C注射液10000万支、维生素B6注射液500万支、钠钾镁钙注射用浓溶液500万支，共计2.23亿支；小容量（西林瓶）冻干注射剂产品：</w:t>
            </w:r>
            <w:r>
              <w:rPr>
                <w:rFonts w:hint="default" w:ascii="Times New Roman" w:hAnsi="Times New Roman" w:eastAsia="宋体" w:cs="Times New Roman"/>
                <w:sz w:val="18"/>
                <w:szCs w:val="18"/>
                <w:lang w:val="en-US" w:eastAsia="zh-CN"/>
              </w:rPr>
              <w:t>注射用奥美拉唑钠</w:t>
            </w:r>
            <w:r>
              <w:rPr>
                <w:rFonts w:hint="eastAsia" w:ascii="Times New Roman" w:hAnsi="Times New Roman" w:eastAsia="宋体" w:cs="Times New Roman"/>
                <w:sz w:val="18"/>
                <w:szCs w:val="18"/>
                <w:lang w:val="en-US" w:eastAsia="zh-CN"/>
              </w:rPr>
              <w:t>1000万支、注射用盐酸罗沙替丁醋酸酯300万支、注射用地尔硫卓300万支，共计1600万支</w:t>
            </w:r>
          </w:p>
        </w:tc>
        <w:tc>
          <w:tcPr>
            <w:tcW w:w="61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实际生产能力</w:t>
            </w: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eastAsia="zh-CN"/>
              </w:rPr>
            </w:pPr>
            <w:r>
              <w:rPr>
                <w:rFonts w:hint="eastAsia" w:ascii="Times New Roman" w:hAnsi="Times New Roman" w:eastAsia="宋体" w:cs="Times New Roman"/>
                <w:sz w:val="18"/>
                <w:szCs w:val="18"/>
                <w:lang w:val="en-US" w:eastAsia="zh-CN"/>
              </w:rPr>
              <w:t>年产小容量（安瓿瓶）注射剂产品：维生素B6注射液500万支、钠钾镁钙注射用浓溶液800万支，共计1300万支；小容量（西林瓶）冻干注射剂产品：注射用盐酸罗沙替丁醋酸酯80万支、注射用地尔硫卓80万支，共计160万支</w:t>
            </w:r>
          </w:p>
        </w:tc>
        <w:tc>
          <w:tcPr>
            <w:tcW w:w="488"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环评单位</w:t>
            </w:r>
          </w:p>
        </w:tc>
        <w:tc>
          <w:tcPr>
            <w:tcW w:w="978" w:type="pct"/>
            <w:gridSpan w:val="5"/>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山东国润环境科技有限公司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70" w:hRule="atLeast"/>
          <w:jc w:val="center"/>
        </w:trPr>
        <w:tc>
          <w:tcPr>
            <w:tcW w:w="159" w:type="pct"/>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85"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环评文件审批机关</w:t>
            </w:r>
          </w:p>
        </w:tc>
        <w:tc>
          <w:tcPr>
            <w:tcW w:w="1414" w:type="pct"/>
            <w:gridSpan w:val="8"/>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val="en-US" w:eastAsia="zh-CN"/>
              </w:rPr>
              <w:t>菏泽市</w:t>
            </w:r>
            <w:r>
              <w:rPr>
                <w:rFonts w:hint="eastAsia" w:ascii="Times New Roman" w:hAnsi="Times New Roman" w:eastAsia="宋体" w:cs="Times New Roman"/>
                <w:sz w:val="18"/>
                <w:szCs w:val="18"/>
                <w:lang w:val="en-US" w:eastAsia="zh-CN"/>
              </w:rPr>
              <w:t>鲁西新区行政审批服务局</w:t>
            </w:r>
          </w:p>
        </w:tc>
        <w:tc>
          <w:tcPr>
            <w:tcW w:w="61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审批文号</w:t>
            </w: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eastAsia" w:ascii="Times New Roman" w:hAnsi="Times New Roman" w:eastAsia="宋体" w:cs="Times New Roman"/>
                <w:sz w:val="18"/>
                <w:szCs w:val="18"/>
                <w:lang w:val="en-US" w:eastAsia="zh-CN"/>
              </w:rPr>
              <w:t>菏新行</w:t>
            </w:r>
            <w:r>
              <w:rPr>
                <w:rFonts w:hint="default" w:ascii="Times New Roman" w:hAnsi="Times New Roman" w:eastAsia="宋体" w:cs="Times New Roman"/>
                <w:sz w:val="18"/>
                <w:szCs w:val="18"/>
                <w:lang w:eastAsia="zh-CN"/>
              </w:rPr>
              <w:t>审【202</w:t>
            </w:r>
            <w:r>
              <w:rPr>
                <w:rFonts w:hint="eastAsia" w:ascii="Times New Roman" w:hAnsi="Times New Roman" w:eastAsia="宋体" w:cs="Times New Roman"/>
                <w:sz w:val="18"/>
                <w:szCs w:val="18"/>
                <w:lang w:val="en-US" w:eastAsia="zh-CN"/>
              </w:rPr>
              <w:t>3</w:t>
            </w:r>
            <w:r>
              <w:rPr>
                <w:rFonts w:hint="default" w:ascii="Times New Roman" w:hAnsi="Times New Roman" w:eastAsia="宋体" w:cs="Times New Roman"/>
                <w:sz w:val="18"/>
                <w:szCs w:val="18"/>
                <w:lang w:eastAsia="zh-CN"/>
              </w:rPr>
              <w:t>】</w:t>
            </w:r>
            <w:r>
              <w:rPr>
                <w:rFonts w:hint="eastAsia" w:ascii="Times New Roman" w:hAnsi="Times New Roman" w:eastAsia="宋体" w:cs="Times New Roman"/>
                <w:sz w:val="18"/>
                <w:szCs w:val="18"/>
                <w:lang w:val="en-US" w:eastAsia="zh-CN"/>
              </w:rPr>
              <w:t>22</w:t>
            </w:r>
            <w:r>
              <w:rPr>
                <w:rFonts w:hint="default" w:ascii="Times New Roman" w:hAnsi="Times New Roman" w:eastAsia="宋体" w:cs="Times New Roman"/>
                <w:sz w:val="18"/>
                <w:szCs w:val="18"/>
                <w:lang w:eastAsia="zh-CN"/>
              </w:rPr>
              <w:t>号</w:t>
            </w:r>
          </w:p>
        </w:tc>
        <w:tc>
          <w:tcPr>
            <w:tcW w:w="488"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环评文件类型</w:t>
            </w:r>
          </w:p>
        </w:tc>
        <w:tc>
          <w:tcPr>
            <w:tcW w:w="978" w:type="pct"/>
            <w:gridSpan w:val="5"/>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环境影响报告表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70" w:hRule="atLeast"/>
          <w:jc w:val="center"/>
        </w:trPr>
        <w:tc>
          <w:tcPr>
            <w:tcW w:w="159" w:type="pct"/>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85"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开工日期</w:t>
            </w:r>
          </w:p>
        </w:tc>
        <w:tc>
          <w:tcPr>
            <w:tcW w:w="1414" w:type="pct"/>
            <w:gridSpan w:val="8"/>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2023.11</w:t>
            </w:r>
          </w:p>
        </w:tc>
        <w:tc>
          <w:tcPr>
            <w:tcW w:w="61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竣工日期</w:t>
            </w: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202</w:t>
            </w:r>
            <w:r>
              <w:rPr>
                <w:rFonts w:hint="eastAsia" w:ascii="Times New Roman" w:hAnsi="Times New Roman" w:eastAsia="宋体" w:cs="Times New Roman"/>
                <w:sz w:val="18"/>
                <w:szCs w:val="18"/>
                <w:lang w:val="en-US" w:eastAsia="zh-CN"/>
              </w:rPr>
              <w:t>3</w:t>
            </w:r>
            <w:r>
              <w:rPr>
                <w:rFonts w:hint="default" w:ascii="Times New Roman" w:hAnsi="Times New Roman" w:eastAsia="宋体" w:cs="Times New Roman"/>
                <w:sz w:val="18"/>
                <w:szCs w:val="18"/>
              </w:rPr>
              <w:t>年</w:t>
            </w:r>
            <w:r>
              <w:rPr>
                <w:rFonts w:hint="eastAsia" w:ascii="Times New Roman" w:hAnsi="Times New Roman" w:eastAsia="宋体" w:cs="Times New Roman"/>
                <w:sz w:val="18"/>
                <w:szCs w:val="18"/>
                <w:lang w:val="en-US" w:eastAsia="zh-CN"/>
              </w:rPr>
              <w:t>12</w:t>
            </w:r>
            <w:r>
              <w:rPr>
                <w:rFonts w:hint="default" w:ascii="Times New Roman" w:hAnsi="Times New Roman" w:eastAsia="宋体" w:cs="Times New Roman"/>
                <w:sz w:val="18"/>
                <w:szCs w:val="18"/>
              </w:rPr>
              <w:t>月</w:t>
            </w:r>
          </w:p>
        </w:tc>
        <w:tc>
          <w:tcPr>
            <w:tcW w:w="488"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pacing w:val="-20"/>
                <w:sz w:val="18"/>
                <w:szCs w:val="18"/>
              </w:rPr>
            </w:pPr>
            <w:r>
              <w:rPr>
                <w:rFonts w:hint="default" w:ascii="Times New Roman" w:hAnsi="Times New Roman" w:eastAsia="宋体" w:cs="Times New Roman"/>
                <w:sz w:val="18"/>
                <w:szCs w:val="18"/>
              </w:rPr>
              <w:t>排污许可证申领时间</w:t>
            </w:r>
          </w:p>
        </w:tc>
        <w:tc>
          <w:tcPr>
            <w:tcW w:w="978" w:type="pct"/>
            <w:gridSpan w:val="5"/>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sz w:val="18"/>
                <w:szCs w:val="18"/>
                <w:lang w:val="en-US" w:eastAsia="zh-CN"/>
              </w:rPr>
            </w:pPr>
            <w:r>
              <w:rPr>
                <w:rFonts w:hint="default" w:ascii="Times New Roman" w:hAnsi="Times New Roman" w:eastAsia="宋体" w:cs="Times New Roman"/>
                <w:color w:val="auto"/>
                <w:sz w:val="18"/>
                <w:szCs w:val="18"/>
              </w:rPr>
              <w:t>202</w:t>
            </w:r>
            <w:r>
              <w:rPr>
                <w:rFonts w:hint="eastAsia" w:ascii="Times New Roman" w:hAnsi="Times New Roman" w:eastAsia="宋体" w:cs="Times New Roman"/>
                <w:color w:val="auto"/>
                <w:sz w:val="18"/>
                <w:szCs w:val="18"/>
                <w:lang w:val="en-US" w:eastAsia="zh-CN"/>
              </w:rPr>
              <w:t>3</w:t>
            </w:r>
            <w:r>
              <w:rPr>
                <w:rFonts w:hint="default" w:ascii="Times New Roman" w:hAnsi="Times New Roman" w:eastAsia="宋体" w:cs="Times New Roman"/>
                <w:color w:val="auto"/>
                <w:sz w:val="18"/>
                <w:szCs w:val="18"/>
                <w:lang w:val="en-US" w:eastAsia="zh-CN"/>
              </w:rPr>
              <w:t>.</w:t>
            </w:r>
            <w:r>
              <w:rPr>
                <w:rFonts w:hint="eastAsia" w:ascii="Times New Roman" w:hAnsi="Times New Roman" w:eastAsia="宋体" w:cs="Times New Roman"/>
                <w:color w:val="auto"/>
                <w:sz w:val="18"/>
                <w:szCs w:val="18"/>
                <w:lang w:val="en-US" w:eastAsia="zh-CN"/>
              </w:rPr>
              <w:t>12.05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59" w:type="pct"/>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85"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环保设施设计单位</w:t>
            </w:r>
          </w:p>
        </w:tc>
        <w:tc>
          <w:tcPr>
            <w:tcW w:w="1414" w:type="pct"/>
            <w:gridSpan w:val="8"/>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61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环保设施施工单位</w:t>
            </w: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488"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lang w:val="en-US" w:eastAsia="zh-CN"/>
              </w:rPr>
              <w:t>本工程排污许可证编号</w:t>
            </w:r>
          </w:p>
        </w:tc>
        <w:tc>
          <w:tcPr>
            <w:tcW w:w="978" w:type="pct"/>
            <w:gridSpan w:val="5"/>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913717005793562082001X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70" w:hRule="atLeast"/>
          <w:jc w:val="center"/>
        </w:trPr>
        <w:tc>
          <w:tcPr>
            <w:tcW w:w="159" w:type="pct"/>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85"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验收单位</w:t>
            </w:r>
          </w:p>
        </w:tc>
        <w:tc>
          <w:tcPr>
            <w:tcW w:w="1414" w:type="pct"/>
            <w:gridSpan w:val="8"/>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61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环保设施监测单位</w:t>
            </w: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FF0000"/>
                <w:sz w:val="18"/>
                <w:szCs w:val="18"/>
                <w:lang w:eastAsia="zh-CN"/>
              </w:rPr>
            </w:pPr>
            <w:r>
              <w:rPr>
                <w:rFonts w:hint="eastAsia" w:ascii="Times New Roman" w:hAnsi="Times New Roman" w:eastAsia="宋体" w:cs="Times New Roman"/>
                <w:sz w:val="18"/>
                <w:szCs w:val="18"/>
                <w:lang w:val="en-US" w:eastAsia="zh-CN"/>
              </w:rPr>
              <w:t>山东汇成检测科技有限公司</w:t>
            </w:r>
          </w:p>
        </w:tc>
        <w:tc>
          <w:tcPr>
            <w:tcW w:w="488"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验收监测时工况</w:t>
            </w:r>
          </w:p>
        </w:tc>
        <w:tc>
          <w:tcPr>
            <w:tcW w:w="978" w:type="pct"/>
            <w:gridSpan w:val="5"/>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eastAsia" w:ascii="Times New Roman" w:hAnsi="Times New Roman" w:eastAsia="宋体" w:cs="Times New Roman"/>
                <w:sz w:val="18"/>
                <w:szCs w:val="18"/>
                <w:lang w:val="en-US" w:eastAsia="zh-CN"/>
              </w:rPr>
              <w:t>90</w:t>
            </w:r>
            <w:r>
              <w:rPr>
                <w:rFonts w:hint="default" w:ascii="Times New Roman" w:hAnsi="Times New Roman" w:eastAsia="宋体" w:cs="Times New Roman"/>
                <w:sz w:val="18"/>
                <w:szCs w:val="18"/>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70" w:hRule="atLeast"/>
          <w:jc w:val="center"/>
        </w:trPr>
        <w:tc>
          <w:tcPr>
            <w:tcW w:w="159" w:type="pct"/>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85"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投资总概算(万元)</w:t>
            </w:r>
          </w:p>
        </w:tc>
        <w:tc>
          <w:tcPr>
            <w:tcW w:w="1414" w:type="pct"/>
            <w:gridSpan w:val="8"/>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120000</w:t>
            </w:r>
          </w:p>
        </w:tc>
        <w:tc>
          <w:tcPr>
            <w:tcW w:w="61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环保投资总概算(万元)</w:t>
            </w: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500</w:t>
            </w:r>
          </w:p>
        </w:tc>
        <w:tc>
          <w:tcPr>
            <w:tcW w:w="488"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所占比例(%)</w:t>
            </w:r>
          </w:p>
        </w:tc>
        <w:tc>
          <w:tcPr>
            <w:tcW w:w="978" w:type="pct"/>
            <w:gridSpan w:val="5"/>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59" w:type="pct"/>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85"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实际总投资(万元)</w:t>
            </w:r>
          </w:p>
        </w:tc>
        <w:tc>
          <w:tcPr>
            <w:tcW w:w="1414" w:type="pct"/>
            <w:gridSpan w:val="8"/>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10100</w:t>
            </w:r>
          </w:p>
        </w:tc>
        <w:tc>
          <w:tcPr>
            <w:tcW w:w="61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实际环保投资(万元)</w:t>
            </w: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150</w:t>
            </w:r>
          </w:p>
        </w:tc>
        <w:tc>
          <w:tcPr>
            <w:tcW w:w="488"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所占比例(%)</w:t>
            </w:r>
          </w:p>
        </w:tc>
        <w:tc>
          <w:tcPr>
            <w:tcW w:w="978" w:type="pct"/>
            <w:gridSpan w:val="5"/>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59" w:type="pct"/>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85"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废水治理(万元)</w:t>
            </w:r>
          </w:p>
        </w:tc>
        <w:tc>
          <w:tcPr>
            <w:tcW w:w="27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57.5</w:t>
            </w:r>
          </w:p>
        </w:tc>
        <w:tc>
          <w:tcPr>
            <w:tcW w:w="349"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废气治理(万元)</w:t>
            </w:r>
          </w:p>
        </w:tc>
        <w:tc>
          <w:tcPr>
            <w:tcW w:w="248"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49</w:t>
            </w:r>
          </w:p>
        </w:tc>
        <w:tc>
          <w:tcPr>
            <w:tcW w:w="37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噪声治理(万元)</w:t>
            </w:r>
          </w:p>
        </w:tc>
        <w:tc>
          <w:tcPr>
            <w:tcW w:w="166"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37.9</w:t>
            </w:r>
          </w:p>
        </w:tc>
        <w:tc>
          <w:tcPr>
            <w:tcW w:w="61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固体废物治理</w:t>
            </w:r>
          </w:p>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(万元)</w:t>
            </w: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5.6</w:t>
            </w:r>
          </w:p>
        </w:tc>
        <w:tc>
          <w:tcPr>
            <w:tcW w:w="488"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绿化及生态(万元)</w:t>
            </w:r>
          </w:p>
        </w:tc>
        <w:tc>
          <w:tcPr>
            <w:tcW w:w="20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val="en-US" w:eastAsia="zh-CN"/>
              </w:rPr>
              <w:t>/</w:t>
            </w:r>
          </w:p>
        </w:tc>
        <w:tc>
          <w:tcPr>
            <w:tcW w:w="459"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其他(万元)</w:t>
            </w:r>
          </w:p>
        </w:tc>
        <w:tc>
          <w:tcPr>
            <w:tcW w:w="311" w:type="pct"/>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59" w:type="pct"/>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85"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新增废水处理设施能力</w:t>
            </w:r>
          </w:p>
        </w:tc>
        <w:tc>
          <w:tcPr>
            <w:tcW w:w="1414" w:type="pct"/>
            <w:gridSpan w:val="8"/>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p>
        </w:tc>
        <w:tc>
          <w:tcPr>
            <w:tcW w:w="61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新增废气处理设施能力</w:t>
            </w: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20"/>
                <w:sz w:val="18"/>
                <w:szCs w:val="18"/>
              </w:rPr>
            </w:pPr>
          </w:p>
        </w:tc>
        <w:tc>
          <w:tcPr>
            <w:tcW w:w="488"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年平均工作时</w:t>
            </w:r>
          </w:p>
        </w:tc>
        <w:tc>
          <w:tcPr>
            <w:tcW w:w="978" w:type="pct"/>
            <w:gridSpan w:val="5"/>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eastAsia" w:ascii="Times New Roman" w:hAnsi="Times New Roman" w:eastAsia="宋体" w:cs="Times New Roman"/>
                <w:sz w:val="18"/>
                <w:szCs w:val="18"/>
                <w:lang w:val="en-US" w:eastAsia="zh-CN"/>
              </w:rPr>
              <w:t>72</w:t>
            </w:r>
            <w:r>
              <w:rPr>
                <w:rFonts w:hint="default" w:ascii="Times New Roman" w:hAnsi="Times New Roman" w:eastAsia="宋体" w:cs="Times New Roman"/>
                <w:sz w:val="18"/>
                <w:szCs w:val="18"/>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70" w:hRule="atLeast"/>
          <w:jc w:val="center"/>
        </w:trPr>
        <w:tc>
          <w:tcPr>
            <w:tcW w:w="745" w:type="pct"/>
            <w:gridSpan w:val="3"/>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运营单位</w:t>
            </w:r>
          </w:p>
        </w:tc>
        <w:tc>
          <w:tcPr>
            <w:tcW w:w="820" w:type="pct"/>
            <w:gridSpan w:val="4"/>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eastAsia" w:ascii="Times New Roman" w:hAnsi="Times New Roman" w:eastAsia="宋体" w:cs="Times New Roman"/>
                <w:color w:val="000000"/>
                <w:kern w:val="0"/>
                <w:sz w:val="18"/>
                <w:szCs w:val="18"/>
                <w:lang w:val="en-US" w:eastAsia="zh-CN" w:bidi="ar"/>
              </w:rPr>
              <w:t>泰安市火土工贸有限公司成武县分公司</w:t>
            </w:r>
          </w:p>
        </w:tc>
        <w:tc>
          <w:tcPr>
            <w:tcW w:w="1205" w:type="pct"/>
            <w:gridSpan w:val="6"/>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运营单位统一社会信用代码(或组织机构代码)</w:t>
            </w: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20"/>
                <w:sz w:val="18"/>
                <w:szCs w:val="18"/>
                <w:lang w:val="en-US" w:eastAsia="zh-CN"/>
              </w:rPr>
            </w:pPr>
            <w:r>
              <w:rPr>
                <w:rFonts w:hint="default" w:ascii="Times New Roman" w:hAnsi="Times New Roman" w:eastAsia="宋体" w:cs="Times New Roman"/>
                <w:sz w:val="18"/>
                <w:szCs w:val="18"/>
                <w:lang w:val="en-US" w:eastAsia="zh-CN"/>
              </w:rPr>
              <w:t>91371723MACQDYDB99</w:t>
            </w:r>
          </w:p>
        </w:tc>
        <w:tc>
          <w:tcPr>
            <w:tcW w:w="488" w:type="pct"/>
            <w:gridSpan w:val="2"/>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验收时间</w:t>
            </w:r>
          </w:p>
        </w:tc>
        <w:tc>
          <w:tcPr>
            <w:tcW w:w="978" w:type="pct"/>
            <w:gridSpan w:val="5"/>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rPr>
              <w:t>202</w:t>
            </w:r>
            <w:r>
              <w:rPr>
                <w:rFonts w:hint="eastAsia" w:ascii="Times New Roman" w:hAnsi="Times New Roman" w:eastAsia="宋体" w:cs="Times New Roman"/>
                <w:sz w:val="18"/>
                <w:szCs w:val="18"/>
                <w:lang w:val="en-US" w:eastAsia="zh-CN"/>
              </w:rPr>
              <w:t>3.12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70" w:hRule="atLeast"/>
          <w:jc w:val="center"/>
        </w:trPr>
        <w:tc>
          <w:tcPr>
            <w:tcW w:w="202" w:type="pct"/>
            <w:gridSpan w:val="2"/>
            <w:vMerge w:val="restar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污染物排放达标与总量控制(工业建设项目详填)</w:t>
            </w:r>
          </w:p>
        </w:tc>
        <w:tc>
          <w:tcPr>
            <w:tcW w:w="542"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污染物</w:t>
            </w:r>
          </w:p>
        </w:tc>
        <w:tc>
          <w:tcPr>
            <w:tcW w:w="27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pacing w:val="-20"/>
                <w:sz w:val="18"/>
                <w:szCs w:val="18"/>
              </w:rPr>
              <w:t>原有排放量(1)</w:t>
            </w:r>
          </w:p>
        </w:tc>
        <w:tc>
          <w:tcPr>
            <w:tcW w:w="26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本期工程实际排放浓度(2)</w:t>
            </w:r>
          </w:p>
        </w:tc>
        <w:tc>
          <w:tcPr>
            <w:tcW w:w="27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本期工程允许排放浓度(3)</w:t>
            </w:r>
          </w:p>
        </w:tc>
        <w:tc>
          <w:tcPr>
            <w:tcW w:w="26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本期工程产生量(4)</w:t>
            </w:r>
          </w:p>
        </w:tc>
        <w:tc>
          <w:tcPr>
            <w:tcW w:w="32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本期工程自身削减量(5)</w:t>
            </w:r>
          </w:p>
        </w:tc>
        <w:tc>
          <w:tcPr>
            <w:tcW w:w="27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本期工程实际排放量(6)</w:t>
            </w:r>
          </w:p>
        </w:tc>
        <w:tc>
          <w:tcPr>
            <w:tcW w:w="33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本期工程核定排放(7)</w:t>
            </w: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本期工程“以新带老”削减量(8)</w:t>
            </w:r>
          </w:p>
        </w:tc>
        <w:tc>
          <w:tcPr>
            <w:tcW w:w="296"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全厂实际排放量(9)</w:t>
            </w:r>
          </w:p>
        </w:tc>
        <w:tc>
          <w:tcPr>
            <w:tcW w:w="31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全厂核定排放总量(10)</w:t>
            </w:r>
          </w:p>
        </w:tc>
        <w:tc>
          <w:tcPr>
            <w:tcW w:w="344"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区域平衡替代削减量(11)</w:t>
            </w:r>
          </w:p>
        </w:tc>
        <w:tc>
          <w:tcPr>
            <w:tcW w:w="50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排放增减量(12)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70" w:hRule="atLeast"/>
          <w:jc w:val="center"/>
        </w:trPr>
        <w:tc>
          <w:tcPr>
            <w:tcW w:w="202" w:type="pct"/>
            <w:gridSpan w:val="2"/>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bCs/>
                <w:color w:val="auto"/>
                <w:sz w:val="18"/>
                <w:szCs w:val="18"/>
              </w:rPr>
              <w:t>废水</w:t>
            </w:r>
          </w:p>
        </w:tc>
        <w:tc>
          <w:tcPr>
            <w:tcW w:w="27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3092.2</w:t>
            </w:r>
          </w:p>
        </w:tc>
        <w:tc>
          <w:tcPr>
            <w:tcW w:w="32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eastAsia" w:ascii="Times New Roman" w:hAnsi="Times New Roman" w:eastAsia="宋体" w:cs="Times New Roman"/>
                <w:sz w:val="18"/>
                <w:szCs w:val="18"/>
                <w:lang w:val="en-US" w:eastAsia="zh-CN"/>
              </w:rPr>
              <w:t>3092.2</w:t>
            </w:r>
          </w:p>
        </w:tc>
        <w:tc>
          <w:tcPr>
            <w:tcW w:w="33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96"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eastAsia" w:ascii="Times New Roman" w:hAnsi="Times New Roman" w:eastAsia="宋体" w:cs="Times New Roman"/>
                <w:sz w:val="18"/>
                <w:szCs w:val="18"/>
                <w:lang w:val="en-US" w:eastAsia="zh-CN"/>
              </w:rPr>
              <w:t>3092.2</w:t>
            </w:r>
          </w:p>
        </w:tc>
        <w:tc>
          <w:tcPr>
            <w:tcW w:w="31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44"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0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+3092.2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70" w:hRule="atLeast"/>
          <w:jc w:val="center"/>
        </w:trPr>
        <w:tc>
          <w:tcPr>
            <w:tcW w:w="202" w:type="pct"/>
            <w:gridSpan w:val="2"/>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化学需氧量</w:t>
            </w:r>
          </w:p>
        </w:tc>
        <w:tc>
          <w:tcPr>
            <w:tcW w:w="27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2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3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96"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44"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0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70" w:hRule="atLeast"/>
          <w:jc w:val="center"/>
        </w:trPr>
        <w:tc>
          <w:tcPr>
            <w:tcW w:w="202" w:type="pct"/>
            <w:gridSpan w:val="2"/>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氨氮</w:t>
            </w:r>
          </w:p>
        </w:tc>
        <w:tc>
          <w:tcPr>
            <w:tcW w:w="27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2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3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96"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44"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0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02" w:type="pct"/>
            <w:gridSpan w:val="2"/>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石油类</w:t>
            </w:r>
          </w:p>
        </w:tc>
        <w:tc>
          <w:tcPr>
            <w:tcW w:w="27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2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3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96"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44"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0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70" w:hRule="atLeast"/>
          <w:jc w:val="center"/>
        </w:trPr>
        <w:tc>
          <w:tcPr>
            <w:tcW w:w="202" w:type="pct"/>
            <w:gridSpan w:val="2"/>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bCs/>
                <w:sz w:val="18"/>
                <w:szCs w:val="18"/>
              </w:rPr>
              <w:t>废气</w:t>
            </w:r>
          </w:p>
        </w:tc>
        <w:tc>
          <w:tcPr>
            <w:tcW w:w="27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vertAlign w:val="superscript"/>
              </w:rPr>
            </w:pPr>
          </w:p>
        </w:tc>
        <w:tc>
          <w:tcPr>
            <w:tcW w:w="32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3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96"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44"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0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02" w:type="pct"/>
            <w:gridSpan w:val="2"/>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二氧化硫</w:t>
            </w:r>
          </w:p>
        </w:tc>
        <w:tc>
          <w:tcPr>
            <w:tcW w:w="27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2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3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96"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44"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0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02" w:type="pct"/>
            <w:gridSpan w:val="2"/>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烟尘</w:t>
            </w:r>
          </w:p>
        </w:tc>
        <w:tc>
          <w:tcPr>
            <w:tcW w:w="27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2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3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96"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44"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0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70" w:hRule="atLeast"/>
          <w:jc w:val="center"/>
        </w:trPr>
        <w:tc>
          <w:tcPr>
            <w:tcW w:w="202" w:type="pct"/>
            <w:gridSpan w:val="2"/>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工业粉尘</w:t>
            </w:r>
          </w:p>
        </w:tc>
        <w:tc>
          <w:tcPr>
            <w:tcW w:w="27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sz w:val="18"/>
                <w:szCs w:val="18"/>
              </w:rPr>
            </w:pPr>
          </w:p>
        </w:tc>
        <w:tc>
          <w:tcPr>
            <w:tcW w:w="26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18"/>
                <w:szCs w:val="18"/>
                <w:lang w:val="en-US" w:eastAsia="zh-CN" w:bidi="ar-SA"/>
              </w:rPr>
            </w:pPr>
          </w:p>
        </w:tc>
        <w:tc>
          <w:tcPr>
            <w:tcW w:w="27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18"/>
                <w:szCs w:val="18"/>
                <w:lang w:val="en-US" w:eastAsia="zh-CN" w:bidi="ar-SA"/>
              </w:rPr>
            </w:pPr>
          </w:p>
        </w:tc>
        <w:tc>
          <w:tcPr>
            <w:tcW w:w="26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18"/>
                <w:szCs w:val="18"/>
                <w:lang w:val="en-US" w:eastAsia="zh-CN" w:bidi="ar-SA"/>
              </w:rPr>
            </w:pPr>
          </w:p>
        </w:tc>
        <w:tc>
          <w:tcPr>
            <w:tcW w:w="32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18"/>
                <w:szCs w:val="18"/>
                <w:lang w:val="en-US" w:eastAsia="zh-CN" w:bidi="ar-SA"/>
              </w:rPr>
            </w:pPr>
          </w:p>
        </w:tc>
        <w:tc>
          <w:tcPr>
            <w:tcW w:w="27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kern w:val="2"/>
                <w:sz w:val="18"/>
                <w:szCs w:val="18"/>
                <w:lang w:val="en-US" w:eastAsia="zh-CN" w:bidi="ar-SA"/>
              </w:rPr>
            </w:pPr>
          </w:p>
        </w:tc>
        <w:tc>
          <w:tcPr>
            <w:tcW w:w="33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96"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44"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0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70" w:hRule="atLeast"/>
          <w:jc w:val="center"/>
        </w:trPr>
        <w:tc>
          <w:tcPr>
            <w:tcW w:w="202" w:type="pct"/>
            <w:gridSpan w:val="2"/>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氮氧化物</w:t>
            </w:r>
          </w:p>
        </w:tc>
        <w:tc>
          <w:tcPr>
            <w:tcW w:w="27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2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3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96"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44"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0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02" w:type="pct"/>
            <w:gridSpan w:val="2"/>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sz w:val="18"/>
                <w:szCs w:val="18"/>
              </w:rPr>
            </w:pPr>
            <w:r>
              <w:rPr>
                <w:rFonts w:hint="default" w:ascii="Times New Roman" w:hAnsi="Times New Roman" w:eastAsia="宋体" w:cs="Times New Roman"/>
                <w:bCs/>
                <w:sz w:val="18"/>
                <w:szCs w:val="18"/>
              </w:rPr>
              <w:t>工业固体废物</w:t>
            </w:r>
          </w:p>
        </w:tc>
        <w:tc>
          <w:tcPr>
            <w:tcW w:w="27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2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7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3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96"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1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44"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0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70" w:hRule="atLeast"/>
          <w:jc w:val="center"/>
        </w:trPr>
        <w:tc>
          <w:tcPr>
            <w:tcW w:w="202" w:type="pct"/>
            <w:gridSpan w:val="2"/>
            <w:vMerge w:val="continue"/>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42" w:type="pct"/>
            <w:shd w:val="clear" w:color="auto" w:fill="auto"/>
            <w:vAlign w:val="center"/>
          </w:tcPr>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bCs/>
                <w:sz w:val="18"/>
                <w:szCs w:val="18"/>
              </w:rPr>
            </w:pPr>
            <w:r>
              <w:rPr>
                <w:rFonts w:hint="default" w:ascii="Times New Roman" w:hAnsi="Times New Roman" w:eastAsia="宋体" w:cs="Times New Roman"/>
                <w:bCs/>
                <w:sz w:val="18"/>
                <w:szCs w:val="18"/>
              </w:rPr>
              <w:t>与项目有关其他特征污染物</w:t>
            </w:r>
          </w:p>
          <w:p>
            <w:pPr>
              <w:keepNext w:val="0"/>
              <w:keepLines w:val="0"/>
              <w:pageBreakBefore w:val="0"/>
              <w:kinsoku/>
              <w:wordWrap/>
              <w:overflowPunct/>
              <w:topLinePunct w:val="0"/>
              <w:autoSpaceDE/>
              <w:autoSpaceDN/>
              <w:bidi w:val="0"/>
              <w:adjustRightInd/>
              <w:snapToGrid/>
              <w:jc w:val="left"/>
              <w:textAlignment w:val="auto"/>
              <w:rPr>
                <w:rFonts w:hint="default" w:ascii="Times New Roman" w:hAnsi="Times New Roman" w:eastAsia="宋体" w:cs="Times New Roman"/>
                <w:bCs/>
                <w:sz w:val="18"/>
                <w:szCs w:val="18"/>
                <w:vertAlign w:val="subscript"/>
              </w:rPr>
            </w:pPr>
            <w:r>
              <w:rPr>
                <w:rFonts w:hint="default" w:ascii="Times New Roman" w:hAnsi="Times New Roman" w:eastAsia="宋体" w:cs="Times New Roman"/>
                <w:bCs/>
                <w:sz w:val="18"/>
                <w:szCs w:val="18"/>
                <w:lang w:val="en-US" w:eastAsia="zh-CN"/>
              </w:rPr>
              <w:t>VOCs</w:t>
            </w:r>
          </w:p>
        </w:tc>
        <w:tc>
          <w:tcPr>
            <w:tcW w:w="27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6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1.57</w:t>
            </w:r>
          </w:p>
        </w:tc>
        <w:tc>
          <w:tcPr>
            <w:tcW w:w="270"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60</w:t>
            </w:r>
          </w:p>
        </w:tc>
        <w:tc>
          <w:tcPr>
            <w:tcW w:w="26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0.0007</w:t>
            </w:r>
          </w:p>
        </w:tc>
        <w:tc>
          <w:tcPr>
            <w:tcW w:w="32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0.0006</w:t>
            </w:r>
          </w:p>
        </w:tc>
        <w:tc>
          <w:tcPr>
            <w:tcW w:w="27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0.0001</w:t>
            </w:r>
          </w:p>
        </w:tc>
        <w:tc>
          <w:tcPr>
            <w:tcW w:w="339"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761"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296" w:type="pct"/>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0.0001</w:t>
            </w:r>
          </w:p>
        </w:tc>
        <w:tc>
          <w:tcPr>
            <w:tcW w:w="31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344"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p>
        </w:tc>
        <w:tc>
          <w:tcPr>
            <w:tcW w:w="507" w:type="pct"/>
            <w:gridSpan w:val="2"/>
            <w:shd w:val="clear" w:color="auto" w:fill="auto"/>
            <w:vAlign w:val="center"/>
          </w:tcPr>
          <w:p>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+0.0001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170" w:hRule="atLeast"/>
          <w:jc w:val="center"/>
        </w:trPr>
        <w:tc>
          <w:tcPr>
            <w:tcW w:w="202" w:type="pct"/>
            <w:gridSpan w:val="2"/>
            <w:tcBorders>
              <w:left w:val="nil"/>
              <w:bottom w:val="nil"/>
              <w:right w:val="nil"/>
            </w:tcBorders>
            <w:shd w:val="clear" w:color="auto" w:fill="FFFFFF" w:themeFill="background1"/>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注：</w:t>
            </w:r>
          </w:p>
        </w:tc>
        <w:tc>
          <w:tcPr>
            <w:tcW w:w="4797" w:type="pct"/>
            <w:gridSpan w:val="19"/>
            <w:tcBorders>
              <w:left w:val="nil"/>
              <w:bottom w:val="nil"/>
              <w:right w:val="nil"/>
            </w:tcBorders>
            <w:shd w:val="clear" w:color="auto" w:fill="FFFFFF" w:themeFill="background1"/>
            <w:vAlign w:val="center"/>
          </w:tcPr>
          <w:p>
            <w:pPr>
              <w:keepNext w:val="0"/>
              <w:keepLines w:val="0"/>
              <w:pageBreakBefore w:val="0"/>
              <w:kinsoku/>
              <w:wordWrap/>
              <w:overflowPunct/>
              <w:topLinePunct w:val="0"/>
              <w:autoSpaceDE/>
              <w:autoSpaceDN/>
              <w:bidi w:val="0"/>
              <w:adjustRightInd/>
              <w:snapToGrid/>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排放增减量：(+)表示增加、(—)表示减少；2、(12)=(6)—(8)—(11)、(9)=(4)—(5)—(8)-(11)+(1)；3、计量单位：废水排放量——万吨/年；废气排放量——万标立方米/年；工业固体废物排放量——万吨/年；水污染排放浓度——毫克/升；</w:t>
            </w:r>
          </w:p>
        </w:tc>
      </w:tr>
    </w:tbl>
    <w:p>
      <w:pPr>
        <w:pStyle w:val="8"/>
        <w:spacing w:after="0" w:line="360" w:lineRule="auto"/>
        <w:ind w:left="0" w:firstLine="562" w:firstLineChars="200"/>
        <w:rPr>
          <w:rFonts w:hint="default" w:ascii="Times New Roman" w:hAnsi="Times New Roman" w:eastAsia="宋体" w:cs="Times New Roman"/>
          <w:b/>
          <w:sz w:val="28"/>
          <w:szCs w:val="28"/>
        </w:rPr>
        <w:sectPr>
          <w:pgSz w:w="16838" w:h="11906" w:orient="landscape"/>
          <w:pgMar w:top="1588" w:right="1440" w:bottom="1440" w:left="1440"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38"/>
        <w:spacing w:line="360" w:lineRule="auto"/>
        <w:ind w:firstLine="0" w:firstLineChars="0"/>
        <w:jc w:val="left"/>
        <w:outlineLvl w:val="1"/>
        <w:rPr>
          <w:rFonts w:hint="eastAsia" w:ascii="Times New Roman" w:hAnsi="Times New Roman" w:eastAsia="宋体" w:cs="Times New Roman"/>
          <w:b/>
          <w:sz w:val="28"/>
          <w:szCs w:val="32"/>
          <w:lang w:eastAsia="zh-CN"/>
        </w:rPr>
      </w:pPr>
      <w:bookmarkStart w:id="84" w:name="_Toc15105"/>
      <w:bookmarkStart w:id="85" w:name="_Toc523409009"/>
      <w:bookmarkStart w:id="86" w:name="_Toc523388557"/>
      <w:r>
        <w:rPr>
          <w:rFonts w:hint="default" w:ascii="Times New Roman" w:hAnsi="Times New Roman" w:eastAsia="宋体" w:cs="Times New Roman"/>
          <w:b/>
          <w:sz w:val="28"/>
          <w:szCs w:val="32"/>
        </w:rPr>
        <w:t>附件1：</w:t>
      </w:r>
      <w:r>
        <w:rPr>
          <w:rFonts w:hint="eastAsia" w:ascii="Times New Roman" w:hAnsi="Times New Roman" w:eastAsia="宋体" w:cs="Times New Roman"/>
          <w:b/>
          <w:sz w:val="28"/>
          <w:szCs w:val="32"/>
          <w:lang w:val="en-US" w:eastAsia="zh-CN"/>
        </w:rPr>
        <w:t>委托书</w:t>
      </w:r>
      <w:bookmarkEnd w:id="84"/>
    </w:p>
    <w:p>
      <w:pPr>
        <w:widowControl/>
        <w:bidi w:val="0"/>
        <w:adjustRightInd w:val="0"/>
        <w:snapToGrid w:val="0"/>
        <w:spacing w:afterLines="0" w:line="360" w:lineRule="auto"/>
        <w:ind w:firstLine="480" w:firstLineChars="200"/>
        <w:jc w:val="left"/>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color w:val="000000"/>
          <w:sz w:val="24"/>
          <w:szCs w:val="28"/>
          <w:lang w:val="en-US" w:eastAsia="zh-CN"/>
        </w:rPr>
        <w:t>山东汇成</w:t>
      </w:r>
      <w:r>
        <w:rPr>
          <w:rFonts w:hint="eastAsia" w:ascii="Times New Roman" w:hAnsi="Times New Roman" w:eastAsia="宋体" w:cs="Times New Roman"/>
          <w:color w:val="000000"/>
          <w:sz w:val="24"/>
          <w:szCs w:val="28"/>
        </w:rPr>
        <w:t>检测</w:t>
      </w:r>
      <w:r>
        <w:rPr>
          <w:rFonts w:hint="eastAsia" w:ascii="Times New Roman" w:hAnsi="Times New Roman" w:eastAsia="宋体" w:cs="Times New Roman"/>
          <w:color w:val="000000"/>
          <w:sz w:val="24"/>
          <w:szCs w:val="28"/>
          <w:lang w:val="en-US" w:eastAsia="zh-CN"/>
        </w:rPr>
        <w:t>科技</w:t>
      </w:r>
      <w:r>
        <w:rPr>
          <w:rFonts w:hint="eastAsia" w:ascii="Times New Roman" w:hAnsi="Times New Roman" w:eastAsia="宋体" w:cs="Times New Roman"/>
          <w:color w:val="000000"/>
          <w:sz w:val="24"/>
          <w:szCs w:val="28"/>
        </w:rPr>
        <w:t>有限公司</w:t>
      </w:r>
      <w:r>
        <w:rPr>
          <w:rFonts w:hint="eastAsia" w:ascii="Times New Roman" w:hAnsi="Times New Roman" w:eastAsia="宋体" w:cs="Times New Roman"/>
          <w:kern w:val="0"/>
          <w:sz w:val="24"/>
          <w:szCs w:val="24"/>
          <w:lang w:val="en-US" w:eastAsia="zh-CN"/>
        </w:rPr>
        <w:t>：</w:t>
      </w:r>
    </w:p>
    <w:p>
      <w:pPr>
        <w:widowControl/>
        <w:bidi w:val="0"/>
        <w:adjustRightInd w:val="0"/>
        <w:snapToGrid w:val="0"/>
        <w:spacing w:afterLines="0" w:line="360" w:lineRule="auto"/>
        <w:ind w:firstLine="480" w:firstLineChars="200"/>
        <w:jc w:val="both"/>
        <w:rPr>
          <w:rFonts w:hint="eastAsia" w:ascii="Times New Roman" w:hAnsi="Times New Roman" w:eastAsia="宋体" w:cs="Times New Roman"/>
          <w:kern w:val="0"/>
          <w:sz w:val="24"/>
          <w:szCs w:val="24"/>
          <w:lang w:val="en-US" w:eastAsia="zh-CN"/>
        </w:rPr>
      </w:pPr>
      <w:r>
        <w:rPr>
          <w:rFonts w:hint="eastAsia" w:ascii="Times New Roman" w:hAnsi="Times New Roman" w:eastAsia="宋体" w:cs="Times New Roman"/>
          <w:color w:val="000000"/>
          <w:sz w:val="24"/>
          <w:szCs w:val="28"/>
          <w:lang w:eastAsia="zh-CN"/>
        </w:rPr>
        <w:t>《</w:t>
      </w:r>
      <w:r>
        <w:rPr>
          <w:rFonts w:hint="eastAsia" w:ascii="Times New Roman" w:hAnsi="Times New Roman" w:eastAsia="宋体" w:cs="Times New Roman"/>
          <w:sz w:val="24"/>
          <w:szCs w:val="28"/>
          <w:lang w:val="en-US" w:eastAsia="zh-CN"/>
        </w:rPr>
        <w:t>山东豪瑞恩全球高端制剂项目</w:t>
      </w:r>
      <w:r>
        <w:rPr>
          <w:rFonts w:hint="eastAsia" w:ascii="Times New Roman" w:hAnsi="Times New Roman" w:eastAsia="宋体" w:cs="Times New Roman"/>
          <w:color w:val="000000"/>
          <w:sz w:val="24"/>
          <w:szCs w:val="28"/>
          <w:lang w:eastAsia="zh-CN"/>
        </w:rPr>
        <w:t>环境影响报告</w:t>
      </w:r>
      <w:r>
        <w:rPr>
          <w:rFonts w:hint="eastAsia" w:ascii="Times New Roman" w:hAnsi="Times New Roman" w:eastAsia="宋体" w:cs="Times New Roman"/>
          <w:color w:val="000000"/>
          <w:sz w:val="24"/>
          <w:szCs w:val="28"/>
          <w:lang w:val="en-US" w:eastAsia="zh-CN"/>
        </w:rPr>
        <w:t>表</w:t>
      </w:r>
      <w:r>
        <w:rPr>
          <w:rFonts w:hint="default" w:ascii="Times New Roman" w:hAnsi="Times New Roman" w:eastAsia="宋体" w:cs="Times New Roman"/>
          <w:color w:val="000000"/>
          <w:sz w:val="24"/>
          <w:szCs w:val="28"/>
        </w:rPr>
        <w:t>》</w:t>
      </w:r>
      <w:r>
        <w:rPr>
          <w:rFonts w:hint="eastAsia" w:ascii="Times New Roman" w:hAnsi="Times New Roman" w:eastAsia="宋体" w:cs="Times New Roman"/>
          <w:kern w:val="0"/>
          <w:sz w:val="24"/>
          <w:szCs w:val="24"/>
          <w:lang w:val="en-US" w:eastAsia="zh-CN"/>
        </w:rPr>
        <w:t>由</w:t>
      </w:r>
      <w:r>
        <w:rPr>
          <w:rFonts w:hint="eastAsia" w:ascii="Times New Roman" w:hAnsi="Times New Roman" w:eastAsia="宋体" w:cs="Times New Roman"/>
          <w:color w:val="000000"/>
          <w:sz w:val="24"/>
          <w:szCs w:val="28"/>
          <w:lang w:val="en-US" w:eastAsia="zh-CN"/>
        </w:rPr>
        <w:t>山东国润环境</w:t>
      </w:r>
      <w:r>
        <w:rPr>
          <w:rFonts w:hint="default" w:ascii="Times New Roman" w:hAnsi="Times New Roman" w:eastAsia="宋体" w:cs="Times New Roman"/>
          <w:color w:val="000000"/>
          <w:sz w:val="24"/>
          <w:szCs w:val="28"/>
        </w:rPr>
        <w:t>科技有限公司</w:t>
      </w:r>
      <w:r>
        <w:rPr>
          <w:rFonts w:hint="eastAsia" w:ascii="Times New Roman" w:hAnsi="Times New Roman" w:eastAsia="宋体" w:cs="Times New Roman"/>
          <w:kern w:val="0"/>
          <w:sz w:val="24"/>
          <w:szCs w:val="24"/>
          <w:lang w:val="en-US" w:eastAsia="zh-CN"/>
        </w:rPr>
        <w:t>编制，该项目</w:t>
      </w:r>
      <w:r>
        <w:rPr>
          <w:rFonts w:hint="default" w:ascii="Times New Roman" w:hAnsi="Times New Roman" w:eastAsia="宋体" w:cs="Times New Roman"/>
          <w:color w:val="000000"/>
          <w:sz w:val="24"/>
          <w:szCs w:val="28"/>
        </w:rPr>
        <w:t>于</w:t>
      </w:r>
      <w:r>
        <w:rPr>
          <w:rFonts w:hint="eastAsia" w:ascii="Times New Roman" w:hAnsi="Times New Roman" w:eastAsia="宋体" w:cs="Times New Roman"/>
          <w:color w:val="000000"/>
          <w:sz w:val="24"/>
          <w:szCs w:val="28"/>
          <w:lang w:eastAsia="zh-CN"/>
        </w:rPr>
        <w:t>20</w:t>
      </w:r>
      <w:r>
        <w:rPr>
          <w:rFonts w:hint="eastAsia" w:ascii="Times New Roman" w:hAnsi="Times New Roman" w:eastAsia="宋体" w:cs="Times New Roman"/>
          <w:color w:val="000000"/>
          <w:sz w:val="24"/>
          <w:szCs w:val="28"/>
          <w:lang w:val="en-US" w:eastAsia="zh-CN"/>
        </w:rPr>
        <w:t>23</w:t>
      </w:r>
      <w:r>
        <w:rPr>
          <w:rFonts w:hint="eastAsia" w:ascii="Times New Roman" w:hAnsi="Times New Roman" w:eastAsia="宋体" w:cs="Times New Roman"/>
          <w:color w:val="000000"/>
          <w:sz w:val="24"/>
          <w:szCs w:val="28"/>
          <w:lang w:eastAsia="zh-CN"/>
        </w:rPr>
        <w:t>年</w:t>
      </w:r>
      <w:r>
        <w:rPr>
          <w:rFonts w:hint="eastAsia" w:ascii="Times New Roman" w:hAnsi="Times New Roman" w:eastAsia="宋体" w:cs="Times New Roman"/>
          <w:color w:val="000000"/>
          <w:sz w:val="24"/>
          <w:szCs w:val="28"/>
          <w:lang w:val="en-US" w:eastAsia="zh-CN"/>
        </w:rPr>
        <w:t>11</w:t>
      </w:r>
      <w:r>
        <w:rPr>
          <w:rFonts w:hint="eastAsia" w:ascii="Times New Roman" w:hAnsi="Times New Roman" w:eastAsia="宋体" w:cs="Times New Roman"/>
          <w:color w:val="000000"/>
          <w:sz w:val="24"/>
          <w:szCs w:val="28"/>
          <w:lang w:eastAsia="zh-CN"/>
        </w:rPr>
        <w:t>月</w:t>
      </w:r>
      <w:r>
        <w:rPr>
          <w:rFonts w:hint="eastAsia" w:ascii="Times New Roman" w:hAnsi="Times New Roman" w:eastAsia="宋体" w:cs="Times New Roman"/>
          <w:color w:val="000000"/>
          <w:sz w:val="24"/>
          <w:szCs w:val="28"/>
          <w:lang w:val="en-US" w:eastAsia="zh-CN"/>
        </w:rPr>
        <w:t>17</w:t>
      </w:r>
      <w:r>
        <w:rPr>
          <w:rFonts w:hint="eastAsia" w:ascii="Times New Roman" w:hAnsi="Times New Roman" w:eastAsia="宋体" w:cs="Times New Roman"/>
          <w:color w:val="000000"/>
          <w:sz w:val="24"/>
          <w:szCs w:val="28"/>
          <w:lang w:eastAsia="zh-CN"/>
        </w:rPr>
        <w:t>日</w:t>
      </w:r>
      <w:r>
        <w:rPr>
          <w:rFonts w:hint="default" w:ascii="Times New Roman" w:hAnsi="Times New Roman" w:eastAsia="宋体" w:cs="Times New Roman"/>
          <w:color w:val="000000"/>
          <w:sz w:val="24"/>
          <w:szCs w:val="28"/>
        </w:rPr>
        <w:t>取得</w:t>
      </w:r>
      <w:r>
        <w:rPr>
          <w:rFonts w:hint="eastAsia" w:ascii="Times New Roman" w:hAnsi="Times New Roman" w:eastAsia="宋体" w:cs="Times New Roman"/>
          <w:color w:val="000000"/>
          <w:sz w:val="24"/>
          <w:szCs w:val="28"/>
          <w:lang w:val="en-US" w:eastAsia="zh-CN"/>
        </w:rPr>
        <w:t>菏泽市鲁西新区行政审批服务局</w:t>
      </w:r>
      <w:r>
        <w:rPr>
          <w:rFonts w:hint="default" w:ascii="Times New Roman" w:hAnsi="Times New Roman" w:eastAsia="宋体" w:cs="Times New Roman"/>
          <w:color w:val="000000"/>
          <w:sz w:val="24"/>
          <w:szCs w:val="28"/>
        </w:rPr>
        <w:t>对该项目的审批意见《</w:t>
      </w:r>
      <w:r>
        <w:rPr>
          <w:rFonts w:hint="eastAsia" w:ascii="Times New Roman" w:hAnsi="Times New Roman" w:eastAsia="宋体" w:cs="Times New Roman"/>
          <w:color w:val="000000"/>
          <w:sz w:val="24"/>
          <w:szCs w:val="28"/>
          <w:lang w:val="en-US" w:eastAsia="zh-CN"/>
        </w:rPr>
        <w:t>关于山东豪瑞恩全球高端制剂项目环境影响报告表的批复</w:t>
      </w:r>
      <w:r>
        <w:rPr>
          <w:rFonts w:hint="default" w:ascii="Times New Roman" w:hAnsi="Times New Roman" w:eastAsia="宋体" w:cs="Times New Roman"/>
          <w:color w:val="000000"/>
          <w:sz w:val="24"/>
          <w:szCs w:val="28"/>
        </w:rPr>
        <w:t>》（</w:t>
      </w:r>
      <w:r>
        <w:rPr>
          <w:rFonts w:hint="eastAsia" w:ascii="Times New Roman" w:hAnsi="Times New Roman" w:eastAsia="宋体" w:cs="Times New Roman"/>
          <w:color w:val="000000"/>
          <w:sz w:val="24"/>
          <w:szCs w:val="28"/>
          <w:lang w:val="en-US" w:eastAsia="zh-CN"/>
        </w:rPr>
        <w:t>菏新行审环[2023]22号</w:t>
      </w:r>
      <w:r>
        <w:rPr>
          <w:rFonts w:hint="default" w:ascii="Times New Roman" w:hAnsi="Times New Roman" w:eastAsia="宋体" w:cs="Times New Roman"/>
          <w:color w:val="000000"/>
          <w:sz w:val="24"/>
          <w:szCs w:val="28"/>
        </w:rPr>
        <w:t>）。20</w:t>
      </w:r>
      <w:r>
        <w:rPr>
          <w:rFonts w:hint="eastAsia" w:ascii="Times New Roman" w:hAnsi="Times New Roman" w:eastAsia="宋体" w:cs="Times New Roman"/>
          <w:color w:val="000000"/>
          <w:sz w:val="24"/>
          <w:szCs w:val="28"/>
          <w:lang w:val="en-US" w:eastAsia="zh-CN"/>
        </w:rPr>
        <w:t>23</w:t>
      </w:r>
      <w:r>
        <w:rPr>
          <w:rFonts w:hint="default" w:ascii="Times New Roman" w:hAnsi="Times New Roman" w:eastAsia="宋体" w:cs="Times New Roman"/>
          <w:color w:val="000000"/>
          <w:sz w:val="24"/>
          <w:szCs w:val="28"/>
        </w:rPr>
        <w:t>年</w:t>
      </w:r>
      <w:r>
        <w:rPr>
          <w:rFonts w:hint="eastAsia" w:ascii="Times New Roman" w:hAnsi="Times New Roman" w:eastAsia="宋体" w:cs="Times New Roman"/>
          <w:color w:val="000000"/>
          <w:sz w:val="24"/>
          <w:szCs w:val="28"/>
          <w:lang w:val="en-US" w:eastAsia="zh-CN"/>
        </w:rPr>
        <w:t>12</w:t>
      </w:r>
      <w:r>
        <w:rPr>
          <w:rFonts w:hint="default" w:ascii="Times New Roman" w:hAnsi="Times New Roman" w:eastAsia="宋体" w:cs="Times New Roman"/>
          <w:color w:val="000000"/>
          <w:sz w:val="24"/>
          <w:szCs w:val="28"/>
        </w:rPr>
        <w:t>月，该项目按环评意见及</w:t>
      </w:r>
      <w:r>
        <w:rPr>
          <w:rFonts w:hint="default" w:ascii="Times New Roman" w:hAnsi="Times New Roman" w:eastAsia="宋体" w:cs="Times New Roman"/>
          <w:color w:val="000000"/>
          <w:sz w:val="24"/>
          <w:szCs w:val="28"/>
          <w:lang w:val="en-US" w:eastAsia="zh-CN"/>
        </w:rPr>
        <w:t>环评批复</w:t>
      </w:r>
      <w:r>
        <w:rPr>
          <w:rFonts w:hint="eastAsia" w:ascii="Times New Roman" w:hAnsi="Times New Roman" w:eastAsia="宋体" w:cs="Times New Roman"/>
          <w:color w:val="000000"/>
          <w:sz w:val="24"/>
          <w:szCs w:val="28"/>
          <w:lang w:val="en-US" w:eastAsia="zh-CN"/>
        </w:rPr>
        <w:t>进行建设，本期建设内容为年产小容量（安瓿瓶）注射剂产品：维生素B6注射液500万支、钠钾镁钙注射用浓溶液800万支，共计1300万支；小容量（西林瓶）冻干注射剂产品：注射用盐酸罗沙替丁醋酸酯80万支、注射用地尔硫卓80万支，共计160万支，主要建设G1小容量注射剂（安瓿瓶、西林瓶）车间、</w:t>
      </w:r>
      <w:r>
        <w:rPr>
          <w:rFonts w:hint="default" w:ascii="Times New Roman" w:hAnsi="Times New Roman" w:eastAsia="宋体" w:cs="Times New Roman"/>
          <w:color w:val="000000"/>
          <w:sz w:val="24"/>
          <w:szCs w:val="28"/>
          <w:lang w:val="en-US" w:eastAsia="zh-CN"/>
        </w:rPr>
        <w:t>综合仓库</w:t>
      </w:r>
      <w:r>
        <w:rPr>
          <w:rFonts w:hint="eastAsia" w:ascii="Times New Roman" w:hAnsi="Times New Roman" w:eastAsia="宋体" w:cs="Times New Roman"/>
          <w:color w:val="000000"/>
          <w:sz w:val="24"/>
          <w:szCs w:val="28"/>
          <w:lang w:val="en-US" w:eastAsia="zh-CN"/>
        </w:rPr>
        <w:t>、</w:t>
      </w:r>
      <w:r>
        <w:rPr>
          <w:rFonts w:hint="default" w:ascii="Times New Roman" w:hAnsi="Times New Roman" w:eastAsia="宋体" w:cs="Times New Roman"/>
          <w:color w:val="000000"/>
          <w:sz w:val="24"/>
          <w:szCs w:val="28"/>
          <w:lang w:val="en-US" w:eastAsia="zh-CN"/>
        </w:rPr>
        <w:t>成品仓库</w:t>
      </w:r>
      <w:r>
        <w:rPr>
          <w:rFonts w:hint="eastAsia" w:ascii="Times New Roman" w:hAnsi="Times New Roman" w:eastAsia="宋体" w:cs="Times New Roman"/>
          <w:color w:val="000000"/>
          <w:sz w:val="24"/>
          <w:szCs w:val="28"/>
          <w:lang w:val="en-US" w:eastAsia="zh-CN"/>
        </w:rPr>
        <w:t>、化验中心、办公室、一般固废暂存间和危废暂存间</w:t>
      </w:r>
      <w:r>
        <w:rPr>
          <w:rFonts w:hint="default" w:ascii="Times New Roman" w:hAnsi="Times New Roman" w:eastAsia="宋体" w:cs="Times New Roman"/>
          <w:color w:val="000000"/>
          <w:sz w:val="24"/>
          <w:szCs w:val="28"/>
          <w:lang w:val="en-US" w:eastAsia="zh-CN"/>
        </w:rPr>
        <w:t>等，目前，该工程</w:t>
      </w:r>
      <w:r>
        <w:rPr>
          <w:rFonts w:hint="eastAsia" w:ascii="Times New Roman" w:hAnsi="Times New Roman" w:eastAsia="宋体" w:cs="Times New Roman"/>
          <w:color w:val="000000"/>
          <w:sz w:val="24"/>
          <w:szCs w:val="28"/>
          <w:lang w:val="en-US" w:eastAsia="zh-CN"/>
        </w:rPr>
        <w:t>进行分期建设，目前</w:t>
      </w:r>
      <w:r>
        <w:rPr>
          <w:rFonts w:hint="default" w:ascii="Times New Roman" w:hAnsi="Times New Roman" w:eastAsia="宋体" w:cs="Times New Roman"/>
          <w:color w:val="000000"/>
          <w:sz w:val="24"/>
          <w:szCs w:val="28"/>
          <w:lang w:val="en-US" w:eastAsia="zh-CN"/>
        </w:rPr>
        <w:t>具备了验</w:t>
      </w:r>
      <w:r>
        <w:rPr>
          <w:rFonts w:hint="default" w:ascii="Times New Roman" w:hAnsi="Times New Roman" w:eastAsia="宋体" w:cs="Times New Roman"/>
          <w:color w:val="000000"/>
          <w:sz w:val="24"/>
          <w:szCs w:val="28"/>
        </w:rPr>
        <w:t>收监测的条件</w:t>
      </w:r>
      <w:r>
        <w:rPr>
          <w:rFonts w:hint="eastAsia" w:ascii="Times New Roman" w:hAnsi="Times New Roman" w:eastAsia="宋体" w:cs="Times New Roman"/>
          <w:kern w:val="0"/>
          <w:sz w:val="24"/>
          <w:szCs w:val="24"/>
          <w:lang w:val="en-US" w:eastAsia="zh-CN"/>
        </w:rPr>
        <w:t>，按照相关规定，现委托贵公司对该项目进行竣工环境保护验收监测工作。</w:t>
      </w:r>
    </w:p>
    <w:p>
      <w:pPr>
        <w:adjustRightInd w:val="0"/>
        <w:snapToGrid w:val="0"/>
        <w:spacing w:before="0" w:beforeLines="50" w:after="120" w:afterLines="0" w:line="240" w:lineRule="auto"/>
        <w:ind w:left="420" w:leftChars="200" w:firstLine="480" w:firstLineChars="200"/>
        <w:jc w:val="right"/>
        <w:rPr>
          <w:rFonts w:hint="eastAsia" w:ascii="楷体_GB2312" w:hAnsi="Times New Roman" w:eastAsia="宋体" w:cs="Times New Roman"/>
          <w:sz w:val="24"/>
          <w:szCs w:val="24"/>
          <w:lang w:val="en-US" w:eastAsia="zh-CN" w:bidi="ar-SA"/>
        </w:rPr>
      </w:pPr>
    </w:p>
    <w:p>
      <w:pPr>
        <w:adjustRightInd w:val="0"/>
        <w:snapToGrid w:val="0"/>
        <w:spacing w:before="0" w:beforeLines="50" w:after="120" w:afterLines="0" w:line="240" w:lineRule="auto"/>
        <w:ind w:left="420" w:leftChars="200" w:firstLine="480" w:firstLineChars="200"/>
        <w:jc w:val="right"/>
        <w:rPr>
          <w:rFonts w:hint="eastAsia" w:ascii="楷体_GB2312" w:hAnsi="Times New Roman" w:eastAsia="宋体" w:cs="Times New Roman"/>
          <w:sz w:val="24"/>
          <w:szCs w:val="24"/>
          <w:lang w:val="en-US" w:eastAsia="zh-CN" w:bidi="ar-SA"/>
        </w:rPr>
      </w:pPr>
    </w:p>
    <w:p>
      <w:pPr>
        <w:adjustRightInd w:val="0"/>
        <w:snapToGrid w:val="0"/>
        <w:spacing w:before="0" w:beforeLines="50" w:after="120" w:afterLines="0" w:line="240" w:lineRule="auto"/>
        <w:ind w:left="420" w:leftChars="200" w:firstLine="480" w:firstLineChars="200"/>
        <w:jc w:val="right"/>
        <w:rPr>
          <w:rFonts w:hint="eastAsia" w:ascii="楷体_GB2312" w:hAnsi="Times New Roman" w:eastAsia="宋体" w:cs="Times New Roman"/>
          <w:sz w:val="24"/>
          <w:szCs w:val="24"/>
          <w:lang w:val="en-US" w:eastAsia="zh-CN" w:bidi="ar-SA"/>
        </w:rPr>
      </w:pPr>
      <w:r>
        <w:rPr>
          <w:rFonts w:hint="eastAsia" w:ascii="楷体_GB2312" w:hAnsi="Times New Roman" w:eastAsia="宋体" w:cs="Times New Roman"/>
          <w:sz w:val="24"/>
          <w:szCs w:val="24"/>
          <w:lang w:val="en-US" w:eastAsia="zh-CN" w:bidi="ar-SA"/>
        </w:rPr>
        <w:t>委托单位：</w:t>
      </w:r>
      <w:r>
        <w:rPr>
          <w:rFonts w:hint="eastAsia" w:ascii="Times New Roman" w:hAnsi="Times New Roman" w:eastAsia="宋体" w:cs="Times New Roman"/>
          <w:sz w:val="24"/>
          <w:szCs w:val="28"/>
          <w:lang w:val="en-US" w:eastAsia="zh-CN"/>
        </w:rPr>
        <w:t>山东豪瑞恩制药有限公司</w:t>
      </w:r>
    </w:p>
    <w:p>
      <w:pPr>
        <w:jc w:val="right"/>
        <w:rPr>
          <w:rFonts w:hint="eastAsia"/>
          <w:lang w:val="en-US" w:eastAsia="zh-CN"/>
        </w:rPr>
        <w:sectPr>
          <w:pgSz w:w="11905" w:h="16838"/>
          <w:pgMar w:top="1417" w:right="1417" w:bottom="1417" w:left="1417" w:header="850" w:footer="992" w:gutter="0"/>
          <w:pgBorders>
            <w:top w:val="none" w:sz="0" w:space="0"/>
            <w:left w:val="none" w:sz="0" w:space="0"/>
            <w:bottom w:val="none" w:sz="0" w:space="0"/>
            <w:right w:val="none" w:sz="0" w:space="0"/>
          </w:pgBorders>
          <w:pgNumType w:fmt="decimal"/>
          <w:cols w:space="720" w:num="1"/>
          <w:rtlGutter w:val="0"/>
          <w:docGrid w:type="lines" w:linePitch="335" w:charSpace="0"/>
        </w:sectPr>
      </w:pPr>
      <w:r>
        <w:rPr>
          <w:rFonts w:hint="eastAsia" w:ascii="Times New Roman" w:hAnsi="Times New Roman" w:eastAsia="宋体" w:cs="Times New Roman"/>
          <w:kern w:val="0"/>
          <w:sz w:val="24"/>
          <w:szCs w:val="24"/>
          <w:lang w:val="en-US" w:eastAsia="zh-CN"/>
        </w:rPr>
        <w:t>委托时间：2024年01月01日</w:t>
      </w:r>
    </w:p>
    <w:p>
      <w:pPr>
        <w:pStyle w:val="38"/>
        <w:spacing w:line="360" w:lineRule="auto"/>
        <w:ind w:firstLine="0" w:firstLineChars="0"/>
        <w:jc w:val="left"/>
        <w:outlineLvl w:val="1"/>
        <w:rPr>
          <w:rFonts w:hint="default" w:ascii="Times New Roman" w:hAnsi="Times New Roman" w:eastAsia="宋体" w:cs="Times New Roman"/>
          <w:b/>
          <w:sz w:val="28"/>
          <w:szCs w:val="32"/>
        </w:rPr>
      </w:pPr>
      <w:bookmarkStart w:id="87" w:name="_Toc1565"/>
      <w:r>
        <w:rPr>
          <w:rFonts w:hint="default" w:ascii="Times New Roman" w:hAnsi="Times New Roman" w:eastAsia="宋体" w:cs="Times New Roman"/>
          <w:b/>
          <w:sz w:val="28"/>
          <w:szCs w:val="32"/>
        </w:rPr>
        <w:t>附件</w:t>
      </w:r>
      <w:r>
        <w:rPr>
          <w:rFonts w:hint="eastAsia" w:ascii="Times New Roman" w:hAnsi="Times New Roman" w:eastAsia="宋体" w:cs="Times New Roman"/>
          <w:b/>
          <w:sz w:val="28"/>
          <w:szCs w:val="32"/>
          <w:lang w:val="en-US" w:eastAsia="zh-CN"/>
        </w:rPr>
        <w:t>2</w:t>
      </w:r>
      <w:r>
        <w:rPr>
          <w:rFonts w:hint="default" w:ascii="Times New Roman" w:hAnsi="Times New Roman" w:eastAsia="宋体" w:cs="Times New Roman"/>
          <w:b/>
          <w:sz w:val="28"/>
          <w:szCs w:val="32"/>
        </w:rPr>
        <w:t>：</w:t>
      </w:r>
      <w:bookmarkEnd w:id="85"/>
      <w:bookmarkEnd w:id="86"/>
      <w:bookmarkStart w:id="88" w:name="_Toc523388560"/>
      <w:bookmarkStart w:id="89" w:name="_Toc523409012"/>
      <w:r>
        <w:rPr>
          <w:rFonts w:hint="default" w:ascii="Times New Roman" w:hAnsi="Times New Roman" w:eastAsia="宋体" w:cs="Times New Roman"/>
          <w:b/>
          <w:sz w:val="28"/>
          <w:szCs w:val="32"/>
        </w:rPr>
        <w:t>营业执照</w:t>
      </w:r>
      <w:bookmarkEnd w:id="87"/>
      <w:bookmarkEnd w:id="88"/>
      <w:bookmarkEnd w:id="89"/>
    </w:p>
    <w:p>
      <w:pPr>
        <w:spacing w:line="360" w:lineRule="auto"/>
        <w:jc w:val="both"/>
        <w:outlineLvl w:val="9"/>
        <w:rPr>
          <w:rFonts w:hint="default" w:ascii="Times New Roman" w:hAnsi="Times New Roman" w:eastAsia="宋体" w:cs="Times New Roman"/>
        </w:rPr>
      </w:pPr>
      <w:r>
        <w:rPr>
          <w:rFonts w:hint="default" w:ascii="Times New Roman" w:hAnsi="Times New Roman" w:eastAsia="宋体" w:cs="Times New Roman"/>
        </w:rPr>
        <w:drawing>
          <wp:inline distT="0" distB="0" distL="114300" distR="114300">
            <wp:extent cx="7649845" cy="5220970"/>
            <wp:effectExtent l="0" t="0" r="17780" b="8255"/>
            <wp:docPr id="11" name="图片 11" descr="170502174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705021741396"/>
                    <pic:cNvPicPr>
                      <a:picLocks noChangeAspect="1"/>
                    </pic:cNvPicPr>
                  </pic:nvPicPr>
                  <pic:blipFill>
                    <a:blip r:embed="rId53"/>
                    <a:stretch>
                      <a:fillRect/>
                    </a:stretch>
                  </pic:blipFill>
                  <pic:spPr>
                    <a:xfrm rot="16200000">
                      <a:off x="0" y="0"/>
                      <a:ext cx="7649845" cy="5220970"/>
                    </a:xfrm>
                    <a:prstGeom prst="rect">
                      <a:avLst/>
                    </a:prstGeom>
                  </pic:spPr>
                </pic:pic>
              </a:graphicData>
            </a:graphic>
          </wp:inline>
        </w:drawing>
      </w:r>
    </w:p>
    <w:p>
      <w:pPr>
        <w:pStyle w:val="38"/>
        <w:spacing w:line="360" w:lineRule="auto"/>
        <w:ind w:firstLine="0" w:firstLineChars="0"/>
        <w:jc w:val="left"/>
        <w:outlineLvl w:val="9"/>
        <w:rPr>
          <w:rFonts w:hint="default" w:ascii="Times New Roman" w:hAnsi="Times New Roman" w:eastAsia="宋体" w:cs="Times New Roman"/>
          <w:b/>
          <w:color w:val="000000" w:themeColor="text1"/>
          <w:sz w:val="28"/>
          <w:szCs w:val="32"/>
          <w14:textFill>
            <w14:solidFill>
              <w14:schemeClr w14:val="tx1"/>
            </w14:solidFill>
          </w14:textFill>
        </w:rPr>
      </w:pPr>
      <w:bookmarkStart w:id="90" w:name="_Toc523388561"/>
    </w:p>
    <w:p>
      <w:pPr>
        <w:pStyle w:val="38"/>
        <w:spacing w:line="360" w:lineRule="auto"/>
        <w:ind w:firstLine="0" w:firstLineChars="0"/>
        <w:jc w:val="left"/>
        <w:outlineLvl w:val="9"/>
        <w:rPr>
          <w:rFonts w:hint="default" w:ascii="Times New Roman" w:hAnsi="Times New Roman" w:eastAsia="宋体" w:cs="Times New Roman"/>
          <w:b/>
          <w:color w:val="000000" w:themeColor="text1"/>
          <w:sz w:val="28"/>
          <w:szCs w:val="32"/>
          <w14:textFill>
            <w14:solidFill>
              <w14:schemeClr w14:val="tx1"/>
            </w14:solidFill>
          </w14:textFill>
        </w:rPr>
      </w:pPr>
    </w:p>
    <w:p>
      <w:pPr>
        <w:pStyle w:val="38"/>
        <w:spacing w:line="360" w:lineRule="auto"/>
        <w:ind w:firstLine="0" w:firstLineChars="0"/>
        <w:jc w:val="left"/>
        <w:outlineLvl w:val="1"/>
        <w:rPr>
          <w:rFonts w:hint="eastAsia" w:ascii="Times New Roman" w:hAnsi="Times New Roman" w:eastAsia="宋体" w:cs="Times New Roman"/>
          <w:b/>
          <w:color w:val="000000" w:themeColor="text1"/>
          <w:sz w:val="28"/>
          <w:szCs w:val="32"/>
          <w:lang w:val="en-US" w:eastAsia="zh-CN"/>
          <w14:textFill>
            <w14:solidFill>
              <w14:schemeClr w14:val="tx1"/>
            </w14:solidFill>
          </w14:textFill>
        </w:rPr>
      </w:pPr>
      <w:bookmarkStart w:id="91" w:name="_Toc17651"/>
      <w:r>
        <w:rPr>
          <w:rFonts w:hint="default" w:ascii="Times New Roman" w:hAnsi="Times New Roman" w:eastAsia="宋体" w:cs="Times New Roman"/>
          <w:b/>
          <w:color w:val="000000" w:themeColor="text1"/>
          <w:sz w:val="28"/>
          <w:szCs w:val="32"/>
          <w14:textFill>
            <w14:solidFill>
              <w14:schemeClr w14:val="tx1"/>
            </w14:solidFill>
          </w14:textFill>
        </w:rPr>
        <w:t>附件</w:t>
      </w:r>
      <w:r>
        <w:rPr>
          <w:rFonts w:hint="eastAsia" w:ascii="Times New Roman" w:hAnsi="Times New Roman" w:eastAsia="宋体" w:cs="Times New Roman"/>
          <w:b/>
          <w:color w:val="000000" w:themeColor="text1"/>
          <w:sz w:val="28"/>
          <w:szCs w:val="32"/>
          <w:lang w:val="en-US" w:eastAsia="zh-CN"/>
          <w14:textFill>
            <w14:solidFill>
              <w14:schemeClr w14:val="tx1"/>
            </w14:solidFill>
          </w14:textFill>
        </w:rPr>
        <w:t>3</w:t>
      </w:r>
      <w:r>
        <w:rPr>
          <w:rFonts w:hint="default" w:ascii="Times New Roman" w:hAnsi="Times New Roman" w:eastAsia="宋体" w:cs="Times New Roman"/>
          <w:b/>
          <w:color w:val="000000" w:themeColor="text1"/>
          <w:sz w:val="28"/>
          <w:szCs w:val="32"/>
          <w14:textFill>
            <w14:solidFill>
              <w14:schemeClr w14:val="tx1"/>
            </w14:solidFill>
          </w14:textFill>
        </w:rPr>
        <w:t>：</w:t>
      </w:r>
      <w:r>
        <w:rPr>
          <w:rFonts w:hint="eastAsia" w:ascii="Times New Roman" w:hAnsi="Times New Roman" w:eastAsia="宋体" w:cs="Times New Roman"/>
          <w:b/>
          <w:color w:val="000000" w:themeColor="text1"/>
          <w:sz w:val="28"/>
          <w:szCs w:val="32"/>
          <w:lang w:val="en-US" w:eastAsia="zh-CN"/>
          <w14:textFill>
            <w14:solidFill>
              <w14:schemeClr w14:val="tx1"/>
            </w14:solidFill>
          </w14:textFill>
        </w:rPr>
        <w:t>总量确认书</w:t>
      </w:r>
      <w:bookmarkEnd w:id="91"/>
    </w:p>
    <w:p>
      <w:pPr>
        <w:jc w:val="both"/>
        <w:outlineLvl w:val="9"/>
        <w:rPr>
          <w:rFonts w:hint="default" w:ascii="Times New Roman" w:hAnsi="Times New Roman" w:eastAsia="宋体" w:cs="Times New Roman"/>
          <w:b/>
          <w:sz w:val="44"/>
          <w:szCs w:val="44"/>
          <w:lang w:eastAsia="zh-CN"/>
        </w:rPr>
      </w:pPr>
      <w:r>
        <w:drawing>
          <wp:inline distT="0" distB="0" distL="114300" distR="114300">
            <wp:extent cx="7498080" cy="5237480"/>
            <wp:effectExtent l="0" t="0" r="1270" b="762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54"/>
                    <a:stretch>
                      <a:fillRect/>
                    </a:stretch>
                  </pic:blipFill>
                  <pic:spPr>
                    <a:xfrm rot="5400000">
                      <a:off x="0" y="0"/>
                      <a:ext cx="7498080" cy="5237480"/>
                    </a:xfrm>
                    <a:prstGeom prst="rect">
                      <a:avLst/>
                    </a:prstGeom>
                    <a:noFill/>
                    <a:ln>
                      <a:noFill/>
                    </a:ln>
                  </pic:spPr>
                </pic:pic>
              </a:graphicData>
            </a:graphic>
          </wp:inline>
        </w:drawing>
      </w:r>
      <w:r>
        <w:drawing>
          <wp:inline distT="0" distB="0" distL="114300" distR="114300">
            <wp:extent cx="7825740" cy="5269230"/>
            <wp:effectExtent l="0" t="0" r="7620" b="381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55"/>
                    <a:stretch>
                      <a:fillRect/>
                    </a:stretch>
                  </pic:blipFill>
                  <pic:spPr>
                    <a:xfrm rot="5400000">
                      <a:off x="0" y="0"/>
                      <a:ext cx="7825740" cy="5269230"/>
                    </a:xfrm>
                    <a:prstGeom prst="rect">
                      <a:avLst/>
                    </a:prstGeom>
                    <a:noFill/>
                    <a:ln>
                      <a:noFill/>
                    </a:ln>
                  </pic:spPr>
                </pic:pic>
              </a:graphicData>
            </a:graphic>
          </wp:inline>
        </w:drawing>
      </w:r>
      <w:r>
        <w:drawing>
          <wp:inline distT="0" distB="0" distL="114300" distR="114300">
            <wp:extent cx="8235315" cy="5259705"/>
            <wp:effectExtent l="0" t="0" r="17145" b="13335"/>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56"/>
                    <a:stretch>
                      <a:fillRect/>
                    </a:stretch>
                  </pic:blipFill>
                  <pic:spPr>
                    <a:xfrm rot="5400000">
                      <a:off x="0" y="0"/>
                      <a:ext cx="8235315" cy="5259705"/>
                    </a:xfrm>
                    <a:prstGeom prst="rect">
                      <a:avLst/>
                    </a:prstGeom>
                    <a:noFill/>
                    <a:ln>
                      <a:noFill/>
                    </a:ln>
                  </pic:spPr>
                </pic:pic>
              </a:graphicData>
            </a:graphic>
          </wp:inline>
        </w:drawing>
      </w:r>
      <w:r>
        <w:drawing>
          <wp:inline distT="0" distB="0" distL="114300" distR="114300">
            <wp:extent cx="7887335" cy="5266055"/>
            <wp:effectExtent l="0" t="0" r="10795" b="18415"/>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57"/>
                    <a:stretch>
                      <a:fillRect/>
                    </a:stretch>
                  </pic:blipFill>
                  <pic:spPr>
                    <a:xfrm rot="5400000">
                      <a:off x="0" y="0"/>
                      <a:ext cx="7887335" cy="5266055"/>
                    </a:xfrm>
                    <a:prstGeom prst="rect">
                      <a:avLst/>
                    </a:prstGeom>
                    <a:noFill/>
                    <a:ln>
                      <a:noFill/>
                    </a:ln>
                  </pic:spPr>
                </pic:pic>
              </a:graphicData>
            </a:graphic>
          </wp:inline>
        </w:drawing>
      </w:r>
      <w:r>
        <w:drawing>
          <wp:inline distT="0" distB="0" distL="114300" distR="114300">
            <wp:extent cx="7934325" cy="5320665"/>
            <wp:effectExtent l="0" t="0" r="13335" b="9525"/>
            <wp:docPr id="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58"/>
                    <a:stretch>
                      <a:fillRect/>
                    </a:stretch>
                  </pic:blipFill>
                  <pic:spPr>
                    <a:xfrm rot="5400000">
                      <a:off x="0" y="0"/>
                      <a:ext cx="7934325" cy="53206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Times New Roman" w:hAnsi="Times New Roman" w:eastAsia="宋体" w:cs="Times New Roman"/>
          <w:b/>
          <w:sz w:val="44"/>
          <w:szCs w:val="44"/>
        </w:rPr>
      </w:pP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Times New Roman" w:hAnsi="Times New Roman" w:eastAsia="宋体" w:cs="Times New Roman"/>
          <w:kern w:val="2"/>
          <w:sz w:val="20"/>
          <w:szCs w:val="20"/>
          <w:lang w:val="en-US" w:eastAsia="zh-CN" w:bidi="ar-SA"/>
        </w:rPr>
      </w:pPr>
    </w:p>
    <w:p>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outlineLvl w:val="9"/>
        <w:rPr>
          <w:rFonts w:hint="default" w:ascii="Times New Roman" w:hAnsi="Times New Roman" w:eastAsia="宋体" w:cs="Times New Roman"/>
          <w:b/>
          <w:sz w:val="44"/>
          <w:szCs w:val="44"/>
        </w:rPr>
      </w:pPr>
    </w:p>
    <w:p>
      <w:pPr>
        <w:pStyle w:val="38"/>
        <w:spacing w:line="360" w:lineRule="auto"/>
        <w:ind w:firstLine="0" w:firstLineChars="0"/>
        <w:jc w:val="left"/>
        <w:outlineLvl w:val="1"/>
        <w:rPr>
          <w:rFonts w:hint="default" w:ascii="Times New Roman" w:hAnsi="Times New Roman" w:eastAsia="宋体" w:cs="Times New Roman"/>
          <w:b/>
          <w:color w:val="000000" w:themeColor="text1"/>
          <w:sz w:val="28"/>
          <w:szCs w:val="32"/>
          <w14:textFill>
            <w14:solidFill>
              <w14:schemeClr w14:val="tx1"/>
            </w14:solidFill>
          </w14:textFill>
        </w:rPr>
      </w:pPr>
      <w:bookmarkStart w:id="92" w:name="_Toc7077"/>
      <w:r>
        <w:rPr>
          <w:rFonts w:hint="default" w:ascii="Times New Roman" w:hAnsi="Times New Roman" w:eastAsia="宋体" w:cs="Times New Roman"/>
          <w:b/>
          <w:color w:val="000000" w:themeColor="text1"/>
          <w:sz w:val="28"/>
          <w:szCs w:val="32"/>
          <w14:textFill>
            <w14:solidFill>
              <w14:schemeClr w14:val="tx1"/>
            </w14:solidFill>
          </w14:textFill>
        </w:rPr>
        <w:t>附件</w:t>
      </w:r>
      <w:r>
        <w:rPr>
          <w:rFonts w:hint="eastAsia" w:ascii="Times New Roman" w:hAnsi="Times New Roman" w:eastAsia="宋体" w:cs="Times New Roman"/>
          <w:b/>
          <w:color w:val="000000" w:themeColor="text1"/>
          <w:sz w:val="28"/>
          <w:szCs w:val="32"/>
          <w:lang w:val="en-US" w:eastAsia="zh-CN"/>
          <w14:textFill>
            <w14:solidFill>
              <w14:schemeClr w14:val="tx1"/>
            </w14:solidFill>
          </w14:textFill>
        </w:rPr>
        <w:t>4</w:t>
      </w:r>
      <w:r>
        <w:rPr>
          <w:rFonts w:hint="default" w:ascii="Times New Roman" w:hAnsi="Times New Roman" w:eastAsia="宋体" w:cs="Times New Roman"/>
          <w:b/>
          <w:color w:val="000000" w:themeColor="text1"/>
          <w:sz w:val="28"/>
          <w:szCs w:val="32"/>
          <w14:textFill>
            <w14:solidFill>
              <w14:schemeClr w14:val="tx1"/>
            </w14:solidFill>
          </w14:textFill>
        </w:rPr>
        <w:t>：</w:t>
      </w:r>
      <w:r>
        <w:rPr>
          <w:rFonts w:hint="eastAsia" w:ascii="Times New Roman" w:hAnsi="Times New Roman" w:eastAsia="宋体" w:cs="Times New Roman"/>
          <w:b/>
          <w:color w:val="000000" w:themeColor="text1"/>
          <w:sz w:val="28"/>
          <w:szCs w:val="32"/>
          <w:lang w:val="en-US" w:eastAsia="zh-CN"/>
          <w14:textFill>
            <w14:solidFill>
              <w14:schemeClr w14:val="tx1"/>
            </w14:solidFill>
          </w14:textFill>
        </w:rPr>
        <w:t>总量确认书</w:t>
      </w:r>
      <w:r>
        <w:rPr>
          <w:rFonts w:hint="default" w:ascii="Times New Roman" w:hAnsi="Times New Roman" w:eastAsia="宋体" w:cs="Times New Roman"/>
          <w:b/>
          <w:color w:val="000000" w:themeColor="text1"/>
          <w:sz w:val="28"/>
          <w:szCs w:val="32"/>
          <w14:textFill>
            <w14:solidFill>
              <w14:schemeClr w14:val="tx1"/>
            </w14:solidFill>
          </w14:textFill>
        </w:rPr>
        <w:t>环评批复</w:t>
      </w:r>
      <w:bookmarkEnd w:id="90"/>
      <w:bookmarkEnd w:id="92"/>
    </w:p>
    <w:p>
      <w:pPr>
        <w:pStyle w:val="38"/>
        <w:spacing w:line="360" w:lineRule="auto"/>
        <w:ind w:firstLine="0" w:firstLineChars="0"/>
        <w:jc w:val="left"/>
        <w:outlineLvl w:val="9"/>
        <w:rPr>
          <w:rFonts w:hint="default" w:ascii="Times New Roman" w:hAnsi="Times New Roman" w:eastAsia="宋体" w:cs="Times New Roman"/>
          <w:b/>
          <w:color w:val="000000" w:themeColor="text1"/>
          <w:sz w:val="28"/>
          <w:szCs w:val="32"/>
          <w14:textFill>
            <w14:solidFill>
              <w14:schemeClr w14:val="tx1"/>
            </w14:solidFill>
          </w14:textFill>
        </w:rPr>
      </w:pPr>
      <w:r>
        <w:drawing>
          <wp:inline distT="0" distB="0" distL="114300" distR="114300">
            <wp:extent cx="5257165" cy="7880350"/>
            <wp:effectExtent l="0" t="0" r="635" b="6350"/>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59"/>
                    <a:stretch>
                      <a:fillRect/>
                    </a:stretch>
                  </pic:blipFill>
                  <pic:spPr>
                    <a:xfrm>
                      <a:off x="0" y="0"/>
                      <a:ext cx="5257165" cy="7880350"/>
                    </a:xfrm>
                    <a:prstGeom prst="rect">
                      <a:avLst/>
                    </a:prstGeom>
                    <a:noFill/>
                    <a:ln>
                      <a:noFill/>
                    </a:ln>
                  </pic:spPr>
                </pic:pic>
              </a:graphicData>
            </a:graphic>
          </wp:inline>
        </w:drawing>
      </w:r>
      <w:r>
        <w:drawing>
          <wp:inline distT="0" distB="0" distL="114300" distR="114300">
            <wp:extent cx="5286375" cy="7995285"/>
            <wp:effectExtent l="0" t="0" r="9525" b="5715"/>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pic:cNvPicPr>
                      <a:picLocks noChangeAspect="1"/>
                    </pic:cNvPicPr>
                  </pic:nvPicPr>
                  <pic:blipFill>
                    <a:blip r:embed="rId60"/>
                    <a:stretch>
                      <a:fillRect/>
                    </a:stretch>
                  </pic:blipFill>
                  <pic:spPr>
                    <a:xfrm>
                      <a:off x="0" y="0"/>
                      <a:ext cx="5286375" cy="7995285"/>
                    </a:xfrm>
                    <a:prstGeom prst="rect">
                      <a:avLst/>
                    </a:prstGeom>
                    <a:noFill/>
                    <a:ln>
                      <a:noFill/>
                    </a:ln>
                  </pic:spPr>
                </pic:pic>
              </a:graphicData>
            </a:graphic>
          </wp:inline>
        </w:drawing>
      </w:r>
      <w:r>
        <w:drawing>
          <wp:inline distT="0" distB="0" distL="114300" distR="114300">
            <wp:extent cx="5286375" cy="8256905"/>
            <wp:effectExtent l="0" t="0" r="9525" b="10795"/>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61"/>
                    <a:stretch>
                      <a:fillRect/>
                    </a:stretch>
                  </pic:blipFill>
                  <pic:spPr>
                    <a:xfrm>
                      <a:off x="0" y="0"/>
                      <a:ext cx="5286375" cy="8256905"/>
                    </a:xfrm>
                    <a:prstGeom prst="rect">
                      <a:avLst/>
                    </a:prstGeom>
                    <a:noFill/>
                    <a:ln>
                      <a:noFill/>
                    </a:ln>
                  </pic:spPr>
                </pic:pic>
              </a:graphicData>
            </a:graphic>
          </wp:inline>
        </w:drawing>
      </w:r>
      <w:r>
        <w:drawing>
          <wp:inline distT="0" distB="0" distL="114300" distR="114300">
            <wp:extent cx="5210175" cy="8154670"/>
            <wp:effectExtent l="0" t="0" r="9525" b="17780"/>
            <wp:docPr id="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2"/>
                    <pic:cNvPicPr>
                      <a:picLocks noChangeAspect="1"/>
                    </pic:cNvPicPr>
                  </pic:nvPicPr>
                  <pic:blipFill>
                    <a:blip r:embed="rId62"/>
                    <a:stretch>
                      <a:fillRect/>
                    </a:stretch>
                  </pic:blipFill>
                  <pic:spPr>
                    <a:xfrm>
                      <a:off x="0" y="0"/>
                      <a:ext cx="5210175" cy="8154670"/>
                    </a:xfrm>
                    <a:prstGeom prst="rect">
                      <a:avLst/>
                    </a:prstGeom>
                    <a:noFill/>
                    <a:ln>
                      <a:noFill/>
                    </a:ln>
                  </pic:spPr>
                </pic:pic>
              </a:graphicData>
            </a:graphic>
          </wp:inline>
        </w:drawing>
      </w:r>
      <w:r>
        <w:drawing>
          <wp:inline distT="0" distB="0" distL="114300" distR="114300">
            <wp:extent cx="5181600" cy="7842250"/>
            <wp:effectExtent l="0" t="0" r="0" b="6350"/>
            <wp:docPr id="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
                    <pic:cNvPicPr>
                      <a:picLocks noChangeAspect="1"/>
                    </pic:cNvPicPr>
                  </pic:nvPicPr>
                  <pic:blipFill>
                    <a:blip r:embed="rId63"/>
                    <a:stretch>
                      <a:fillRect/>
                    </a:stretch>
                  </pic:blipFill>
                  <pic:spPr>
                    <a:xfrm>
                      <a:off x="0" y="0"/>
                      <a:ext cx="5181600" cy="7842250"/>
                    </a:xfrm>
                    <a:prstGeom prst="rect">
                      <a:avLst/>
                    </a:prstGeom>
                    <a:noFill/>
                    <a:ln>
                      <a:noFill/>
                    </a:ln>
                  </pic:spPr>
                </pic:pic>
              </a:graphicData>
            </a:graphic>
          </wp:inline>
        </w:drawing>
      </w:r>
    </w:p>
    <w:p>
      <w:pPr>
        <w:pStyle w:val="38"/>
        <w:spacing w:line="360" w:lineRule="auto"/>
        <w:ind w:firstLine="0" w:firstLineChars="0"/>
        <w:jc w:val="center"/>
        <w:outlineLvl w:val="9"/>
        <w:rPr>
          <w:rFonts w:hint="default" w:ascii="Times New Roman" w:hAnsi="Times New Roman" w:eastAsia="宋体" w:cs="Times New Roman"/>
          <w:b/>
          <w:color w:val="000000" w:themeColor="text1"/>
          <w:sz w:val="28"/>
          <w:szCs w:val="32"/>
          <w14:textFill>
            <w14:solidFill>
              <w14:schemeClr w14:val="tx1"/>
            </w14:solidFill>
          </w14:textFill>
        </w:rPr>
      </w:pPr>
    </w:p>
    <w:p>
      <w:pPr>
        <w:pStyle w:val="38"/>
        <w:spacing w:line="360" w:lineRule="auto"/>
        <w:ind w:firstLine="0" w:firstLineChars="0"/>
        <w:jc w:val="center"/>
        <w:outlineLvl w:val="9"/>
        <w:rPr>
          <w:rFonts w:hint="default" w:ascii="Times New Roman" w:hAnsi="Times New Roman" w:eastAsia="宋体" w:cs="Times New Roman"/>
          <w:b/>
          <w:color w:val="000000" w:themeColor="text1"/>
          <w:sz w:val="28"/>
          <w:szCs w:val="32"/>
          <w14:textFill>
            <w14:solidFill>
              <w14:schemeClr w14:val="tx1"/>
            </w14:solidFill>
          </w14:textFill>
        </w:rPr>
      </w:pPr>
    </w:p>
    <w:p>
      <w:pPr>
        <w:pStyle w:val="38"/>
        <w:spacing w:line="360" w:lineRule="auto"/>
        <w:ind w:firstLine="0" w:firstLineChars="0"/>
        <w:jc w:val="center"/>
        <w:outlineLvl w:val="9"/>
        <w:rPr>
          <w:rFonts w:hint="default" w:ascii="Times New Roman" w:hAnsi="Times New Roman" w:eastAsia="宋体" w:cs="Times New Roman"/>
          <w:b/>
          <w:color w:val="000000" w:themeColor="text1"/>
          <w:sz w:val="28"/>
          <w:szCs w:val="32"/>
          <w14:textFill>
            <w14:solidFill>
              <w14:schemeClr w14:val="tx1"/>
            </w14:solidFill>
          </w14:textFill>
        </w:rPr>
      </w:pPr>
    </w:p>
    <w:p>
      <w:pPr>
        <w:pStyle w:val="38"/>
        <w:spacing w:line="360" w:lineRule="auto"/>
        <w:ind w:firstLine="0" w:firstLineChars="0"/>
        <w:jc w:val="left"/>
        <w:outlineLvl w:val="1"/>
        <w:rPr>
          <w:rFonts w:hint="eastAsia" w:ascii="Times New Roman" w:hAnsi="Times New Roman" w:eastAsia="宋体" w:cs="Times New Roman"/>
          <w:b/>
          <w:color w:val="000000" w:themeColor="text1"/>
          <w:sz w:val="28"/>
          <w:szCs w:val="32"/>
          <w:lang w:eastAsia="zh-CN"/>
          <w14:textFill>
            <w14:solidFill>
              <w14:schemeClr w14:val="tx1"/>
            </w14:solidFill>
          </w14:textFill>
        </w:rPr>
      </w:pPr>
      <w:bookmarkStart w:id="93" w:name="_Toc17120"/>
      <w:r>
        <w:rPr>
          <w:rFonts w:hint="default" w:ascii="Times New Roman" w:hAnsi="Times New Roman" w:eastAsia="宋体" w:cs="Times New Roman"/>
          <w:b/>
          <w:color w:val="000000" w:themeColor="text1"/>
          <w:sz w:val="28"/>
          <w:szCs w:val="32"/>
          <w14:textFill>
            <w14:solidFill>
              <w14:schemeClr w14:val="tx1"/>
            </w14:solidFill>
          </w14:textFill>
        </w:rPr>
        <w:t>附件</w:t>
      </w:r>
      <w:r>
        <w:rPr>
          <w:rFonts w:hint="eastAsia" w:ascii="Times New Roman" w:hAnsi="Times New Roman" w:eastAsia="宋体" w:cs="Times New Roman"/>
          <w:b/>
          <w:color w:val="000000" w:themeColor="text1"/>
          <w:sz w:val="28"/>
          <w:szCs w:val="32"/>
          <w:lang w:val="en-US" w:eastAsia="zh-CN"/>
          <w14:textFill>
            <w14:solidFill>
              <w14:schemeClr w14:val="tx1"/>
            </w14:solidFill>
          </w14:textFill>
        </w:rPr>
        <w:t>5</w:t>
      </w:r>
      <w:r>
        <w:rPr>
          <w:rFonts w:hint="default" w:ascii="Times New Roman" w:hAnsi="Times New Roman" w:eastAsia="宋体" w:cs="Times New Roman"/>
          <w:b/>
          <w:color w:val="000000" w:themeColor="text1"/>
          <w:sz w:val="28"/>
          <w:szCs w:val="32"/>
          <w14:textFill>
            <w14:solidFill>
              <w14:schemeClr w14:val="tx1"/>
            </w14:solidFill>
          </w14:textFill>
        </w:rPr>
        <w:t>：</w:t>
      </w:r>
      <w:r>
        <w:rPr>
          <w:rFonts w:hint="eastAsia" w:ascii="Times New Roman" w:hAnsi="Times New Roman" w:eastAsia="宋体" w:cs="Times New Roman"/>
          <w:b/>
          <w:color w:val="000000" w:themeColor="text1"/>
          <w:sz w:val="28"/>
          <w:szCs w:val="32"/>
          <w:lang w:val="en-US" w:eastAsia="zh-CN"/>
          <w14:textFill>
            <w14:solidFill>
              <w14:schemeClr w14:val="tx1"/>
            </w14:solidFill>
          </w14:textFill>
        </w:rPr>
        <w:t>备案证明</w:t>
      </w:r>
      <w:bookmarkEnd w:id="93"/>
    </w:p>
    <w:p>
      <w:pPr>
        <w:rPr>
          <w:rFonts w:hint="default" w:ascii="Times New Roman" w:hAnsi="Times New Roman" w:eastAsia="宋体" w:cs="Times New Roman"/>
        </w:rPr>
      </w:pPr>
      <w:r>
        <w:drawing>
          <wp:inline distT="0" distB="0" distL="114300" distR="114300">
            <wp:extent cx="5414010" cy="7897495"/>
            <wp:effectExtent l="0" t="0" r="15240" b="8255"/>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64"/>
                    <a:stretch>
                      <a:fillRect/>
                    </a:stretch>
                  </pic:blipFill>
                  <pic:spPr>
                    <a:xfrm>
                      <a:off x="0" y="0"/>
                      <a:ext cx="5414010" cy="7897495"/>
                    </a:xfrm>
                    <a:prstGeom prst="rect">
                      <a:avLst/>
                    </a:prstGeom>
                    <a:noFill/>
                    <a:ln>
                      <a:noFill/>
                    </a:ln>
                  </pic:spPr>
                </pic:pic>
              </a:graphicData>
            </a:graphic>
          </wp:inline>
        </w:drawing>
      </w:r>
    </w:p>
    <w:p>
      <w:pPr>
        <w:jc w:val="center"/>
        <w:rPr>
          <w:rFonts w:hint="default"/>
        </w:rPr>
      </w:pPr>
    </w:p>
    <w:p>
      <w:pPr>
        <w:jc w:val="center"/>
        <w:rPr>
          <w:rFonts w:hint="default"/>
        </w:rPr>
      </w:pPr>
    </w:p>
    <w:p>
      <w:pPr>
        <w:rPr>
          <w:rFonts w:hint="default"/>
        </w:rPr>
        <w:sectPr>
          <w:headerReference r:id="rId11" w:type="default"/>
          <w:footerReference r:id="rId12"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linePitch="312" w:charSpace="0"/>
        </w:sectPr>
      </w:pPr>
    </w:p>
    <w:p>
      <w:pPr>
        <w:pStyle w:val="38"/>
        <w:spacing w:line="360" w:lineRule="auto"/>
        <w:ind w:firstLine="0" w:firstLineChars="0"/>
        <w:jc w:val="left"/>
        <w:outlineLvl w:val="1"/>
        <w:rPr>
          <w:rFonts w:hint="default" w:ascii="Times New Roman" w:hAnsi="Times New Roman" w:eastAsia="宋体" w:cs="Times New Roman"/>
          <w:b/>
          <w:sz w:val="28"/>
          <w:szCs w:val="32"/>
          <w:lang w:val="en-US" w:eastAsia="zh-CN"/>
        </w:rPr>
      </w:pPr>
      <w:bookmarkStart w:id="94" w:name="_Toc523388562"/>
      <w:bookmarkStart w:id="95" w:name="_Toc523409014"/>
      <w:bookmarkStart w:id="96" w:name="_Toc23657"/>
      <w:r>
        <w:rPr>
          <w:rFonts w:hint="default" w:ascii="Times New Roman" w:hAnsi="Times New Roman" w:eastAsia="宋体" w:cs="Times New Roman"/>
          <w:b/>
          <w:sz w:val="28"/>
          <w:szCs w:val="32"/>
        </w:rPr>
        <w:t>附件</w:t>
      </w:r>
      <w:r>
        <w:rPr>
          <w:rFonts w:hint="eastAsia" w:ascii="Times New Roman" w:hAnsi="Times New Roman" w:eastAsia="宋体" w:cs="Times New Roman"/>
          <w:b/>
          <w:sz w:val="28"/>
          <w:szCs w:val="32"/>
          <w:lang w:val="en-US" w:eastAsia="zh-CN"/>
        </w:rPr>
        <w:t>6</w:t>
      </w:r>
      <w:r>
        <w:rPr>
          <w:rFonts w:hint="default" w:ascii="Times New Roman" w:hAnsi="Times New Roman" w:eastAsia="宋体" w:cs="Times New Roman"/>
          <w:b/>
          <w:sz w:val="28"/>
          <w:szCs w:val="32"/>
        </w:rPr>
        <w:t>：</w:t>
      </w:r>
      <w:bookmarkEnd w:id="94"/>
      <w:bookmarkEnd w:id="95"/>
      <w:r>
        <w:rPr>
          <w:rFonts w:hint="eastAsia" w:ascii="Times New Roman" w:hAnsi="Times New Roman" w:eastAsia="宋体" w:cs="Times New Roman"/>
          <w:b/>
          <w:sz w:val="28"/>
          <w:szCs w:val="32"/>
          <w:lang w:val="en-US" w:eastAsia="zh-CN"/>
        </w:rPr>
        <w:t>应急预案备案表</w:t>
      </w:r>
      <w:bookmarkEnd w:id="96"/>
    </w:p>
    <w:p>
      <w:pPr>
        <w:pStyle w:val="38"/>
        <w:spacing w:line="360" w:lineRule="auto"/>
        <w:ind w:firstLine="0" w:firstLineChars="0"/>
        <w:jc w:val="left"/>
        <w:outlineLvl w:val="9"/>
      </w:pPr>
      <w:bookmarkStart w:id="97" w:name="_Toc523409025"/>
      <w:bookmarkStart w:id="98" w:name="_Toc523388573"/>
      <w:r>
        <w:drawing>
          <wp:inline distT="0" distB="0" distL="114300" distR="114300">
            <wp:extent cx="5276215" cy="7185660"/>
            <wp:effectExtent l="0" t="0" r="635" b="15240"/>
            <wp:docPr id="26" name="图片 26" descr="170502291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705022912247"/>
                    <pic:cNvPicPr>
                      <a:picLocks noChangeAspect="1"/>
                    </pic:cNvPicPr>
                  </pic:nvPicPr>
                  <pic:blipFill>
                    <a:blip r:embed="rId65"/>
                    <a:stretch>
                      <a:fillRect/>
                    </a:stretch>
                  </pic:blipFill>
                  <pic:spPr>
                    <a:xfrm>
                      <a:off x="0" y="0"/>
                      <a:ext cx="5276215" cy="7185660"/>
                    </a:xfrm>
                    <a:prstGeom prst="rect">
                      <a:avLst/>
                    </a:prstGeom>
                  </pic:spPr>
                </pic:pic>
              </a:graphicData>
            </a:graphic>
          </wp:inline>
        </w:drawing>
      </w:r>
      <w:r>
        <w:drawing>
          <wp:inline distT="0" distB="0" distL="114300" distR="114300">
            <wp:extent cx="5343525" cy="7216140"/>
            <wp:effectExtent l="0" t="0" r="9525" b="3810"/>
            <wp:docPr id="27" name="图片 27" descr="170502294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705022943054"/>
                    <pic:cNvPicPr>
                      <a:picLocks noChangeAspect="1"/>
                    </pic:cNvPicPr>
                  </pic:nvPicPr>
                  <pic:blipFill>
                    <a:blip r:embed="rId66"/>
                    <a:stretch>
                      <a:fillRect/>
                    </a:stretch>
                  </pic:blipFill>
                  <pic:spPr>
                    <a:xfrm>
                      <a:off x="0" y="0"/>
                      <a:ext cx="5343525" cy="7216140"/>
                    </a:xfrm>
                    <a:prstGeom prst="rect">
                      <a:avLst/>
                    </a:prstGeom>
                  </pic:spPr>
                </pic:pic>
              </a:graphicData>
            </a:graphic>
          </wp:inline>
        </w:drawing>
      </w:r>
    </w:p>
    <w:p>
      <w:pPr>
        <w:pStyle w:val="38"/>
        <w:spacing w:line="360" w:lineRule="auto"/>
        <w:ind w:firstLine="0" w:firstLineChars="0"/>
        <w:jc w:val="left"/>
        <w:outlineLvl w:val="1"/>
      </w:pPr>
    </w:p>
    <w:p>
      <w:pPr>
        <w:pStyle w:val="38"/>
        <w:spacing w:line="360" w:lineRule="auto"/>
        <w:ind w:firstLine="0" w:firstLineChars="0"/>
        <w:jc w:val="left"/>
        <w:outlineLvl w:val="1"/>
      </w:pPr>
    </w:p>
    <w:p>
      <w:pPr>
        <w:pStyle w:val="38"/>
        <w:spacing w:line="360" w:lineRule="auto"/>
        <w:ind w:firstLine="0" w:firstLineChars="0"/>
        <w:jc w:val="left"/>
        <w:outlineLvl w:val="1"/>
      </w:pPr>
    </w:p>
    <w:p>
      <w:pPr>
        <w:pStyle w:val="38"/>
        <w:spacing w:line="360" w:lineRule="auto"/>
        <w:ind w:firstLine="0" w:firstLineChars="0"/>
        <w:jc w:val="left"/>
        <w:outlineLvl w:val="1"/>
      </w:pPr>
    </w:p>
    <w:p>
      <w:pPr>
        <w:pStyle w:val="38"/>
        <w:spacing w:line="360" w:lineRule="auto"/>
        <w:ind w:firstLine="0" w:firstLineChars="0"/>
        <w:jc w:val="left"/>
        <w:outlineLvl w:val="1"/>
      </w:pPr>
    </w:p>
    <w:p>
      <w:pPr>
        <w:pStyle w:val="38"/>
        <w:spacing w:line="360" w:lineRule="auto"/>
        <w:ind w:firstLine="0" w:firstLineChars="0"/>
        <w:jc w:val="left"/>
        <w:outlineLvl w:val="1"/>
      </w:pPr>
    </w:p>
    <w:p>
      <w:pPr>
        <w:pStyle w:val="38"/>
        <w:spacing w:line="360" w:lineRule="auto"/>
        <w:ind w:firstLine="0" w:firstLineChars="0"/>
        <w:jc w:val="left"/>
        <w:outlineLvl w:val="1"/>
        <w:rPr>
          <w:rFonts w:hint="default" w:ascii="Times New Roman" w:hAnsi="Times New Roman" w:eastAsia="宋体" w:cs="Times New Roman"/>
          <w:b/>
          <w:color w:val="auto"/>
          <w:sz w:val="28"/>
          <w:szCs w:val="32"/>
          <w:lang w:val="en-US" w:eastAsia="zh-CN"/>
        </w:rPr>
      </w:pPr>
      <w:bookmarkStart w:id="99" w:name="_Toc28308"/>
      <w:r>
        <w:rPr>
          <w:rFonts w:hint="default" w:ascii="Times New Roman" w:hAnsi="Times New Roman" w:eastAsia="宋体" w:cs="Times New Roman"/>
          <w:b/>
          <w:color w:val="auto"/>
          <w:sz w:val="28"/>
          <w:szCs w:val="32"/>
        </w:rPr>
        <w:t>附件</w:t>
      </w:r>
      <w:r>
        <w:rPr>
          <w:rFonts w:hint="eastAsia" w:ascii="Times New Roman" w:hAnsi="Times New Roman" w:eastAsia="宋体" w:cs="Times New Roman"/>
          <w:b/>
          <w:color w:val="auto"/>
          <w:sz w:val="28"/>
          <w:szCs w:val="32"/>
          <w:lang w:val="en-US" w:eastAsia="zh-CN"/>
        </w:rPr>
        <w:t>7</w:t>
      </w:r>
      <w:r>
        <w:rPr>
          <w:rFonts w:hint="default" w:ascii="Times New Roman" w:hAnsi="Times New Roman" w:eastAsia="宋体" w:cs="Times New Roman"/>
          <w:b/>
          <w:color w:val="auto"/>
          <w:sz w:val="28"/>
          <w:szCs w:val="32"/>
        </w:rPr>
        <w:t>：</w:t>
      </w:r>
      <w:r>
        <w:rPr>
          <w:rFonts w:hint="default" w:ascii="Times New Roman" w:hAnsi="Times New Roman" w:eastAsia="宋体" w:cs="Times New Roman"/>
          <w:b/>
          <w:color w:val="auto"/>
          <w:sz w:val="28"/>
          <w:szCs w:val="32"/>
          <w:lang w:val="en-US" w:eastAsia="zh-CN"/>
        </w:rPr>
        <w:t>排污许可证</w:t>
      </w:r>
      <w:bookmarkEnd w:id="99"/>
    </w:p>
    <w:p>
      <w:pPr>
        <w:outlineLvl w:val="9"/>
        <w:rPr>
          <w:rFonts w:hint="eastAsia" w:ascii="Times New Roman" w:hAnsi="Times New Roman" w:eastAsia="宋体" w:cs="Times New Roman"/>
          <w:sz w:val="24"/>
          <w:lang w:eastAsia="zh-CN"/>
        </w:rPr>
      </w:pPr>
      <w:r>
        <w:rPr>
          <w:rFonts w:hint="eastAsia" w:ascii="Times New Roman" w:hAnsi="Times New Roman" w:eastAsia="宋体" w:cs="Times New Roman"/>
          <w:sz w:val="24"/>
          <w:lang w:eastAsia="zh-CN"/>
        </w:rPr>
        <w:drawing>
          <wp:inline distT="0" distB="0" distL="114300" distR="114300">
            <wp:extent cx="5219065" cy="7696200"/>
            <wp:effectExtent l="0" t="0" r="635" b="0"/>
            <wp:docPr id="32" name="图片 32" descr="170502595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705025951761"/>
                    <pic:cNvPicPr>
                      <a:picLocks noChangeAspect="1"/>
                    </pic:cNvPicPr>
                  </pic:nvPicPr>
                  <pic:blipFill>
                    <a:blip r:embed="rId67"/>
                    <a:stretch>
                      <a:fillRect/>
                    </a:stretch>
                  </pic:blipFill>
                  <pic:spPr>
                    <a:xfrm>
                      <a:off x="0" y="0"/>
                      <a:ext cx="5219065" cy="7696200"/>
                    </a:xfrm>
                    <a:prstGeom prst="rect">
                      <a:avLst/>
                    </a:prstGeom>
                  </pic:spPr>
                </pic:pic>
              </a:graphicData>
            </a:graphic>
          </wp:inline>
        </w:drawing>
      </w:r>
    </w:p>
    <w:p>
      <w:pPr>
        <w:pStyle w:val="24"/>
        <w:spacing w:line="360" w:lineRule="auto"/>
        <w:outlineLvl w:val="9"/>
        <w:rPr>
          <w:rFonts w:hint="default" w:ascii="Times New Roman" w:hAnsi="Times New Roman" w:eastAsia="宋体" w:cs="Times New Roman"/>
          <w:sz w:val="24"/>
        </w:rPr>
      </w:pPr>
    </w:p>
    <w:p>
      <w:pPr>
        <w:pStyle w:val="21"/>
        <w:spacing w:line="360" w:lineRule="auto"/>
        <w:rPr>
          <w:rFonts w:hint="default" w:ascii="Times New Roman" w:hAnsi="Times New Roman" w:eastAsia="宋体" w:cs="Times New Roman"/>
          <w:sz w:val="24"/>
        </w:rPr>
      </w:pPr>
    </w:p>
    <w:p>
      <w:pPr>
        <w:spacing w:line="360" w:lineRule="auto"/>
        <w:rPr>
          <w:rFonts w:hint="default"/>
        </w:rPr>
      </w:pPr>
    </w:p>
    <w:p>
      <w:pPr>
        <w:pStyle w:val="38"/>
        <w:spacing w:line="360" w:lineRule="auto"/>
        <w:ind w:firstLine="0" w:firstLineChars="0"/>
        <w:jc w:val="left"/>
        <w:outlineLvl w:val="1"/>
        <w:rPr>
          <w:rFonts w:hint="eastAsia" w:ascii="Times New Roman" w:hAnsi="Times New Roman" w:eastAsia="宋体" w:cs="Times New Roman"/>
          <w:b/>
          <w:color w:val="auto"/>
          <w:sz w:val="28"/>
          <w:szCs w:val="32"/>
          <w:lang w:val="en-US" w:eastAsia="zh-CN"/>
        </w:rPr>
      </w:pPr>
      <w:bookmarkStart w:id="100" w:name="_Toc13934"/>
      <w:r>
        <w:rPr>
          <w:rFonts w:hint="default" w:ascii="Times New Roman" w:hAnsi="Times New Roman" w:eastAsia="宋体" w:cs="Times New Roman"/>
          <w:b/>
          <w:color w:val="auto"/>
          <w:sz w:val="28"/>
          <w:szCs w:val="32"/>
        </w:rPr>
        <w:t>附件</w:t>
      </w:r>
      <w:r>
        <w:rPr>
          <w:rFonts w:hint="eastAsia" w:ascii="Times New Roman" w:hAnsi="Times New Roman" w:eastAsia="宋体" w:cs="Times New Roman"/>
          <w:b/>
          <w:color w:val="auto"/>
          <w:sz w:val="28"/>
          <w:szCs w:val="32"/>
          <w:lang w:val="en-US" w:eastAsia="zh-CN"/>
        </w:rPr>
        <w:t>8</w:t>
      </w:r>
      <w:r>
        <w:rPr>
          <w:rFonts w:hint="default" w:ascii="Times New Roman" w:hAnsi="Times New Roman" w:eastAsia="宋体" w:cs="Times New Roman"/>
          <w:b/>
          <w:color w:val="auto"/>
          <w:sz w:val="28"/>
          <w:szCs w:val="32"/>
        </w:rPr>
        <w:t>：</w:t>
      </w:r>
      <w:r>
        <w:rPr>
          <w:rFonts w:hint="eastAsia" w:ascii="Times New Roman" w:hAnsi="Times New Roman" w:eastAsia="宋体" w:cs="Times New Roman"/>
          <w:b/>
          <w:color w:val="auto"/>
          <w:sz w:val="28"/>
          <w:szCs w:val="32"/>
          <w:lang w:val="en-US" w:eastAsia="zh-CN"/>
        </w:rPr>
        <w:t>危废转运协议</w:t>
      </w:r>
      <w:bookmarkEnd w:id="100"/>
    </w:p>
    <w:p>
      <w:pPr>
        <w:widowControl w:val="0"/>
        <w:snapToGrid/>
        <w:spacing w:beforeLines="0" w:after="120" w:line="240" w:lineRule="auto"/>
        <w:ind w:left="0" w:leftChars="0" w:firstLine="0" w:firstLineChars="0"/>
        <w:jc w:val="both"/>
        <w:outlineLvl w:val="9"/>
        <w:rPr>
          <w:rFonts w:hint="eastAsia" w:ascii="Times New Roman" w:hAnsi="Times New Roman" w:eastAsia="宋体" w:cs="Times New Roman"/>
          <w:kern w:val="0"/>
          <w:sz w:val="21"/>
          <w:szCs w:val="20"/>
          <w:lang w:val="en-US" w:eastAsia="zh-CN" w:bidi="ar-SA"/>
        </w:rPr>
      </w:pPr>
      <w:r>
        <w:rPr>
          <w:rFonts w:hint="eastAsia" w:ascii="Times New Roman" w:hAnsi="Times New Roman" w:eastAsia="宋体" w:cs="Times New Roman"/>
          <w:kern w:val="0"/>
          <w:sz w:val="21"/>
          <w:szCs w:val="20"/>
          <w:lang w:val="en-US" w:eastAsia="zh-CN" w:bidi="ar-SA"/>
        </w:rPr>
        <w:drawing>
          <wp:inline distT="0" distB="0" distL="114300" distR="114300">
            <wp:extent cx="5374640" cy="7469505"/>
            <wp:effectExtent l="0" t="0" r="16510" b="17145"/>
            <wp:docPr id="8" name="图片 8" descr="170538935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705389355257"/>
                    <pic:cNvPicPr>
                      <a:picLocks noChangeAspect="1"/>
                    </pic:cNvPicPr>
                  </pic:nvPicPr>
                  <pic:blipFill>
                    <a:blip r:embed="rId68"/>
                    <a:stretch>
                      <a:fillRect/>
                    </a:stretch>
                  </pic:blipFill>
                  <pic:spPr>
                    <a:xfrm>
                      <a:off x="0" y="0"/>
                      <a:ext cx="5374640" cy="7469505"/>
                    </a:xfrm>
                    <a:prstGeom prst="rect">
                      <a:avLst/>
                    </a:prstGeom>
                  </pic:spPr>
                </pic:pic>
              </a:graphicData>
            </a:graphic>
          </wp:inline>
        </w:drawing>
      </w:r>
      <w:r>
        <w:drawing>
          <wp:inline distT="0" distB="0" distL="114300" distR="114300">
            <wp:extent cx="5250180" cy="6983730"/>
            <wp:effectExtent l="0" t="0" r="7620" b="762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69"/>
                    <a:stretch>
                      <a:fillRect/>
                    </a:stretch>
                  </pic:blipFill>
                  <pic:spPr>
                    <a:xfrm>
                      <a:off x="0" y="0"/>
                      <a:ext cx="5250180" cy="6983730"/>
                    </a:xfrm>
                    <a:prstGeom prst="rect">
                      <a:avLst/>
                    </a:prstGeom>
                    <a:noFill/>
                    <a:ln>
                      <a:noFill/>
                    </a:ln>
                  </pic:spPr>
                </pic:pic>
              </a:graphicData>
            </a:graphic>
          </wp:inline>
        </w:drawing>
      </w:r>
      <w:r>
        <w:drawing>
          <wp:inline distT="0" distB="0" distL="114300" distR="114300">
            <wp:extent cx="5238750" cy="7027545"/>
            <wp:effectExtent l="0" t="0" r="0" b="190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70"/>
                    <a:stretch>
                      <a:fillRect/>
                    </a:stretch>
                  </pic:blipFill>
                  <pic:spPr>
                    <a:xfrm>
                      <a:off x="0" y="0"/>
                      <a:ext cx="5238750" cy="7027545"/>
                    </a:xfrm>
                    <a:prstGeom prst="rect">
                      <a:avLst/>
                    </a:prstGeom>
                    <a:noFill/>
                    <a:ln>
                      <a:noFill/>
                    </a:ln>
                  </pic:spPr>
                </pic:pic>
              </a:graphicData>
            </a:graphic>
          </wp:inline>
        </w:drawing>
      </w:r>
      <w:r>
        <w:drawing>
          <wp:inline distT="0" distB="0" distL="114300" distR="114300">
            <wp:extent cx="5257165" cy="6910705"/>
            <wp:effectExtent l="0" t="0" r="635" b="4445"/>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71"/>
                    <a:stretch>
                      <a:fillRect/>
                    </a:stretch>
                  </pic:blipFill>
                  <pic:spPr>
                    <a:xfrm>
                      <a:off x="0" y="0"/>
                      <a:ext cx="5257165" cy="6910705"/>
                    </a:xfrm>
                    <a:prstGeom prst="rect">
                      <a:avLst/>
                    </a:prstGeom>
                    <a:noFill/>
                    <a:ln>
                      <a:noFill/>
                    </a:ln>
                  </pic:spPr>
                </pic:pic>
              </a:graphicData>
            </a:graphic>
          </wp:inline>
        </w:drawing>
      </w:r>
      <w:r>
        <w:drawing>
          <wp:inline distT="0" distB="0" distL="114300" distR="114300">
            <wp:extent cx="5287645" cy="7003415"/>
            <wp:effectExtent l="0" t="0" r="8255" b="6985"/>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72"/>
                    <a:stretch>
                      <a:fillRect/>
                    </a:stretch>
                  </pic:blipFill>
                  <pic:spPr>
                    <a:xfrm>
                      <a:off x="0" y="0"/>
                      <a:ext cx="5287645" cy="7003415"/>
                    </a:xfrm>
                    <a:prstGeom prst="rect">
                      <a:avLst/>
                    </a:prstGeom>
                    <a:noFill/>
                    <a:ln>
                      <a:noFill/>
                    </a:ln>
                  </pic:spPr>
                </pic:pic>
              </a:graphicData>
            </a:graphic>
          </wp:inline>
        </w:drawing>
      </w:r>
      <w:r>
        <w:drawing>
          <wp:inline distT="0" distB="0" distL="114300" distR="114300">
            <wp:extent cx="5290185" cy="6877050"/>
            <wp:effectExtent l="0" t="0" r="5715" b="0"/>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73"/>
                    <a:stretch>
                      <a:fillRect/>
                    </a:stretch>
                  </pic:blipFill>
                  <pic:spPr>
                    <a:xfrm>
                      <a:off x="0" y="0"/>
                      <a:ext cx="5290185" cy="6877050"/>
                    </a:xfrm>
                    <a:prstGeom prst="rect">
                      <a:avLst/>
                    </a:prstGeom>
                    <a:noFill/>
                    <a:ln>
                      <a:noFill/>
                    </a:ln>
                  </pic:spPr>
                </pic:pic>
              </a:graphicData>
            </a:graphic>
          </wp:inline>
        </w:drawing>
      </w:r>
      <w:r>
        <w:drawing>
          <wp:inline distT="0" distB="0" distL="114300" distR="114300">
            <wp:extent cx="5281930" cy="6937375"/>
            <wp:effectExtent l="0" t="0" r="13970" b="15875"/>
            <wp:docPr id="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pic:cNvPicPr>
                      <a:picLocks noChangeAspect="1"/>
                    </pic:cNvPicPr>
                  </pic:nvPicPr>
                  <pic:blipFill>
                    <a:blip r:embed="rId74"/>
                    <a:stretch>
                      <a:fillRect/>
                    </a:stretch>
                  </pic:blipFill>
                  <pic:spPr>
                    <a:xfrm>
                      <a:off x="0" y="0"/>
                      <a:ext cx="5281930" cy="6937375"/>
                    </a:xfrm>
                    <a:prstGeom prst="rect">
                      <a:avLst/>
                    </a:prstGeom>
                    <a:noFill/>
                    <a:ln>
                      <a:noFill/>
                    </a:ln>
                  </pic:spPr>
                </pic:pic>
              </a:graphicData>
            </a:graphic>
          </wp:inline>
        </w:drawing>
      </w:r>
    </w:p>
    <w:p>
      <w:pPr>
        <w:pStyle w:val="38"/>
        <w:spacing w:line="360" w:lineRule="auto"/>
        <w:ind w:firstLine="0" w:firstLineChars="0"/>
        <w:jc w:val="left"/>
        <w:outlineLvl w:val="9"/>
        <w:rPr>
          <w:rFonts w:hint="default" w:ascii="Times New Roman" w:hAnsi="Times New Roman" w:eastAsia="宋体" w:cs="Times New Roman"/>
          <w:b/>
          <w:color w:val="auto"/>
          <w:sz w:val="28"/>
          <w:szCs w:val="32"/>
        </w:rPr>
      </w:pPr>
    </w:p>
    <w:p>
      <w:pPr>
        <w:pStyle w:val="38"/>
        <w:spacing w:line="360" w:lineRule="auto"/>
        <w:ind w:firstLine="0" w:firstLineChars="0"/>
        <w:jc w:val="left"/>
        <w:outlineLvl w:val="9"/>
        <w:rPr>
          <w:rFonts w:hint="default" w:ascii="Times New Roman" w:hAnsi="Times New Roman" w:eastAsia="宋体" w:cs="Times New Roman"/>
          <w:b/>
          <w:color w:val="auto"/>
          <w:sz w:val="28"/>
          <w:szCs w:val="32"/>
        </w:rPr>
      </w:pPr>
    </w:p>
    <w:p>
      <w:pPr>
        <w:pStyle w:val="38"/>
        <w:spacing w:line="360" w:lineRule="auto"/>
        <w:ind w:firstLine="0" w:firstLineChars="0"/>
        <w:jc w:val="left"/>
        <w:outlineLvl w:val="9"/>
        <w:rPr>
          <w:rFonts w:hint="default" w:ascii="Times New Roman" w:hAnsi="Times New Roman" w:eastAsia="宋体" w:cs="Times New Roman"/>
          <w:b/>
          <w:color w:val="auto"/>
          <w:sz w:val="28"/>
          <w:szCs w:val="32"/>
        </w:rPr>
      </w:pPr>
    </w:p>
    <w:p>
      <w:pPr>
        <w:pStyle w:val="38"/>
        <w:spacing w:line="360" w:lineRule="auto"/>
        <w:ind w:firstLine="0" w:firstLineChars="0"/>
        <w:jc w:val="left"/>
        <w:outlineLvl w:val="9"/>
        <w:rPr>
          <w:rFonts w:hint="default" w:ascii="Times New Roman" w:hAnsi="Times New Roman" w:eastAsia="宋体" w:cs="Times New Roman"/>
          <w:b/>
          <w:color w:val="auto"/>
          <w:sz w:val="28"/>
          <w:szCs w:val="32"/>
        </w:rPr>
      </w:pPr>
    </w:p>
    <w:p>
      <w:pPr>
        <w:pStyle w:val="38"/>
        <w:spacing w:line="360" w:lineRule="auto"/>
        <w:ind w:firstLine="0" w:firstLineChars="0"/>
        <w:jc w:val="left"/>
        <w:outlineLvl w:val="9"/>
        <w:rPr>
          <w:rFonts w:hint="default" w:ascii="Times New Roman" w:hAnsi="Times New Roman" w:eastAsia="宋体" w:cs="Times New Roman"/>
          <w:b/>
          <w:color w:val="auto"/>
          <w:sz w:val="28"/>
          <w:szCs w:val="32"/>
        </w:rPr>
      </w:pPr>
    </w:p>
    <w:p>
      <w:pPr>
        <w:pStyle w:val="38"/>
        <w:spacing w:line="360" w:lineRule="auto"/>
        <w:ind w:firstLine="0" w:firstLineChars="0"/>
        <w:jc w:val="left"/>
        <w:outlineLvl w:val="9"/>
        <w:rPr>
          <w:rFonts w:hint="default" w:ascii="Times New Roman" w:hAnsi="Times New Roman" w:eastAsia="宋体" w:cs="Times New Roman"/>
          <w:b/>
          <w:color w:val="auto"/>
          <w:sz w:val="28"/>
          <w:szCs w:val="32"/>
        </w:rPr>
      </w:pPr>
    </w:p>
    <w:p>
      <w:pPr>
        <w:pStyle w:val="38"/>
        <w:spacing w:line="360" w:lineRule="auto"/>
        <w:ind w:firstLine="0" w:firstLineChars="0"/>
        <w:jc w:val="left"/>
        <w:outlineLvl w:val="1"/>
        <w:rPr>
          <w:rFonts w:hint="default" w:ascii="Times New Roman" w:hAnsi="Times New Roman" w:eastAsia="宋体" w:cs="Times New Roman"/>
          <w:b/>
          <w:color w:val="auto"/>
          <w:sz w:val="28"/>
          <w:szCs w:val="32"/>
          <w:lang w:val="en-US" w:eastAsia="zh-CN"/>
        </w:rPr>
      </w:pPr>
      <w:bookmarkStart w:id="101" w:name="_Toc21438"/>
      <w:r>
        <w:rPr>
          <w:rFonts w:hint="eastAsia" w:ascii="Times New Roman" w:hAnsi="Times New Roman" w:eastAsia="宋体" w:cs="Times New Roman"/>
          <w:b/>
          <w:color w:val="auto"/>
          <w:sz w:val="28"/>
          <w:szCs w:val="32"/>
          <w:lang w:val="en-US" w:eastAsia="zh-CN"/>
        </w:rPr>
        <w:t>附件9：污水接纳处理协议</w:t>
      </w:r>
      <w:bookmarkEnd w:id="101"/>
    </w:p>
    <w:p>
      <w:pPr>
        <w:pStyle w:val="38"/>
        <w:spacing w:line="360" w:lineRule="auto"/>
        <w:ind w:firstLine="0" w:firstLineChars="0"/>
        <w:jc w:val="left"/>
        <w:outlineLvl w:val="9"/>
        <w:rPr>
          <w:rFonts w:hint="default" w:ascii="Times New Roman" w:hAnsi="Times New Roman" w:eastAsia="宋体" w:cs="Times New Roman"/>
          <w:b/>
          <w:color w:val="auto"/>
          <w:sz w:val="28"/>
          <w:szCs w:val="32"/>
          <w:lang w:val="en-US" w:eastAsia="zh-CN"/>
        </w:rPr>
      </w:pPr>
      <w:r>
        <w:rPr>
          <w:rFonts w:hint="default" w:ascii="Times New Roman" w:hAnsi="Times New Roman" w:eastAsia="宋体" w:cs="Times New Roman"/>
          <w:b/>
          <w:color w:val="auto"/>
          <w:sz w:val="28"/>
          <w:szCs w:val="32"/>
          <w:lang w:val="en-US" w:eastAsia="zh-CN"/>
        </w:rPr>
        <w:drawing>
          <wp:inline distT="0" distB="0" distL="114300" distR="114300">
            <wp:extent cx="5274310" cy="7494270"/>
            <wp:effectExtent l="0" t="0" r="2540" b="11430"/>
            <wp:docPr id="4" name="图片 4" descr="1705556016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705556016370"/>
                    <pic:cNvPicPr>
                      <a:picLocks noChangeAspect="1"/>
                    </pic:cNvPicPr>
                  </pic:nvPicPr>
                  <pic:blipFill>
                    <a:blip r:embed="rId75"/>
                    <a:stretch>
                      <a:fillRect/>
                    </a:stretch>
                  </pic:blipFill>
                  <pic:spPr>
                    <a:xfrm>
                      <a:off x="0" y="0"/>
                      <a:ext cx="5274310" cy="7494270"/>
                    </a:xfrm>
                    <a:prstGeom prst="rect">
                      <a:avLst/>
                    </a:prstGeom>
                  </pic:spPr>
                </pic:pic>
              </a:graphicData>
            </a:graphic>
          </wp:inline>
        </w:drawing>
      </w:r>
      <w:r>
        <w:drawing>
          <wp:inline distT="0" distB="0" distL="114300" distR="114300">
            <wp:extent cx="5486400" cy="7677150"/>
            <wp:effectExtent l="0" t="0" r="0" b="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76"/>
                    <a:stretch>
                      <a:fillRect/>
                    </a:stretch>
                  </pic:blipFill>
                  <pic:spPr>
                    <a:xfrm>
                      <a:off x="0" y="0"/>
                      <a:ext cx="5486400" cy="7677150"/>
                    </a:xfrm>
                    <a:prstGeom prst="rect">
                      <a:avLst/>
                    </a:prstGeom>
                    <a:noFill/>
                    <a:ln>
                      <a:noFill/>
                    </a:ln>
                  </pic:spPr>
                </pic:pic>
              </a:graphicData>
            </a:graphic>
          </wp:inline>
        </w:drawing>
      </w:r>
      <w:r>
        <w:drawing>
          <wp:inline distT="0" distB="0" distL="114300" distR="114300">
            <wp:extent cx="5572125" cy="7381875"/>
            <wp:effectExtent l="0" t="0" r="9525" b="952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77"/>
                    <a:stretch>
                      <a:fillRect/>
                    </a:stretch>
                  </pic:blipFill>
                  <pic:spPr>
                    <a:xfrm>
                      <a:off x="0" y="0"/>
                      <a:ext cx="5572125" cy="7381875"/>
                    </a:xfrm>
                    <a:prstGeom prst="rect">
                      <a:avLst/>
                    </a:prstGeom>
                    <a:noFill/>
                    <a:ln>
                      <a:noFill/>
                    </a:ln>
                  </pic:spPr>
                </pic:pic>
              </a:graphicData>
            </a:graphic>
          </wp:inline>
        </w:drawing>
      </w:r>
      <w:r>
        <w:drawing>
          <wp:inline distT="0" distB="0" distL="114300" distR="114300">
            <wp:extent cx="5448300" cy="7458075"/>
            <wp:effectExtent l="0" t="0" r="0" b="9525"/>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78"/>
                    <a:stretch>
                      <a:fillRect/>
                    </a:stretch>
                  </pic:blipFill>
                  <pic:spPr>
                    <a:xfrm>
                      <a:off x="0" y="0"/>
                      <a:ext cx="5448300" cy="7458075"/>
                    </a:xfrm>
                    <a:prstGeom prst="rect">
                      <a:avLst/>
                    </a:prstGeom>
                    <a:noFill/>
                    <a:ln>
                      <a:noFill/>
                    </a:ln>
                  </pic:spPr>
                </pic:pic>
              </a:graphicData>
            </a:graphic>
          </wp:inline>
        </w:drawing>
      </w:r>
      <w:r>
        <w:drawing>
          <wp:inline distT="0" distB="0" distL="114300" distR="114300">
            <wp:extent cx="5591175" cy="7477125"/>
            <wp:effectExtent l="0" t="0" r="9525" b="9525"/>
            <wp:docPr id="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
                    <pic:cNvPicPr>
                      <a:picLocks noChangeAspect="1"/>
                    </pic:cNvPicPr>
                  </pic:nvPicPr>
                  <pic:blipFill>
                    <a:blip r:embed="rId79"/>
                    <a:stretch>
                      <a:fillRect/>
                    </a:stretch>
                  </pic:blipFill>
                  <pic:spPr>
                    <a:xfrm>
                      <a:off x="0" y="0"/>
                      <a:ext cx="5591175" cy="7477125"/>
                    </a:xfrm>
                    <a:prstGeom prst="rect">
                      <a:avLst/>
                    </a:prstGeom>
                    <a:noFill/>
                    <a:ln>
                      <a:noFill/>
                    </a:ln>
                  </pic:spPr>
                </pic:pic>
              </a:graphicData>
            </a:graphic>
          </wp:inline>
        </w:drawing>
      </w:r>
      <w:r>
        <w:drawing>
          <wp:inline distT="0" distB="0" distL="114300" distR="114300">
            <wp:extent cx="5562600" cy="7439025"/>
            <wp:effectExtent l="0" t="0" r="0" b="9525"/>
            <wp:docPr id="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7"/>
                    <pic:cNvPicPr>
                      <a:picLocks noChangeAspect="1"/>
                    </pic:cNvPicPr>
                  </pic:nvPicPr>
                  <pic:blipFill>
                    <a:blip r:embed="rId80"/>
                    <a:stretch>
                      <a:fillRect/>
                    </a:stretch>
                  </pic:blipFill>
                  <pic:spPr>
                    <a:xfrm>
                      <a:off x="0" y="0"/>
                      <a:ext cx="5562600" cy="7439025"/>
                    </a:xfrm>
                    <a:prstGeom prst="rect">
                      <a:avLst/>
                    </a:prstGeom>
                    <a:noFill/>
                    <a:ln>
                      <a:noFill/>
                    </a:ln>
                  </pic:spPr>
                </pic:pic>
              </a:graphicData>
            </a:graphic>
          </wp:inline>
        </w:drawing>
      </w:r>
      <w:r>
        <w:drawing>
          <wp:inline distT="0" distB="0" distL="114300" distR="114300">
            <wp:extent cx="5562600" cy="7219950"/>
            <wp:effectExtent l="0" t="0" r="0" b="0"/>
            <wp:docPr id="6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8"/>
                    <pic:cNvPicPr>
                      <a:picLocks noChangeAspect="1"/>
                    </pic:cNvPicPr>
                  </pic:nvPicPr>
                  <pic:blipFill>
                    <a:blip r:embed="rId81"/>
                    <a:stretch>
                      <a:fillRect/>
                    </a:stretch>
                  </pic:blipFill>
                  <pic:spPr>
                    <a:xfrm>
                      <a:off x="0" y="0"/>
                      <a:ext cx="5562600" cy="7219950"/>
                    </a:xfrm>
                    <a:prstGeom prst="rect">
                      <a:avLst/>
                    </a:prstGeom>
                    <a:noFill/>
                    <a:ln>
                      <a:noFill/>
                    </a:ln>
                  </pic:spPr>
                </pic:pic>
              </a:graphicData>
            </a:graphic>
          </wp:inline>
        </w:drawing>
      </w:r>
      <w:r>
        <w:drawing>
          <wp:inline distT="0" distB="0" distL="114300" distR="114300">
            <wp:extent cx="5353050" cy="7400925"/>
            <wp:effectExtent l="0" t="0" r="0" b="9525"/>
            <wp:docPr id="6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9"/>
                    <pic:cNvPicPr>
                      <a:picLocks noChangeAspect="1"/>
                    </pic:cNvPicPr>
                  </pic:nvPicPr>
                  <pic:blipFill>
                    <a:blip r:embed="rId82"/>
                    <a:stretch>
                      <a:fillRect/>
                    </a:stretch>
                  </pic:blipFill>
                  <pic:spPr>
                    <a:xfrm>
                      <a:off x="0" y="0"/>
                      <a:ext cx="5353050" cy="7400925"/>
                    </a:xfrm>
                    <a:prstGeom prst="rect">
                      <a:avLst/>
                    </a:prstGeom>
                    <a:noFill/>
                    <a:ln>
                      <a:noFill/>
                    </a:ln>
                  </pic:spPr>
                </pic:pic>
              </a:graphicData>
            </a:graphic>
          </wp:inline>
        </w:drawing>
      </w:r>
    </w:p>
    <w:p>
      <w:pPr>
        <w:pStyle w:val="38"/>
        <w:spacing w:line="360" w:lineRule="auto"/>
        <w:ind w:firstLine="0" w:firstLineChars="0"/>
        <w:jc w:val="left"/>
        <w:outlineLvl w:val="9"/>
        <w:rPr>
          <w:rFonts w:hint="default" w:ascii="Times New Roman" w:hAnsi="Times New Roman" w:eastAsia="宋体" w:cs="Times New Roman"/>
          <w:b/>
          <w:color w:val="auto"/>
          <w:sz w:val="28"/>
          <w:szCs w:val="32"/>
          <w:lang w:val="en-US" w:eastAsia="zh-CN"/>
        </w:rPr>
      </w:pPr>
    </w:p>
    <w:p>
      <w:pPr>
        <w:pStyle w:val="38"/>
        <w:spacing w:line="360" w:lineRule="auto"/>
        <w:ind w:firstLine="0" w:firstLineChars="0"/>
        <w:jc w:val="left"/>
        <w:outlineLvl w:val="9"/>
        <w:rPr>
          <w:rFonts w:hint="default" w:ascii="Times New Roman" w:hAnsi="Times New Roman" w:eastAsia="宋体" w:cs="Times New Roman"/>
          <w:b/>
          <w:color w:val="auto"/>
          <w:sz w:val="28"/>
          <w:szCs w:val="32"/>
          <w:lang w:val="en-US" w:eastAsia="zh-CN"/>
        </w:rPr>
      </w:pPr>
    </w:p>
    <w:p>
      <w:pPr>
        <w:pStyle w:val="38"/>
        <w:spacing w:line="360" w:lineRule="auto"/>
        <w:ind w:firstLine="0" w:firstLineChars="0"/>
        <w:jc w:val="left"/>
        <w:outlineLvl w:val="9"/>
        <w:rPr>
          <w:rFonts w:hint="default" w:ascii="Times New Roman" w:hAnsi="Times New Roman" w:eastAsia="宋体" w:cs="Times New Roman"/>
          <w:b/>
          <w:color w:val="auto"/>
          <w:sz w:val="28"/>
          <w:szCs w:val="32"/>
          <w:lang w:val="en-US" w:eastAsia="zh-CN"/>
        </w:rPr>
      </w:pPr>
    </w:p>
    <w:p>
      <w:pPr>
        <w:pStyle w:val="38"/>
        <w:spacing w:line="360" w:lineRule="auto"/>
        <w:ind w:firstLine="0" w:firstLineChars="0"/>
        <w:jc w:val="left"/>
        <w:outlineLvl w:val="9"/>
        <w:rPr>
          <w:rFonts w:hint="default" w:ascii="Times New Roman" w:hAnsi="Times New Roman" w:eastAsia="宋体" w:cs="Times New Roman"/>
          <w:b/>
          <w:color w:val="auto"/>
          <w:sz w:val="28"/>
          <w:szCs w:val="32"/>
          <w:lang w:val="en-US" w:eastAsia="zh-CN"/>
        </w:rPr>
      </w:pPr>
    </w:p>
    <w:p>
      <w:pPr>
        <w:pStyle w:val="38"/>
        <w:spacing w:line="360" w:lineRule="auto"/>
        <w:ind w:firstLine="0" w:firstLineChars="0"/>
        <w:jc w:val="left"/>
        <w:outlineLvl w:val="1"/>
        <w:rPr>
          <w:rFonts w:hint="default" w:ascii="Times New Roman" w:hAnsi="Times New Roman" w:eastAsia="宋体" w:cs="Times New Roman"/>
          <w:b/>
          <w:color w:val="auto"/>
          <w:sz w:val="28"/>
          <w:szCs w:val="32"/>
          <w:lang w:val="en-US" w:eastAsia="zh-CN"/>
        </w:rPr>
      </w:pPr>
      <w:bookmarkStart w:id="102" w:name="_Toc3428"/>
      <w:r>
        <w:rPr>
          <w:rFonts w:hint="default" w:ascii="Times New Roman" w:hAnsi="Times New Roman" w:eastAsia="宋体" w:cs="Times New Roman"/>
          <w:b/>
          <w:color w:val="auto"/>
          <w:sz w:val="28"/>
          <w:szCs w:val="32"/>
          <w:lang w:val="en-US" w:eastAsia="zh-CN"/>
        </w:rPr>
        <w:t>附件</w:t>
      </w:r>
      <w:r>
        <w:rPr>
          <w:rFonts w:hint="eastAsia" w:ascii="Times New Roman" w:hAnsi="Times New Roman" w:eastAsia="宋体" w:cs="Times New Roman"/>
          <w:b/>
          <w:color w:val="auto"/>
          <w:sz w:val="28"/>
          <w:szCs w:val="32"/>
          <w:lang w:val="en-US" w:eastAsia="zh-CN"/>
        </w:rPr>
        <w:t>10</w:t>
      </w:r>
      <w:r>
        <w:rPr>
          <w:rFonts w:hint="default" w:ascii="Times New Roman" w:hAnsi="Times New Roman" w:eastAsia="宋体" w:cs="Times New Roman"/>
          <w:b/>
          <w:color w:val="auto"/>
          <w:sz w:val="28"/>
          <w:szCs w:val="32"/>
          <w:lang w:val="en-US" w:eastAsia="zh-CN"/>
        </w:rPr>
        <w:t>：监测报告</w:t>
      </w:r>
      <w:bookmarkEnd w:id="102"/>
    </w:p>
    <w:p>
      <w:pPr>
        <w:pStyle w:val="38"/>
        <w:spacing w:line="360" w:lineRule="auto"/>
        <w:ind w:firstLine="0" w:firstLineChars="0"/>
        <w:jc w:val="left"/>
        <w:outlineLvl w:val="9"/>
        <w:rPr>
          <w:rFonts w:hint="default" w:ascii="Times New Roman" w:hAnsi="Times New Roman" w:eastAsia="宋体" w:cs="Times New Roman"/>
          <w:b/>
          <w:color w:val="auto"/>
          <w:sz w:val="28"/>
          <w:szCs w:val="32"/>
        </w:rPr>
      </w:pPr>
      <w:r>
        <w:drawing>
          <wp:inline distT="0" distB="0" distL="114300" distR="114300">
            <wp:extent cx="5249545" cy="7493000"/>
            <wp:effectExtent l="0" t="0" r="8255" b="12700"/>
            <wp:docPr id="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pic:cNvPicPr>
                      <a:picLocks noChangeAspect="1"/>
                    </pic:cNvPicPr>
                  </pic:nvPicPr>
                  <pic:blipFill>
                    <a:blip r:embed="rId83"/>
                    <a:stretch>
                      <a:fillRect/>
                    </a:stretch>
                  </pic:blipFill>
                  <pic:spPr>
                    <a:xfrm>
                      <a:off x="0" y="0"/>
                      <a:ext cx="5249545" cy="7493000"/>
                    </a:xfrm>
                    <a:prstGeom prst="rect">
                      <a:avLst/>
                    </a:prstGeom>
                    <a:noFill/>
                    <a:ln>
                      <a:noFill/>
                    </a:ln>
                  </pic:spPr>
                </pic:pic>
              </a:graphicData>
            </a:graphic>
          </wp:inline>
        </w:drawing>
      </w:r>
      <w:r>
        <w:rPr>
          <w:rFonts w:hint="default" w:ascii="Times New Roman" w:hAnsi="Times New Roman" w:eastAsia="黑体"/>
          <w:b/>
          <w:bCs/>
          <w:color w:val="auto"/>
          <w:sz w:val="24"/>
          <w:szCs w:val="24"/>
          <w:lang w:val="en-US" w:eastAsia="zh-CN"/>
        </w:rPr>
        <w:drawing>
          <wp:inline distT="0" distB="0" distL="114300" distR="114300">
            <wp:extent cx="5262880" cy="7499350"/>
            <wp:effectExtent l="0" t="0" r="13970" b="6350"/>
            <wp:docPr id="38" name="图片 27" descr="资质认定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7" descr="资质认定证书"/>
                    <pic:cNvPicPr>
                      <a:picLocks noChangeAspect="1"/>
                    </pic:cNvPicPr>
                  </pic:nvPicPr>
                  <pic:blipFill>
                    <a:blip r:embed="rId84"/>
                    <a:stretch>
                      <a:fillRect/>
                    </a:stretch>
                  </pic:blipFill>
                  <pic:spPr>
                    <a:xfrm>
                      <a:off x="0" y="0"/>
                      <a:ext cx="5262880" cy="7499350"/>
                    </a:xfrm>
                    <a:prstGeom prst="rect">
                      <a:avLst/>
                    </a:prstGeom>
                    <a:noFill/>
                    <a:ln>
                      <a:noFill/>
                    </a:ln>
                  </pic:spPr>
                </pic:pic>
              </a:graphicData>
            </a:graphic>
          </wp:inline>
        </w:drawing>
      </w:r>
      <w:r>
        <w:drawing>
          <wp:inline distT="0" distB="0" distL="114300" distR="114300">
            <wp:extent cx="5114925" cy="7153275"/>
            <wp:effectExtent l="0" t="0" r="9525" b="9525"/>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85"/>
                    <a:stretch>
                      <a:fillRect/>
                    </a:stretch>
                  </pic:blipFill>
                  <pic:spPr>
                    <a:xfrm>
                      <a:off x="0" y="0"/>
                      <a:ext cx="5114925" cy="7153275"/>
                    </a:xfrm>
                    <a:prstGeom prst="rect">
                      <a:avLst/>
                    </a:prstGeom>
                    <a:noFill/>
                    <a:ln>
                      <a:noFill/>
                    </a:ln>
                  </pic:spPr>
                </pic:pic>
              </a:graphicData>
            </a:graphic>
          </wp:inline>
        </w:drawing>
      </w:r>
      <w:r>
        <w:drawing>
          <wp:inline distT="0" distB="0" distL="114300" distR="114300">
            <wp:extent cx="5267325" cy="7296150"/>
            <wp:effectExtent l="0" t="0" r="9525" b="0"/>
            <wp:docPr id="4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1"/>
                    <pic:cNvPicPr>
                      <a:picLocks noChangeAspect="1"/>
                    </pic:cNvPicPr>
                  </pic:nvPicPr>
                  <pic:blipFill>
                    <a:blip r:embed="rId86"/>
                    <a:stretch>
                      <a:fillRect/>
                    </a:stretch>
                  </pic:blipFill>
                  <pic:spPr>
                    <a:xfrm>
                      <a:off x="0" y="0"/>
                      <a:ext cx="5267325" cy="7296150"/>
                    </a:xfrm>
                    <a:prstGeom prst="rect">
                      <a:avLst/>
                    </a:prstGeom>
                    <a:noFill/>
                    <a:ln>
                      <a:noFill/>
                    </a:ln>
                  </pic:spPr>
                </pic:pic>
              </a:graphicData>
            </a:graphic>
          </wp:inline>
        </w:drawing>
      </w:r>
      <w:r>
        <w:drawing>
          <wp:inline distT="0" distB="0" distL="114300" distR="114300">
            <wp:extent cx="5391150" cy="7524750"/>
            <wp:effectExtent l="0" t="0" r="0" b="0"/>
            <wp:docPr id="4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2"/>
                    <pic:cNvPicPr>
                      <a:picLocks noChangeAspect="1"/>
                    </pic:cNvPicPr>
                  </pic:nvPicPr>
                  <pic:blipFill>
                    <a:blip r:embed="rId87"/>
                    <a:stretch>
                      <a:fillRect/>
                    </a:stretch>
                  </pic:blipFill>
                  <pic:spPr>
                    <a:xfrm>
                      <a:off x="0" y="0"/>
                      <a:ext cx="5391150" cy="7524750"/>
                    </a:xfrm>
                    <a:prstGeom prst="rect">
                      <a:avLst/>
                    </a:prstGeom>
                    <a:noFill/>
                    <a:ln>
                      <a:noFill/>
                    </a:ln>
                  </pic:spPr>
                </pic:pic>
              </a:graphicData>
            </a:graphic>
          </wp:inline>
        </w:drawing>
      </w:r>
      <w:r>
        <w:drawing>
          <wp:inline distT="0" distB="0" distL="114300" distR="114300">
            <wp:extent cx="5419725" cy="7410450"/>
            <wp:effectExtent l="0" t="0" r="9525" b="0"/>
            <wp:docPr id="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3"/>
                    <pic:cNvPicPr>
                      <a:picLocks noChangeAspect="1"/>
                    </pic:cNvPicPr>
                  </pic:nvPicPr>
                  <pic:blipFill>
                    <a:blip r:embed="rId88"/>
                    <a:stretch>
                      <a:fillRect/>
                    </a:stretch>
                  </pic:blipFill>
                  <pic:spPr>
                    <a:xfrm>
                      <a:off x="0" y="0"/>
                      <a:ext cx="5419725" cy="7410450"/>
                    </a:xfrm>
                    <a:prstGeom prst="rect">
                      <a:avLst/>
                    </a:prstGeom>
                    <a:noFill/>
                    <a:ln>
                      <a:noFill/>
                    </a:ln>
                  </pic:spPr>
                </pic:pic>
              </a:graphicData>
            </a:graphic>
          </wp:inline>
        </w:drawing>
      </w:r>
      <w:r>
        <w:drawing>
          <wp:inline distT="0" distB="0" distL="114300" distR="114300">
            <wp:extent cx="5305425" cy="7543800"/>
            <wp:effectExtent l="0" t="0" r="9525" b="0"/>
            <wp:docPr id="4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4"/>
                    <pic:cNvPicPr>
                      <a:picLocks noChangeAspect="1"/>
                    </pic:cNvPicPr>
                  </pic:nvPicPr>
                  <pic:blipFill>
                    <a:blip r:embed="rId89"/>
                    <a:stretch>
                      <a:fillRect/>
                    </a:stretch>
                  </pic:blipFill>
                  <pic:spPr>
                    <a:xfrm>
                      <a:off x="0" y="0"/>
                      <a:ext cx="5305425" cy="7543800"/>
                    </a:xfrm>
                    <a:prstGeom prst="rect">
                      <a:avLst/>
                    </a:prstGeom>
                    <a:noFill/>
                    <a:ln>
                      <a:noFill/>
                    </a:ln>
                  </pic:spPr>
                </pic:pic>
              </a:graphicData>
            </a:graphic>
          </wp:inline>
        </w:drawing>
      </w:r>
      <w:r>
        <w:drawing>
          <wp:inline distT="0" distB="0" distL="114300" distR="114300">
            <wp:extent cx="8911590" cy="4907915"/>
            <wp:effectExtent l="0" t="0" r="6985" b="3810"/>
            <wp:docPr id="4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5"/>
                    <pic:cNvPicPr>
                      <a:picLocks noChangeAspect="1"/>
                    </pic:cNvPicPr>
                  </pic:nvPicPr>
                  <pic:blipFill>
                    <a:blip r:embed="rId90"/>
                    <a:stretch>
                      <a:fillRect/>
                    </a:stretch>
                  </pic:blipFill>
                  <pic:spPr>
                    <a:xfrm rot="16200000">
                      <a:off x="0" y="0"/>
                      <a:ext cx="8911590" cy="4907915"/>
                    </a:xfrm>
                    <a:prstGeom prst="rect">
                      <a:avLst/>
                    </a:prstGeom>
                    <a:noFill/>
                    <a:ln>
                      <a:noFill/>
                    </a:ln>
                  </pic:spPr>
                </pic:pic>
              </a:graphicData>
            </a:graphic>
          </wp:inline>
        </w:drawing>
      </w:r>
      <w:r>
        <w:drawing>
          <wp:inline distT="0" distB="0" distL="114300" distR="114300">
            <wp:extent cx="8886190" cy="4909820"/>
            <wp:effectExtent l="0" t="0" r="5080" b="10160"/>
            <wp:docPr id="4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6"/>
                    <pic:cNvPicPr>
                      <a:picLocks noChangeAspect="1"/>
                    </pic:cNvPicPr>
                  </pic:nvPicPr>
                  <pic:blipFill>
                    <a:blip r:embed="rId91"/>
                    <a:stretch>
                      <a:fillRect/>
                    </a:stretch>
                  </pic:blipFill>
                  <pic:spPr>
                    <a:xfrm rot="16200000">
                      <a:off x="0" y="0"/>
                      <a:ext cx="8886190" cy="4909820"/>
                    </a:xfrm>
                    <a:prstGeom prst="rect">
                      <a:avLst/>
                    </a:prstGeom>
                    <a:noFill/>
                    <a:ln>
                      <a:noFill/>
                    </a:ln>
                  </pic:spPr>
                </pic:pic>
              </a:graphicData>
            </a:graphic>
          </wp:inline>
        </w:drawing>
      </w:r>
      <w:r>
        <w:drawing>
          <wp:inline distT="0" distB="0" distL="114300" distR="114300">
            <wp:extent cx="8429625" cy="5306695"/>
            <wp:effectExtent l="0" t="0" r="8255" b="9525"/>
            <wp:docPr id="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7"/>
                    <pic:cNvPicPr>
                      <a:picLocks noChangeAspect="1"/>
                    </pic:cNvPicPr>
                  </pic:nvPicPr>
                  <pic:blipFill>
                    <a:blip r:embed="rId92"/>
                    <a:stretch>
                      <a:fillRect/>
                    </a:stretch>
                  </pic:blipFill>
                  <pic:spPr>
                    <a:xfrm rot="16200000">
                      <a:off x="0" y="0"/>
                      <a:ext cx="8429625" cy="5306695"/>
                    </a:xfrm>
                    <a:prstGeom prst="rect">
                      <a:avLst/>
                    </a:prstGeom>
                    <a:noFill/>
                    <a:ln>
                      <a:noFill/>
                    </a:ln>
                  </pic:spPr>
                </pic:pic>
              </a:graphicData>
            </a:graphic>
          </wp:inline>
        </w:drawing>
      </w:r>
      <w:r>
        <w:drawing>
          <wp:inline distT="0" distB="0" distL="114300" distR="114300">
            <wp:extent cx="8094345" cy="5248910"/>
            <wp:effectExtent l="0" t="0" r="8890" b="1905"/>
            <wp:docPr id="5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8"/>
                    <pic:cNvPicPr>
                      <a:picLocks noChangeAspect="1"/>
                    </pic:cNvPicPr>
                  </pic:nvPicPr>
                  <pic:blipFill>
                    <a:blip r:embed="rId93"/>
                    <a:stretch>
                      <a:fillRect/>
                    </a:stretch>
                  </pic:blipFill>
                  <pic:spPr>
                    <a:xfrm rot="16200000">
                      <a:off x="0" y="0"/>
                      <a:ext cx="8094345" cy="5248910"/>
                    </a:xfrm>
                    <a:prstGeom prst="rect">
                      <a:avLst/>
                    </a:prstGeom>
                    <a:noFill/>
                    <a:ln>
                      <a:noFill/>
                    </a:ln>
                  </pic:spPr>
                </pic:pic>
              </a:graphicData>
            </a:graphic>
          </wp:inline>
        </w:drawing>
      </w:r>
      <w:r>
        <w:drawing>
          <wp:inline distT="0" distB="0" distL="114300" distR="114300">
            <wp:extent cx="8212455" cy="5298440"/>
            <wp:effectExtent l="0" t="0" r="16510" b="17145"/>
            <wp:docPr id="5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9"/>
                    <pic:cNvPicPr>
                      <a:picLocks noChangeAspect="1"/>
                    </pic:cNvPicPr>
                  </pic:nvPicPr>
                  <pic:blipFill>
                    <a:blip r:embed="rId94"/>
                    <a:stretch>
                      <a:fillRect/>
                    </a:stretch>
                  </pic:blipFill>
                  <pic:spPr>
                    <a:xfrm rot="16200000">
                      <a:off x="0" y="0"/>
                      <a:ext cx="8212455" cy="5298440"/>
                    </a:xfrm>
                    <a:prstGeom prst="rect">
                      <a:avLst/>
                    </a:prstGeom>
                    <a:noFill/>
                    <a:ln>
                      <a:noFill/>
                    </a:ln>
                  </pic:spPr>
                </pic:pic>
              </a:graphicData>
            </a:graphic>
          </wp:inline>
        </w:drawing>
      </w:r>
      <w:r>
        <w:drawing>
          <wp:inline distT="0" distB="0" distL="114300" distR="114300">
            <wp:extent cx="7524750" cy="5029200"/>
            <wp:effectExtent l="0" t="0" r="0" b="0"/>
            <wp:docPr id="5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0"/>
                    <pic:cNvPicPr>
                      <a:picLocks noChangeAspect="1"/>
                    </pic:cNvPicPr>
                  </pic:nvPicPr>
                  <pic:blipFill>
                    <a:blip r:embed="rId95"/>
                    <a:stretch>
                      <a:fillRect/>
                    </a:stretch>
                  </pic:blipFill>
                  <pic:spPr>
                    <a:xfrm rot="16200000">
                      <a:off x="0" y="0"/>
                      <a:ext cx="7524750" cy="5029200"/>
                    </a:xfrm>
                    <a:prstGeom prst="rect">
                      <a:avLst/>
                    </a:prstGeom>
                    <a:noFill/>
                    <a:ln>
                      <a:noFill/>
                    </a:ln>
                  </pic:spPr>
                </pic:pic>
              </a:graphicData>
            </a:graphic>
          </wp:inline>
        </w:drawing>
      </w:r>
      <w:r>
        <w:drawing>
          <wp:inline distT="0" distB="0" distL="114300" distR="114300">
            <wp:extent cx="7675245" cy="5103495"/>
            <wp:effectExtent l="0" t="0" r="1905" b="1905"/>
            <wp:docPr id="5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1"/>
                    <pic:cNvPicPr>
                      <a:picLocks noChangeAspect="1"/>
                    </pic:cNvPicPr>
                  </pic:nvPicPr>
                  <pic:blipFill>
                    <a:blip r:embed="rId96"/>
                    <a:stretch>
                      <a:fillRect/>
                    </a:stretch>
                  </pic:blipFill>
                  <pic:spPr>
                    <a:xfrm rot="16200000">
                      <a:off x="0" y="0"/>
                      <a:ext cx="7675245" cy="5103495"/>
                    </a:xfrm>
                    <a:prstGeom prst="rect">
                      <a:avLst/>
                    </a:prstGeom>
                    <a:noFill/>
                    <a:ln>
                      <a:noFill/>
                    </a:ln>
                  </pic:spPr>
                </pic:pic>
              </a:graphicData>
            </a:graphic>
          </wp:inline>
        </w:drawing>
      </w:r>
      <w:r>
        <w:drawing>
          <wp:inline distT="0" distB="0" distL="114300" distR="114300">
            <wp:extent cx="5705475" cy="6419850"/>
            <wp:effectExtent l="0" t="0" r="9525" b="0"/>
            <wp:docPr id="5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2"/>
                    <pic:cNvPicPr>
                      <a:picLocks noChangeAspect="1"/>
                    </pic:cNvPicPr>
                  </pic:nvPicPr>
                  <pic:blipFill>
                    <a:blip r:embed="rId97"/>
                    <a:stretch>
                      <a:fillRect/>
                    </a:stretch>
                  </pic:blipFill>
                  <pic:spPr>
                    <a:xfrm>
                      <a:off x="0" y="0"/>
                      <a:ext cx="5705475" cy="6419850"/>
                    </a:xfrm>
                    <a:prstGeom prst="rect">
                      <a:avLst/>
                    </a:prstGeom>
                    <a:noFill/>
                    <a:ln>
                      <a:noFill/>
                    </a:ln>
                  </pic:spPr>
                </pic:pic>
              </a:graphicData>
            </a:graphic>
          </wp:inline>
        </w:drawing>
      </w:r>
      <w:r>
        <w:drawing>
          <wp:inline distT="0" distB="0" distL="114300" distR="114300">
            <wp:extent cx="5438775" cy="5991225"/>
            <wp:effectExtent l="0" t="0" r="9525" b="9525"/>
            <wp:docPr id="5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3"/>
                    <pic:cNvPicPr>
                      <a:picLocks noChangeAspect="1"/>
                    </pic:cNvPicPr>
                  </pic:nvPicPr>
                  <pic:blipFill>
                    <a:blip r:embed="rId98"/>
                    <a:stretch>
                      <a:fillRect/>
                    </a:stretch>
                  </pic:blipFill>
                  <pic:spPr>
                    <a:xfrm>
                      <a:off x="0" y="0"/>
                      <a:ext cx="5438775" cy="5991225"/>
                    </a:xfrm>
                    <a:prstGeom prst="rect">
                      <a:avLst/>
                    </a:prstGeom>
                    <a:noFill/>
                    <a:ln>
                      <a:noFill/>
                    </a:ln>
                  </pic:spPr>
                </pic:pic>
              </a:graphicData>
            </a:graphic>
          </wp:inline>
        </w:drawing>
      </w:r>
      <w:r>
        <w:drawing>
          <wp:inline distT="0" distB="0" distL="114300" distR="114300">
            <wp:extent cx="4907280" cy="7030085"/>
            <wp:effectExtent l="0" t="0" r="7620" b="18415"/>
            <wp:docPr id="5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4"/>
                    <pic:cNvPicPr>
                      <a:picLocks noChangeAspect="1"/>
                    </pic:cNvPicPr>
                  </pic:nvPicPr>
                  <pic:blipFill>
                    <a:blip r:embed="rId99"/>
                    <a:stretch>
                      <a:fillRect/>
                    </a:stretch>
                  </pic:blipFill>
                  <pic:spPr>
                    <a:xfrm>
                      <a:off x="0" y="0"/>
                      <a:ext cx="4907280" cy="7030085"/>
                    </a:xfrm>
                    <a:prstGeom prst="rect">
                      <a:avLst/>
                    </a:prstGeom>
                    <a:noFill/>
                    <a:ln>
                      <a:noFill/>
                    </a:ln>
                  </pic:spPr>
                </pic:pic>
              </a:graphicData>
            </a:graphic>
          </wp:inline>
        </w:drawing>
      </w:r>
      <w:r>
        <w:drawing>
          <wp:inline distT="0" distB="0" distL="114300" distR="114300">
            <wp:extent cx="5171440" cy="7198995"/>
            <wp:effectExtent l="0" t="0" r="10160" b="1905"/>
            <wp:docPr id="5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5"/>
                    <pic:cNvPicPr>
                      <a:picLocks noChangeAspect="1"/>
                    </pic:cNvPicPr>
                  </pic:nvPicPr>
                  <pic:blipFill>
                    <a:blip r:embed="rId100"/>
                    <a:stretch>
                      <a:fillRect/>
                    </a:stretch>
                  </pic:blipFill>
                  <pic:spPr>
                    <a:xfrm>
                      <a:off x="0" y="0"/>
                      <a:ext cx="5171440" cy="7198995"/>
                    </a:xfrm>
                    <a:prstGeom prst="rect">
                      <a:avLst/>
                    </a:prstGeom>
                    <a:noFill/>
                    <a:ln>
                      <a:noFill/>
                    </a:ln>
                  </pic:spPr>
                </pic:pic>
              </a:graphicData>
            </a:graphic>
          </wp:inline>
        </w:drawing>
      </w:r>
    </w:p>
    <w:p>
      <w:pPr>
        <w:pStyle w:val="38"/>
        <w:spacing w:line="360" w:lineRule="auto"/>
        <w:ind w:firstLine="0" w:firstLineChars="0"/>
        <w:jc w:val="left"/>
        <w:outlineLvl w:val="9"/>
        <w:rPr>
          <w:rFonts w:hint="eastAsia" w:ascii="Times New Roman" w:hAnsi="Times New Roman" w:eastAsia="宋体" w:cs="Times New Roman"/>
          <w:b/>
          <w:color w:val="auto"/>
          <w:sz w:val="28"/>
          <w:szCs w:val="32"/>
          <w:lang w:eastAsia="zh-CN"/>
        </w:rPr>
      </w:pPr>
    </w:p>
    <w:p>
      <w:pPr>
        <w:pStyle w:val="38"/>
        <w:spacing w:line="360" w:lineRule="auto"/>
        <w:ind w:firstLine="0" w:firstLineChars="0"/>
        <w:jc w:val="left"/>
        <w:outlineLvl w:val="9"/>
        <w:rPr>
          <w:rFonts w:hint="eastAsia" w:ascii="Times New Roman" w:hAnsi="Times New Roman" w:eastAsia="宋体" w:cs="Times New Roman"/>
          <w:b/>
          <w:color w:val="auto"/>
          <w:sz w:val="28"/>
          <w:szCs w:val="32"/>
          <w:lang w:eastAsia="zh-CN"/>
        </w:rPr>
      </w:pPr>
    </w:p>
    <w:p>
      <w:pPr>
        <w:pStyle w:val="38"/>
        <w:spacing w:line="360" w:lineRule="auto"/>
        <w:ind w:firstLine="0" w:firstLineChars="0"/>
        <w:jc w:val="left"/>
        <w:outlineLvl w:val="9"/>
        <w:rPr>
          <w:rFonts w:hint="eastAsia" w:ascii="Times New Roman" w:hAnsi="Times New Roman" w:eastAsia="宋体" w:cs="Times New Roman"/>
          <w:b/>
          <w:color w:val="auto"/>
          <w:sz w:val="28"/>
          <w:szCs w:val="32"/>
          <w:lang w:eastAsia="zh-CN"/>
        </w:rPr>
      </w:pPr>
    </w:p>
    <w:p>
      <w:pPr>
        <w:pStyle w:val="38"/>
        <w:spacing w:line="360" w:lineRule="auto"/>
        <w:ind w:firstLine="0" w:firstLineChars="0"/>
        <w:jc w:val="left"/>
        <w:outlineLvl w:val="9"/>
        <w:rPr>
          <w:rFonts w:hint="eastAsia" w:ascii="Times New Roman" w:hAnsi="Times New Roman" w:eastAsia="宋体" w:cs="Times New Roman"/>
          <w:b/>
          <w:color w:val="auto"/>
          <w:sz w:val="28"/>
          <w:szCs w:val="32"/>
          <w:lang w:eastAsia="zh-CN"/>
        </w:rPr>
      </w:pPr>
    </w:p>
    <w:p>
      <w:pPr>
        <w:pStyle w:val="38"/>
        <w:spacing w:line="360" w:lineRule="auto"/>
        <w:ind w:firstLine="0" w:firstLineChars="0"/>
        <w:jc w:val="left"/>
        <w:outlineLvl w:val="9"/>
        <w:rPr>
          <w:rFonts w:hint="eastAsia" w:ascii="Times New Roman" w:hAnsi="Times New Roman" w:eastAsia="宋体" w:cs="Times New Roman"/>
          <w:b/>
          <w:color w:val="auto"/>
          <w:sz w:val="28"/>
          <w:szCs w:val="32"/>
          <w:lang w:eastAsia="zh-CN"/>
        </w:rPr>
      </w:pPr>
    </w:p>
    <w:p>
      <w:pPr>
        <w:pStyle w:val="38"/>
        <w:spacing w:line="360" w:lineRule="auto"/>
        <w:ind w:firstLine="0" w:firstLineChars="0"/>
        <w:jc w:val="left"/>
        <w:outlineLvl w:val="1"/>
        <w:rPr>
          <w:rFonts w:hint="default" w:ascii="Times New Roman" w:hAnsi="Times New Roman" w:eastAsia="宋体" w:cs="Times New Roman"/>
          <w:b/>
          <w:color w:val="000000" w:themeColor="text1"/>
          <w:sz w:val="28"/>
          <w:szCs w:val="32"/>
          <w:lang w:val="en-US" w:eastAsia="zh-CN"/>
          <w14:textFill>
            <w14:solidFill>
              <w14:schemeClr w14:val="tx1"/>
            </w14:solidFill>
          </w14:textFill>
        </w:rPr>
      </w:pPr>
      <w:bookmarkStart w:id="103" w:name="_Toc6947"/>
      <w:r>
        <w:rPr>
          <w:rFonts w:hint="default" w:ascii="Times New Roman" w:hAnsi="Times New Roman" w:eastAsia="宋体" w:cs="Times New Roman"/>
          <w:b/>
          <w:color w:val="000000" w:themeColor="text1"/>
          <w:sz w:val="28"/>
          <w:szCs w:val="32"/>
          <w14:textFill>
            <w14:solidFill>
              <w14:schemeClr w14:val="tx1"/>
            </w14:solidFill>
          </w14:textFill>
        </w:rPr>
        <w:t>附件</w:t>
      </w:r>
      <w:r>
        <w:rPr>
          <w:rFonts w:hint="eastAsia" w:ascii="Times New Roman" w:hAnsi="Times New Roman" w:eastAsia="宋体" w:cs="Times New Roman"/>
          <w:b/>
          <w:color w:val="000000" w:themeColor="text1"/>
          <w:sz w:val="28"/>
          <w:szCs w:val="32"/>
          <w:lang w:val="en-US" w:eastAsia="zh-CN"/>
          <w14:textFill>
            <w14:solidFill>
              <w14:schemeClr w14:val="tx1"/>
            </w14:solidFill>
          </w14:textFill>
        </w:rPr>
        <w:t>11</w:t>
      </w:r>
      <w:r>
        <w:rPr>
          <w:rFonts w:hint="default" w:ascii="Times New Roman" w:hAnsi="Times New Roman" w:eastAsia="宋体" w:cs="Times New Roman"/>
          <w:b/>
          <w:color w:val="000000" w:themeColor="text1"/>
          <w:sz w:val="28"/>
          <w:szCs w:val="32"/>
          <w14:textFill>
            <w14:solidFill>
              <w14:schemeClr w14:val="tx1"/>
            </w14:solidFill>
          </w14:textFill>
        </w:rPr>
        <w:t>：</w:t>
      </w:r>
      <w:r>
        <w:rPr>
          <w:rFonts w:hint="eastAsia" w:ascii="Times New Roman" w:hAnsi="Times New Roman" w:eastAsia="宋体" w:cs="Times New Roman"/>
          <w:b/>
          <w:color w:val="000000" w:themeColor="text1"/>
          <w:sz w:val="28"/>
          <w:szCs w:val="32"/>
          <w:lang w:val="en-US" w:eastAsia="zh-CN"/>
          <w14:textFill>
            <w14:solidFill>
              <w14:schemeClr w14:val="tx1"/>
            </w14:solidFill>
          </w14:textFill>
        </w:rPr>
        <w:t>环保设施竣工公示</w:t>
      </w:r>
      <w:bookmarkEnd w:id="103"/>
    </w:p>
    <w:p>
      <w:pPr>
        <w:pStyle w:val="38"/>
        <w:spacing w:line="360" w:lineRule="auto"/>
        <w:ind w:firstLine="0" w:firstLineChars="0"/>
        <w:jc w:val="left"/>
        <w:outlineLvl w:val="9"/>
        <w:rPr>
          <w:rFonts w:hint="eastAsia" w:ascii="Times New Roman" w:hAnsi="Times New Roman" w:eastAsia="宋体" w:cs="Times New Roman"/>
          <w:b/>
          <w:color w:val="auto"/>
          <w:sz w:val="28"/>
          <w:szCs w:val="32"/>
          <w:lang w:eastAsia="zh-CN"/>
        </w:rPr>
      </w:pPr>
      <w:r>
        <w:rPr>
          <w:rFonts w:hint="eastAsia" w:ascii="Times New Roman" w:hAnsi="Times New Roman" w:eastAsia="宋体" w:cs="Times New Roman"/>
          <w:b/>
          <w:color w:val="auto"/>
          <w:sz w:val="28"/>
          <w:szCs w:val="32"/>
          <w:lang w:eastAsia="zh-CN"/>
        </w:rPr>
        <w:drawing>
          <wp:inline distT="0" distB="0" distL="114300" distR="114300">
            <wp:extent cx="8067040" cy="5126355"/>
            <wp:effectExtent l="0" t="0" r="17145" b="10160"/>
            <wp:docPr id="1" name="图片 1" descr="a03ffd24e5cf84fdff6cd94eb42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a03ffd24e5cf84fdff6cd94eb426173"/>
                    <pic:cNvPicPr>
                      <a:picLocks noChangeAspect="1"/>
                    </pic:cNvPicPr>
                  </pic:nvPicPr>
                  <pic:blipFill>
                    <a:blip r:embed="rId101"/>
                    <a:stretch>
                      <a:fillRect/>
                    </a:stretch>
                  </pic:blipFill>
                  <pic:spPr>
                    <a:xfrm rot="16200000">
                      <a:off x="0" y="0"/>
                      <a:ext cx="8067040" cy="5126355"/>
                    </a:xfrm>
                    <a:prstGeom prst="rect">
                      <a:avLst/>
                    </a:prstGeom>
                  </pic:spPr>
                </pic:pic>
              </a:graphicData>
            </a:graphic>
          </wp:inline>
        </w:drawing>
      </w:r>
    </w:p>
    <w:p>
      <w:pPr>
        <w:pStyle w:val="38"/>
        <w:spacing w:line="360" w:lineRule="auto"/>
        <w:ind w:firstLine="0" w:firstLineChars="0"/>
        <w:jc w:val="left"/>
        <w:outlineLvl w:val="9"/>
        <w:rPr>
          <w:rFonts w:hint="eastAsia" w:ascii="Times New Roman" w:hAnsi="Times New Roman" w:eastAsia="宋体" w:cs="Times New Roman"/>
          <w:b/>
          <w:color w:val="auto"/>
          <w:sz w:val="28"/>
          <w:szCs w:val="32"/>
          <w:lang w:eastAsia="zh-CN"/>
        </w:rPr>
      </w:pPr>
    </w:p>
    <w:p>
      <w:pPr>
        <w:pStyle w:val="38"/>
        <w:spacing w:line="360" w:lineRule="auto"/>
        <w:ind w:firstLine="0" w:firstLineChars="0"/>
        <w:jc w:val="left"/>
        <w:outlineLvl w:val="1"/>
        <w:rPr>
          <w:rFonts w:hint="default" w:ascii="Times New Roman" w:hAnsi="Times New Roman" w:eastAsia="宋体" w:cs="Times New Roman"/>
          <w:b/>
          <w:color w:val="000000" w:themeColor="text1"/>
          <w:sz w:val="28"/>
          <w:szCs w:val="32"/>
          <w:lang w:val="en-US" w:eastAsia="zh-CN"/>
          <w14:textFill>
            <w14:solidFill>
              <w14:schemeClr w14:val="tx1"/>
            </w14:solidFill>
          </w14:textFill>
        </w:rPr>
      </w:pPr>
      <w:bookmarkStart w:id="104" w:name="_Toc13187"/>
      <w:r>
        <w:rPr>
          <w:rFonts w:hint="default" w:ascii="Times New Roman" w:hAnsi="Times New Roman" w:eastAsia="宋体" w:cs="Times New Roman"/>
          <w:b/>
          <w:color w:val="000000" w:themeColor="text1"/>
          <w:sz w:val="28"/>
          <w:szCs w:val="32"/>
          <w14:textFill>
            <w14:solidFill>
              <w14:schemeClr w14:val="tx1"/>
            </w14:solidFill>
          </w14:textFill>
        </w:rPr>
        <w:t>附件</w:t>
      </w:r>
      <w:r>
        <w:rPr>
          <w:rFonts w:hint="eastAsia" w:ascii="Times New Roman" w:hAnsi="Times New Roman" w:eastAsia="宋体" w:cs="Times New Roman"/>
          <w:b/>
          <w:color w:val="000000" w:themeColor="text1"/>
          <w:sz w:val="28"/>
          <w:szCs w:val="32"/>
          <w:lang w:val="en-US" w:eastAsia="zh-CN"/>
          <w14:textFill>
            <w14:solidFill>
              <w14:schemeClr w14:val="tx1"/>
            </w14:solidFill>
          </w14:textFill>
        </w:rPr>
        <w:t>12</w:t>
      </w:r>
      <w:r>
        <w:rPr>
          <w:rFonts w:hint="default" w:ascii="Times New Roman" w:hAnsi="Times New Roman" w:eastAsia="宋体" w:cs="Times New Roman"/>
          <w:b/>
          <w:color w:val="000000" w:themeColor="text1"/>
          <w:sz w:val="28"/>
          <w:szCs w:val="32"/>
          <w14:textFill>
            <w14:solidFill>
              <w14:schemeClr w14:val="tx1"/>
            </w14:solidFill>
          </w14:textFill>
        </w:rPr>
        <w:t>：</w:t>
      </w:r>
      <w:r>
        <w:rPr>
          <w:rFonts w:hint="eastAsia" w:ascii="Times New Roman" w:hAnsi="Times New Roman" w:eastAsia="宋体" w:cs="Times New Roman"/>
          <w:b/>
          <w:color w:val="000000" w:themeColor="text1"/>
          <w:sz w:val="28"/>
          <w:szCs w:val="32"/>
          <w:lang w:val="en-US" w:eastAsia="zh-CN"/>
          <w14:textFill>
            <w14:solidFill>
              <w14:schemeClr w14:val="tx1"/>
            </w14:solidFill>
          </w14:textFill>
        </w:rPr>
        <w:t>环保设施调试公示</w:t>
      </w:r>
      <w:bookmarkEnd w:id="104"/>
    </w:p>
    <w:p>
      <w:pPr>
        <w:pStyle w:val="38"/>
        <w:spacing w:line="360" w:lineRule="auto"/>
        <w:ind w:firstLine="0" w:firstLineChars="0"/>
        <w:jc w:val="left"/>
        <w:outlineLvl w:val="9"/>
        <w:rPr>
          <w:rFonts w:hint="eastAsia" w:ascii="Times New Roman" w:hAnsi="Times New Roman" w:eastAsia="宋体" w:cs="Times New Roman"/>
          <w:b/>
          <w:color w:val="auto"/>
          <w:sz w:val="28"/>
          <w:szCs w:val="32"/>
          <w:lang w:eastAsia="zh-CN"/>
        </w:rPr>
      </w:pPr>
      <w:r>
        <w:rPr>
          <w:rFonts w:hint="eastAsia" w:ascii="Times New Roman" w:hAnsi="Times New Roman" w:eastAsia="宋体" w:cs="Times New Roman"/>
          <w:b/>
          <w:color w:val="auto"/>
          <w:sz w:val="28"/>
          <w:szCs w:val="32"/>
          <w:lang w:eastAsia="zh-CN"/>
        </w:rPr>
        <w:drawing>
          <wp:inline distT="0" distB="0" distL="114300" distR="114300">
            <wp:extent cx="7472045" cy="5080635"/>
            <wp:effectExtent l="0" t="0" r="5715" b="14605"/>
            <wp:docPr id="3" name="图片 3" descr="abebc137413e8c801a60acd5048c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abebc137413e8c801a60acd5048ca20"/>
                    <pic:cNvPicPr>
                      <a:picLocks noChangeAspect="1"/>
                    </pic:cNvPicPr>
                  </pic:nvPicPr>
                  <pic:blipFill>
                    <a:blip r:embed="rId102"/>
                    <a:stretch>
                      <a:fillRect/>
                    </a:stretch>
                  </pic:blipFill>
                  <pic:spPr>
                    <a:xfrm rot="16200000">
                      <a:off x="0" y="0"/>
                      <a:ext cx="7472045" cy="5080635"/>
                    </a:xfrm>
                    <a:prstGeom prst="rect">
                      <a:avLst/>
                    </a:prstGeom>
                  </pic:spPr>
                </pic:pic>
              </a:graphicData>
            </a:graphic>
          </wp:inline>
        </w:drawing>
      </w:r>
    </w:p>
    <w:p>
      <w:pPr>
        <w:pStyle w:val="38"/>
        <w:spacing w:line="360" w:lineRule="auto"/>
        <w:ind w:firstLine="0" w:firstLineChars="0"/>
        <w:jc w:val="left"/>
        <w:outlineLvl w:val="9"/>
        <w:rPr>
          <w:rFonts w:hint="eastAsia" w:ascii="Times New Roman" w:hAnsi="Times New Roman" w:eastAsia="宋体" w:cs="Times New Roman"/>
          <w:b/>
          <w:color w:val="auto"/>
          <w:sz w:val="28"/>
          <w:szCs w:val="32"/>
          <w:lang w:eastAsia="zh-CN"/>
        </w:rPr>
      </w:pPr>
    </w:p>
    <w:p>
      <w:pPr>
        <w:pStyle w:val="38"/>
        <w:spacing w:line="360" w:lineRule="auto"/>
        <w:ind w:firstLine="0" w:firstLineChars="0"/>
        <w:jc w:val="left"/>
        <w:outlineLvl w:val="9"/>
        <w:rPr>
          <w:rFonts w:hint="eastAsia" w:ascii="Times New Roman" w:hAnsi="Times New Roman" w:eastAsia="宋体" w:cs="Times New Roman"/>
          <w:b/>
          <w:color w:val="auto"/>
          <w:sz w:val="28"/>
          <w:szCs w:val="32"/>
          <w:lang w:eastAsia="zh-CN"/>
        </w:rPr>
      </w:pPr>
    </w:p>
    <w:p>
      <w:pPr>
        <w:pStyle w:val="38"/>
        <w:spacing w:line="360" w:lineRule="auto"/>
        <w:ind w:firstLine="0" w:firstLineChars="0"/>
        <w:jc w:val="left"/>
        <w:outlineLvl w:val="9"/>
        <w:rPr>
          <w:rFonts w:hint="eastAsia" w:ascii="Times New Roman" w:hAnsi="Times New Roman" w:eastAsia="宋体" w:cs="Times New Roman"/>
          <w:b/>
          <w:color w:val="auto"/>
          <w:sz w:val="28"/>
          <w:szCs w:val="32"/>
          <w:lang w:eastAsia="zh-CN"/>
        </w:rPr>
      </w:pPr>
    </w:p>
    <w:p>
      <w:pPr>
        <w:pStyle w:val="38"/>
        <w:spacing w:line="360" w:lineRule="auto"/>
        <w:ind w:firstLine="0" w:firstLineChars="0"/>
        <w:jc w:val="left"/>
        <w:outlineLvl w:val="9"/>
        <w:rPr>
          <w:rFonts w:hint="default" w:ascii="Times New Roman" w:hAnsi="Times New Roman" w:eastAsia="宋体" w:cs="Times New Roman"/>
          <w:b/>
          <w:color w:val="auto"/>
          <w:sz w:val="28"/>
          <w:szCs w:val="32"/>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720" w:num="1"/>
          <w:docGrid w:linePitch="312" w:charSpace="0"/>
        </w:sectPr>
      </w:pPr>
    </w:p>
    <w:bookmarkEnd w:id="97"/>
    <w:bookmarkEnd w:id="98"/>
    <w:p>
      <w:pPr>
        <w:pStyle w:val="24"/>
        <w:ind w:left="0" w:leftChars="0" w:firstLine="0" w:firstLineChars="0"/>
        <w:rPr>
          <w:rFonts w:hint="eastAsia" w:ascii="Times New Roman" w:hAnsi="Times New Roman" w:eastAsia="宋体" w:cs="Times New Roman"/>
          <w:sz w:val="24"/>
          <w:lang w:eastAsia="zh-CN"/>
        </w:rPr>
      </w:pPr>
    </w:p>
    <w:sectPr>
      <w:headerReference r:id="rId13" w:type="default"/>
      <w:footerReference r:id="rId14" w:type="default"/>
      <w:pgSz w:w="11906" w:h="16838"/>
      <w:pgMar w:top="1440" w:right="1440" w:bottom="1440" w:left="1588" w:header="851" w:footer="992"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方正书宋简体">
    <w:altName w:val="宋体"/>
    <w:panose1 w:val="00000000000000000000"/>
    <w:charset w:val="86"/>
    <w:family w:val="auto"/>
    <w:pitch w:val="default"/>
    <w:sig w:usb0="00000000" w:usb1="00000000" w:usb2="00000010" w:usb3="00000000" w:csb0="00040000" w:csb1="00000000"/>
  </w:font>
  <w:font w:name="方正楷体简体">
    <w:altName w:val="宋体"/>
    <w:panose1 w:val="00000000000000000000"/>
    <w:charset w:val="86"/>
    <w:family w:val="auto"/>
    <w:pitch w:val="default"/>
    <w:sig w:usb0="00000000" w:usb1="00000000" w:usb2="00000000" w:usb3="00000000" w:csb0="00040000" w:csb1="00000000"/>
  </w:font>
  <w:font w:name="楷体_GB2312">
    <w:altName w:val="楷体"/>
    <w:panose1 w:val="00000000000000000000"/>
    <w:charset w:val="86"/>
    <w:family w:val="modern"/>
    <w:pitch w:val="default"/>
    <w:sig w:usb0="00000000" w:usb1="00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Wingdings 2">
    <w:panose1 w:val="05020102010507070707"/>
    <w:charset w:val="00"/>
    <w:family w:val="auto"/>
    <w:pitch w:val="default"/>
    <w:sig w:usb0="00000000" w:usb1="00000000" w:usb2="00000000" w:usb3="00000000" w:csb0="8000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framePr w:wrap="around" w:vAnchor="text" w:hAnchor="margin" w:xAlign="center" w:y="1"/>
      <w:rPr>
        <w:rStyle w:val="29"/>
      </w:rPr>
    </w:pPr>
    <w:r>
      <w:fldChar w:fldCharType="begin"/>
    </w:r>
    <w:r>
      <w:rPr>
        <w:rStyle w:val="29"/>
      </w:rPr>
      <w:instrText xml:space="preserve">PAGE  </w:instrText>
    </w:r>
    <w:r>
      <w:fldChar w:fldCharType="end"/>
    </w:r>
  </w:p>
  <w:p>
    <w:pPr>
      <w:pStyle w:val="1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fldChar w:fldCharType="begin"/>
                          </w:r>
                          <w:r>
                            <w:instrText xml:space="preserve"> PAGE  \* MERGEFORMAT </w:instrText>
                          </w:r>
                          <w:r>
                            <w:fldChar w:fldCharType="separate"/>
                          </w:r>
                          <w:r>
                            <w:t>- 1 -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7J9wA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0kMUyj4qcf308/&#10;H06/vhGcQaDGhRni7h0iY/vOtmib4TzgMPFuK6/TF4wI/MA6XuQVbSQ8XZpOptMcLg7fsAF+9njd&#10;+RDfC6tJMgrqUb9OVnbYhNiHDiEpm7FrqVRXQ2VIU9Cr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7J9wAzAgAAYwQAAA4AAAAAAAAAAQAgAAAAHwEAAGRycy9lMm9Eb2MueG1sUEsF&#10;BgAAAAAGAAYAWQEAAMQFAAAAAA==&#10;">
              <v:fill on="f" focussize="0,0"/>
              <v:stroke on="f" weight="0.5pt"/>
              <v:imagedata o:title=""/>
              <o:lock v:ext="edit" aspectratio="f"/>
              <v:textbox inset="0mm,0mm,0mm,0mm" style="mso-fit-shape-to-text:t;">
                <w:txbxContent>
                  <w:p>
                    <w:pPr>
                      <w:pStyle w:val="14"/>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09" name="文本框 10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4"/>
                          </w:pPr>
                          <w:r>
                            <w:rPr>
                              <w:rFonts w:hint="eastAsia"/>
                            </w:rPr>
                            <w:t xml:space="preserve">第 </w:t>
                          </w:r>
                          <w:r>
                            <w:fldChar w:fldCharType="begin"/>
                          </w:r>
                          <w:r>
                            <w:instrText xml:space="preserve"> PAGE  \* MERGEFORMAT </w:instrText>
                          </w:r>
                          <w:r>
                            <w:fldChar w:fldCharType="separate"/>
                          </w:r>
                          <w:r>
                            <w:t>1</w:t>
                          </w:r>
                          <w:r>
                            <w:fldChar w:fldCharType="end"/>
                          </w:r>
                          <w:r>
                            <w:rPr>
                              <w:rFonts w:hint="eastAsia"/>
                            </w:rPr>
                            <w:t xml:space="preserve"> 页 共</w:t>
                          </w:r>
                          <w:r>
                            <w:fldChar w:fldCharType="begin"/>
                          </w:r>
                          <w:r>
                            <w:instrText xml:space="preserve"> NUMPAGES  \* MERGEFORMAT </w:instrText>
                          </w:r>
                          <w:r>
                            <w:fldChar w:fldCharType="separate"/>
                          </w:r>
                          <w:r>
                            <w:t>51</w:t>
                          </w:r>
                          <w:r>
                            <w:fldChar w:fldCharType="end"/>
                          </w:r>
                          <w:r>
                            <w:rPr>
                              <w:rFonts w:hint="eastAsia"/>
                            </w:rPr>
                            <w:t xml:space="preserve"> 页</w:t>
                          </w:r>
                        </w:p>
                      </w:txbxContent>
                    </wps:txbx>
                    <wps:bodyPr wrap="none" lIns="0" tIns="0" rIns="0" bIns="0" upright="1">
                      <a:spAutoFit/>
                    </wps:bodyPr>
                  </wps:wsp>
                </a:graphicData>
              </a:graphic>
            </wp:anchor>
          </w:drawing>
        </mc:Choice>
        <mc:Fallback>
          <w:pict>
            <v:shape id="文本框 1032"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BSYaVHzAEAAJ4DAAAOAAAAAAAAAAEAIAAAAB4BAABkcnMvZTJv&#10;RG9jLnhtbFBLBQYAAAAABgAGAFkBAABcBQAAAAA=&#10;">
              <v:fill on="f" focussize="0,0"/>
              <v:stroke on="f"/>
              <v:imagedata o:title=""/>
              <o:lock v:ext="edit" aspectratio="f"/>
              <v:textbox inset="0mm,0mm,0mm,0mm" style="mso-fit-shape-to-text:t;">
                <w:txbxContent>
                  <w:p>
                    <w:pPr>
                      <w:pStyle w:val="14"/>
                    </w:pPr>
                    <w:r>
                      <w:rPr>
                        <w:rFonts w:hint="eastAsia"/>
                      </w:rPr>
                      <w:t xml:space="preserve">第 </w:t>
                    </w:r>
                    <w:r>
                      <w:fldChar w:fldCharType="begin"/>
                    </w:r>
                    <w:r>
                      <w:instrText xml:space="preserve"> PAGE  \* MERGEFORMAT </w:instrText>
                    </w:r>
                    <w:r>
                      <w:fldChar w:fldCharType="separate"/>
                    </w:r>
                    <w:r>
                      <w:t>1</w:t>
                    </w:r>
                    <w:r>
                      <w:fldChar w:fldCharType="end"/>
                    </w:r>
                    <w:r>
                      <w:rPr>
                        <w:rFonts w:hint="eastAsia"/>
                      </w:rPr>
                      <w:t xml:space="preserve"> 页 共</w:t>
                    </w:r>
                    <w:r>
                      <w:fldChar w:fldCharType="begin"/>
                    </w:r>
                    <w:r>
                      <w:instrText xml:space="preserve"> NUMPAGES  \* MERGEFORMAT </w:instrText>
                    </w:r>
                    <w:r>
                      <w:fldChar w:fldCharType="separate"/>
                    </w:r>
                    <w:r>
                      <w:t>51</w:t>
                    </w:r>
                    <w:r>
                      <w:fldChar w:fldCharType="end"/>
                    </w:r>
                    <w:r>
                      <w:rPr>
                        <w:rFonts w:hint="eastAsia"/>
                      </w:rPr>
                      <w:t xml:space="preserve"> 页</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fldChar w:fldCharType="begin"/>
                          </w:r>
                          <w:r>
                            <w:instrText xml:space="preserve"> PAGE  \* MERGEFORMAT </w:instrText>
                          </w:r>
                          <w:r>
                            <w:fldChar w:fldCharType="separate"/>
                          </w:r>
                          <w:r>
                            <w:t>- 22 -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xhYO8zAgAAYw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lTYphGx08/vp9+&#10;Ppx+fSM4g0CNCzPE3TtExvadbTE2w3nAYeLdVl6nLxgR+CHv8SKvaCPh6dJ0Mp3mcHH4hg3ws8fr&#10;zof4XlhNklFQj/51srLDJsQ+dAhJ2YxdS6W6HipDmoJevX6b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xhYO8zAgAAYwQAAA4AAAAAAAAAAQAgAAAAHwEAAGRycy9lMm9Eb2MueG1sUEsF&#10;BgAAAAAGAAYAWQEAAMQFAAAAAA==&#10;">
              <v:fill on="f" focussize="0,0"/>
              <v:stroke on="f" weight="0.5pt"/>
              <v:imagedata o:title=""/>
              <o:lock v:ext="edit" aspectratio="f"/>
              <v:textbox inset="0mm,0mm,0mm,0mm" style="mso-fit-shape-to-text:t;">
                <w:txbxContent>
                  <w:p>
                    <w:pPr>
                      <w:pStyle w:val="14"/>
                    </w:pPr>
                    <w:r>
                      <w:fldChar w:fldCharType="begin"/>
                    </w:r>
                    <w:r>
                      <w:instrText xml:space="preserve"> PAGE  \* MERGEFORMAT </w:instrText>
                    </w:r>
                    <w:r>
                      <w:fldChar w:fldCharType="separate"/>
                    </w:r>
                    <w:r>
                      <w:t>- 22 -</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fldChar w:fldCharType="begin"/>
                          </w:r>
                          <w:r>
                            <w:instrText xml:space="preserve"> PAGE  \* MERGEFORMAT </w:instrText>
                          </w:r>
                          <w:r>
                            <w:fldChar w:fldCharType="separate"/>
                          </w:r>
                          <w:r>
                            <w:t>- 44 -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ufqQQ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M2E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ufqQQzAgAAYwQAAA4AAAAAAAAAAQAgAAAAHwEAAGRycy9lMm9Eb2MueG1sUEsF&#10;BgAAAAAGAAYAWQEAAMQFAAAAAA==&#10;">
              <v:fill on="f" focussize="0,0"/>
              <v:stroke on="f" weight="0.5pt"/>
              <v:imagedata o:title=""/>
              <o:lock v:ext="edit" aspectratio="f"/>
              <v:textbox inset="0mm,0mm,0mm,0mm" style="mso-fit-shape-to-text:t;">
                <w:txbxContent>
                  <w:p>
                    <w:pPr>
                      <w:pStyle w:val="14"/>
                    </w:pPr>
                    <w:r>
                      <w:fldChar w:fldCharType="begin"/>
                    </w:r>
                    <w:r>
                      <w:instrText xml:space="preserve"> PAGE  \* MERGEFORMAT </w:instrText>
                    </w:r>
                    <w:r>
                      <w:fldChar w:fldCharType="separate"/>
                    </w:r>
                    <w:r>
                      <w:t>- 44 -</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4"/>
                          </w:pPr>
                          <w:r>
                            <w:fldChar w:fldCharType="begin"/>
                          </w:r>
                          <w:r>
                            <w:instrText xml:space="preserve"> PAGE  \* MERGEFORMAT </w:instrText>
                          </w:r>
                          <w:r>
                            <w:fldChar w:fldCharType="separate"/>
                          </w:r>
                          <w:r>
                            <w:t>- 13 -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o34aczAgAAZQ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o34aczAgAAZQQAAA4AAAAAAAAAAQAgAAAAHwEAAGRycy9lMm9Eb2MueG1sUEsF&#10;BgAAAAAGAAYAWQEAAMQFAAAAAA==&#10;">
              <v:fill on="f" focussize="0,0"/>
              <v:stroke on="f" weight="0.5pt"/>
              <v:imagedata o:title=""/>
              <o:lock v:ext="edit" aspectratio="f"/>
              <v:textbox inset="0mm,0mm,0mm,0mm" style="mso-fit-shape-to-text:t;">
                <w:txbxContent>
                  <w:p>
                    <w:pPr>
                      <w:pStyle w:val="14"/>
                    </w:pPr>
                    <w:r>
                      <w:fldChar w:fldCharType="begin"/>
                    </w:r>
                    <w:r>
                      <w:instrText xml:space="preserve"> PAGE  \* MERGEFORMAT </w:instrText>
                    </w:r>
                    <w:r>
                      <w:fldChar w:fldCharType="separate"/>
                    </w:r>
                    <w:r>
                      <w:t>- 13 -</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spacing w:line="240" w:lineRule="auto"/>
      <w:jc w:val="center"/>
      <w:rPr>
        <w:rFonts w:hint="default" w:ascii="Times New Roman" w:hAnsi="Times New Roman" w:eastAsia="宋体" w:cs="Times New Roman"/>
        <w:b w:val="0"/>
        <w:bCs w:val="0"/>
        <w:sz w:val="18"/>
        <w:szCs w:val="18"/>
      </w:rPr>
    </w:pPr>
    <w:r>
      <w:rPr>
        <w:rFonts w:hint="eastAsia" w:ascii="Times New Roman" w:hAnsi="Times New Roman" w:eastAsia="宋体" w:cs="Times New Roman"/>
        <w:b w:val="0"/>
        <w:bCs w:val="0"/>
        <w:sz w:val="18"/>
        <w:szCs w:val="18"/>
        <w:lang w:val="en-US" w:eastAsia="zh-CN"/>
      </w:rPr>
      <w:t>山东豪瑞恩全球高端制剂项目竣工</w:t>
    </w:r>
    <w:r>
      <w:rPr>
        <w:rFonts w:hint="default" w:ascii="Times New Roman" w:hAnsi="Times New Roman" w:eastAsia="宋体" w:cs="Times New Roman"/>
        <w:b w:val="0"/>
        <w:bCs w:val="0"/>
        <w:sz w:val="18"/>
        <w:szCs w:val="18"/>
      </w:rPr>
      <w:t>环境保护验收报告</w:t>
    </w:r>
    <w:r>
      <w:rPr>
        <w:rFonts w:hint="eastAsia" w:ascii="Times New Roman" w:hAnsi="Times New Roman" w:eastAsia="宋体" w:cs="Times New Roman"/>
        <w:b w:val="0"/>
        <w:bCs w:val="0"/>
        <w:sz w:val="18"/>
        <w:szCs w:val="18"/>
        <w:lang w:eastAsia="zh-CN"/>
      </w:rPr>
      <w:t>（</w:t>
    </w:r>
    <w:r>
      <w:rPr>
        <w:rFonts w:hint="eastAsia" w:ascii="Times New Roman" w:hAnsi="Times New Roman" w:eastAsia="宋体" w:cs="Times New Roman"/>
        <w:b w:val="0"/>
        <w:bCs w:val="0"/>
        <w:sz w:val="18"/>
        <w:szCs w:val="18"/>
        <w:lang w:val="en-US" w:eastAsia="zh-CN"/>
      </w:rPr>
      <w:t>一期</w:t>
    </w:r>
    <w:r>
      <w:rPr>
        <w:rFonts w:hint="eastAsia" w:ascii="Times New Roman" w:hAnsi="Times New Roman" w:eastAsia="宋体" w:cs="Times New Roman"/>
        <w:b w:val="0"/>
        <w:bCs w:val="0"/>
        <w:sz w:val="18"/>
        <w:szCs w:val="18"/>
        <w:lang w:eastAsia="zh-CN"/>
      </w:rP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rFonts w:hint="eastAsia"/>
      </w:rPr>
      <w:t>曹县庄寨镇张合献木制品厂年产</w:t>
    </w:r>
    <w:r>
      <w:rPr>
        <w:rFonts w:hint="eastAsia"/>
        <w:lang w:eastAsia="zh-CN"/>
      </w:rPr>
      <w:t>30万</w:t>
    </w:r>
    <w:r>
      <w:rPr>
        <w:rFonts w:hint="eastAsia"/>
      </w:rPr>
      <w:t>张拼板芯板项目环境保护</w:t>
    </w:r>
    <w:r>
      <w:t>竣工验收报告表</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spacing w:line="240" w:lineRule="auto"/>
      <w:jc w:val="center"/>
    </w:pPr>
    <w:r>
      <w:rPr>
        <w:rFonts w:hint="eastAsia" w:ascii="Times New Roman" w:hAnsi="Times New Roman" w:eastAsia="宋体" w:cs="Times New Roman"/>
        <w:b w:val="0"/>
        <w:bCs w:val="0"/>
        <w:sz w:val="18"/>
        <w:szCs w:val="18"/>
        <w:lang w:val="en-US" w:eastAsia="zh-CN"/>
      </w:rPr>
      <w:t>山东豪瑞恩全球高端制剂项目竣工</w:t>
    </w:r>
    <w:r>
      <w:rPr>
        <w:rFonts w:hint="default" w:ascii="Times New Roman" w:hAnsi="Times New Roman" w:eastAsia="宋体" w:cs="Times New Roman"/>
        <w:b w:val="0"/>
        <w:bCs w:val="0"/>
        <w:sz w:val="18"/>
        <w:szCs w:val="18"/>
      </w:rPr>
      <w:t>环境保护验收报告</w:t>
    </w:r>
    <w:r>
      <w:rPr>
        <w:rFonts w:hint="eastAsia" w:ascii="Times New Roman" w:hAnsi="Times New Roman" w:eastAsia="宋体" w:cs="Times New Roman"/>
        <w:b w:val="0"/>
        <w:bCs w:val="0"/>
        <w:sz w:val="18"/>
        <w:szCs w:val="18"/>
        <w:lang w:eastAsia="zh-CN"/>
      </w:rPr>
      <w:t>（</w:t>
    </w:r>
    <w:r>
      <w:rPr>
        <w:rFonts w:hint="eastAsia" w:ascii="Times New Roman" w:hAnsi="Times New Roman" w:eastAsia="宋体" w:cs="Times New Roman"/>
        <w:b w:val="0"/>
        <w:bCs w:val="0"/>
        <w:sz w:val="18"/>
        <w:szCs w:val="18"/>
        <w:lang w:val="en-US" w:eastAsia="zh-CN"/>
      </w:rPr>
      <w:t>一期</w:t>
    </w:r>
    <w:r>
      <w:rPr>
        <w:rFonts w:hint="eastAsia" w:ascii="Times New Roman" w:hAnsi="Times New Roman" w:eastAsia="宋体" w:cs="Times New Roman"/>
        <w:b w:val="0"/>
        <w:bCs w:val="0"/>
        <w:sz w:val="18"/>
        <w:szCs w:val="18"/>
        <w:lang w:eastAsia="zh-CN"/>
      </w:rPr>
      <w:t>）</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rFonts w:hint="eastAsia" w:ascii="Times New Roman" w:hAnsi="Times New Roman" w:eastAsia="宋体" w:cs="Times New Roman"/>
        <w:b w:val="0"/>
        <w:bCs w:val="0"/>
        <w:sz w:val="18"/>
        <w:szCs w:val="18"/>
        <w:lang w:val="en-US" w:eastAsia="zh-CN"/>
      </w:rPr>
      <w:t>山东豪瑞恩全球高端制剂项目竣工</w:t>
    </w:r>
    <w:r>
      <w:rPr>
        <w:rFonts w:hint="default" w:ascii="Times New Roman" w:hAnsi="Times New Roman" w:eastAsia="宋体" w:cs="Times New Roman"/>
        <w:b w:val="0"/>
        <w:bCs w:val="0"/>
        <w:sz w:val="18"/>
        <w:szCs w:val="18"/>
      </w:rPr>
      <w:t>环境保护验收报告</w:t>
    </w:r>
    <w:r>
      <w:rPr>
        <w:rFonts w:hint="eastAsia" w:ascii="Times New Roman" w:hAnsi="Times New Roman" w:eastAsia="宋体" w:cs="Times New Roman"/>
        <w:b w:val="0"/>
        <w:bCs w:val="0"/>
        <w:sz w:val="18"/>
        <w:szCs w:val="18"/>
        <w:lang w:eastAsia="zh-CN"/>
      </w:rPr>
      <w:t>（</w:t>
    </w:r>
    <w:r>
      <w:rPr>
        <w:rFonts w:hint="eastAsia" w:ascii="Times New Roman" w:hAnsi="Times New Roman" w:eastAsia="宋体" w:cs="Times New Roman"/>
        <w:b w:val="0"/>
        <w:bCs w:val="0"/>
        <w:sz w:val="18"/>
        <w:szCs w:val="18"/>
        <w:lang w:val="en-US" w:eastAsia="zh-CN"/>
      </w:rPr>
      <w:t>一期</w:t>
    </w:r>
    <w:r>
      <w:rPr>
        <w:rFonts w:hint="eastAsia" w:ascii="Times New Roman" w:hAnsi="Times New Roman" w:eastAsia="宋体" w:cs="Times New Roman"/>
        <w:b w:val="0"/>
        <w:bCs w:val="0"/>
        <w:sz w:val="18"/>
        <w:szCs w:val="18"/>
        <w:lang w:eastAsia="zh-CN"/>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4090F98"/>
    <w:multiLevelType w:val="singleLevel"/>
    <w:tmpl w:val="04090F98"/>
    <w:lvl w:ilvl="0" w:tentative="0">
      <w:start w:val="1"/>
      <w:numFmt w:val="bullet"/>
      <w:pStyle w:val="3"/>
      <w:lvlText w:val=""/>
      <w:lvlJc w:val="left"/>
      <w:pPr>
        <w:tabs>
          <w:tab w:val="left" w:pos="2040"/>
        </w:tabs>
        <w:ind w:left="2040" w:hanging="36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YxN2YyYTUyNmJmMGQzMDgzODc4NGI5MTJlOWM4YTEifQ=="/>
  </w:docVars>
  <w:rsids>
    <w:rsidRoot w:val="00172A27"/>
    <w:rsid w:val="0000023A"/>
    <w:rsid w:val="00001C1F"/>
    <w:rsid w:val="000020F4"/>
    <w:rsid w:val="00002193"/>
    <w:rsid w:val="00003422"/>
    <w:rsid w:val="000040CF"/>
    <w:rsid w:val="00004DF9"/>
    <w:rsid w:val="000050AE"/>
    <w:rsid w:val="000058BD"/>
    <w:rsid w:val="00005CA4"/>
    <w:rsid w:val="00011508"/>
    <w:rsid w:val="00012223"/>
    <w:rsid w:val="00014BE5"/>
    <w:rsid w:val="00015422"/>
    <w:rsid w:val="000163ED"/>
    <w:rsid w:val="00021191"/>
    <w:rsid w:val="00021576"/>
    <w:rsid w:val="00021772"/>
    <w:rsid w:val="00021DB3"/>
    <w:rsid w:val="000237C4"/>
    <w:rsid w:val="00023C49"/>
    <w:rsid w:val="00025EF4"/>
    <w:rsid w:val="000276AE"/>
    <w:rsid w:val="00027C91"/>
    <w:rsid w:val="000309BF"/>
    <w:rsid w:val="00031523"/>
    <w:rsid w:val="00031D72"/>
    <w:rsid w:val="0003327E"/>
    <w:rsid w:val="000352BC"/>
    <w:rsid w:val="00036884"/>
    <w:rsid w:val="00040526"/>
    <w:rsid w:val="000420E9"/>
    <w:rsid w:val="000427E3"/>
    <w:rsid w:val="00044EB6"/>
    <w:rsid w:val="00046A37"/>
    <w:rsid w:val="00047996"/>
    <w:rsid w:val="00047A96"/>
    <w:rsid w:val="0005304C"/>
    <w:rsid w:val="0005323F"/>
    <w:rsid w:val="000532AD"/>
    <w:rsid w:val="00055D6D"/>
    <w:rsid w:val="00056073"/>
    <w:rsid w:val="00060D86"/>
    <w:rsid w:val="00061639"/>
    <w:rsid w:val="00062E3A"/>
    <w:rsid w:val="0006389C"/>
    <w:rsid w:val="00065575"/>
    <w:rsid w:val="000660EF"/>
    <w:rsid w:val="00067DB4"/>
    <w:rsid w:val="0007166B"/>
    <w:rsid w:val="000716C8"/>
    <w:rsid w:val="00073600"/>
    <w:rsid w:val="00074573"/>
    <w:rsid w:val="00076B45"/>
    <w:rsid w:val="00080FF4"/>
    <w:rsid w:val="00081BF6"/>
    <w:rsid w:val="000837DB"/>
    <w:rsid w:val="00083D64"/>
    <w:rsid w:val="0008423E"/>
    <w:rsid w:val="00087256"/>
    <w:rsid w:val="000872D1"/>
    <w:rsid w:val="00087AA0"/>
    <w:rsid w:val="000902F6"/>
    <w:rsid w:val="000905D9"/>
    <w:rsid w:val="00091518"/>
    <w:rsid w:val="00091D83"/>
    <w:rsid w:val="00094525"/>
    <w:rsid w:val="00095269"/>
    <w:rsid w:val="000954EF"/>
    <w:rsid w:val="0009551D"/>
    <w:rsid w:val="00096C3D"/>
    <w:rsid w:val="0009748D"/>
    <w:rsid w:val="00097AC7"/>
    <w:rsid w:val="00097D0F"/>
    <w:rsid w:val="000A07BB"/>
    <w:rsid w:val="000A4CB2"/>
    <w:rsid w:val="000A4F0E"/>
    <w:rsid w:val="000A59AF"/>
    <w:rsid w:val="000A5EB7"/>
    <w:rsid w:val="000A643F"/>
    <w:rsid w:val="000B060C"/>
    <w:rsid w:val="000B0790"/>
    <w:rsid w:val="000B0D13"/>
    <w:rsid w:val="000B0F68"/>
    <w:rsid w:val="000B17CF"/>
    <w:rsid w:val="000B1E94"/>
    <w:rsid w:val="000B3AF6"/>
    <w:rsid w:val="000B4D5B"/>
    <w:rsid w:val="000B4FB5"/>
    <w:rsid w:val="000B5EE3"/>
    <w:rsid w:val="000C28FF"/>
    <w:rsid w:val="000C33D3"/>
    <w:rsid w:val="000C3AB7"/>
    <w:rsid w:val="000C55D2"/>
    <w:rsid w:val="000C5E17"/>
    <w:rsid w:val="000C7E04"/>
    <w:rsid w:val="000D18AE"/>
    <w:rsid w:val="000D24F2"/>
    <w:rsid w:val="000D7D61"/>
    <w:rsid w:val="000E03F6"/>
    <w:rsid w:val="000E2582"/>
    <w:rsid w:val="000E27CC"/>
    <w:rsid w:val="000E4ACA"/>
    <w:rsid w:val="000E610C"/>
    <w:rsid w:val="000F54C0"/>
    <w:rsid w:val="000F5A20"/>
    <w:rsid w:val="000F5E1A"/>
    <w:rsid w:val="000F65B6"/>
    <w:rsid w:val="00100891"/>
    <w:rsid w:val="0010146B"/>
    <w:rsid w:val="00102691"/>
    <w:rsid w:val="00102E23"/>
    <w:rsid w:val="001039D2"/>
    <w:rsid w:val="00103DB2"/>
    <w:rsid w:val="00104122"/>
    <w:rsid w:val="00106A7F"/>
    <w:rsid w:val="001070BF"/>
    <w:rsid w:val="00110390"/>
    <w:rsid w:val="001105D9"/>
    <w:rsid w:val="00113BDF"/>
    <w:rsid w:val="001159E5"/>
    <w:rsid w:val="001207E8"/>
    <w:rsid w:val="00121FB0"/>
    <w:rsid w:val="00122CB9"/>
    <w:rsid w:val="00122E81"/>
    <w:rsid w:val="0012353D"/>
    <w:rsid w:val="00124A57"/>
    <w:rsid w:val="00125213"/>
    <w:rsid w:val="00126552"/>
    <w:rsid w:val="00132384"/>
    <w:rsid w:val="00133D13"/>
    <w:rsid w:val="00135368"/>
    <w:rsid w:val="0013690D"/>
    <w:rsid w:val="00137119"/>
    <w:rsid w:val="00137FF9"/>
    <w:rsid w:val="00141802"/>
    <w:rsid w:val="0014257B"/>
    <w:rsid w:val="00144DA4"/>
    <w:rsid w:val="00144F3D"/>
    <w:rsid w:val="0014794D"/>
    <w:rsid w:val="0015066F"/>
    <w:rsid w:val="00151300"/>
    <w:rsid w:val="001524EF"/>
    <w:rsid w:val="001533AA"/>
    <w:rsid w:val="0015381D"/>
    <w:rsid w:val="0015428E"/>
    <w:rsid w:val="00155974"/>
    <w:rsid w:val="00156D10"/>
    <w:rsid w:val="00160ECF"/>
    <w:rsid w:val="0016136C"/>
    <w:rsid w:val="00161E87"/>
    <w:rsid w:val="001649B9"/>
    <w:rsid w:val="00165023"/>
    <w:rsid w:val="001653FD"/>
    <w:rsid w:val="00167B05"/>
    <w:rsid w:val="001711C5"/>
    <w:rsid w:val="00172C62"/>
    <w:rsid w:val="00172D43"/>
    <w:rsid w:val="00173CBC"/>
    <w:rsid w:val="0017404D"/>
    <w:rsid w:val="00174102"/>
    <w:rsid w:val="001749A7"/>
    <w:rsid w:val="001756DB"/>
    <w:rsid w:val="00175778"/>
    <w:rsid w:val="0017599D"/>
    <w:rsid w:val="001807EB"/>
    <w:rsid w:val="00181F0A"/>
    <w:rsid w:val="00182731"/>
    <w:rsid w:val="00184109"/>
    <w:rsid w:val="00184856"/>
    <w:rsid w:val="001848DC"/>
    <w:rsid w:val="00187600"/>
    <w:rsid w:val="00190166"/>
    <w:rsid w:val="00190552"/>
    <w:rsid w:val="00190FDB"/>
    <w:rsid w:val="001922BF"/>
    <w:rsid w:val="00192B4A"/>
    <w:rsid w:val="00193129"/>
    <w:rsid w:val="0019537D"/>
    <w:rsid w:val="00196F2D"/>
    <w:rsid w:val="00197711"/>
    <w:rsid w:val="00197837"/>
    <w:rsid w:val="00197F43"/>
    <w:rsid w:val="001A00FD"/>
    <w:rsid w:val="001A089E"/>
    <w:rsid w:val="001A0F78"/>
    <w:rsid w:val="001A13B4"/>
    <w:rsid w:val="001A1AD2"/>
    <w:rsid w:val="001A2D59"/>
    <w:rsid w:val="001A3D70"/>
    <w:rsid w:val="001A46D7"/>
    <w:rsid w:val="001A47BA"/>
    <w:rsid w:val="001A499C"/>
    <w:rsid w:val="001A55FA"/>
    <w:rsid w:val="001A57E8"/>
    <w:rsid w:val="001A6A8C"/>
    <w:rsid w:val="001B0F75"/>
    <w:rsid w:val="001B1F02"/>
    <w:rsid w:val="001B31C9"/>
    <w:rsid w:val="001B3ED3"/>
    <w:rsid w:val="001B6277"/>
    <w:rsid w:val="001B7024"/>
    <w:rsid w:val="001C0618"/>
    <w:rsid w:val="001C083C"/>
    <w:rsid w:val="001C0AF2"/>
    <w:rsid w:val="001C1985"/>
    <w:rsid w:val="001C1BD3"/>
    <w:rsid w:val="001C2AF9"/>
    <w:rsid w:val="001C6313"/>
    <w:rsid w:val="001C6F6D"/>
    <w:rsid w:val="001D1411"/>
    <w:rsid w:val="001D41D6"/>
    <w:rsid w:val="001D42B9"/>
    <w:rsid w:val="001D5786"/>
    <w:rsid w:val="001D622A"/>
    <w:rsid w:val="001D71E1"/>
    <w:rsid w:val="001E174F"/>
    <w:rsid w:val="001E1A09"/>
    <w:rsid w:val="001E3751"/>
    <w:rsid w:val="001E42FD"/>
    <w:rsid w:val="001E4333"/>
    <w:rsid w:val="001E4483"/>
    <w:rsid w:val="001E5217"/>
    <w:rsid w:val="001E663A"/>
    <w:rsid w:val="001E731C"/>
    <w:rsid w:val="001F19F7"/>
    <w:rsid w:val="001F338B"/>
    <w:rsid w:val="001F35AD"/>
    <w:rsid w:val="001F67B0"/>
    <w:rsid w:val="001F6D52"/>
    <w:rsid w:val="001F7A16"/>
    <w:rsid w:val="0020068C"/>
    <w:rsid w:val="00201295"/>
    <w:rsid w:val="00201A02"/>
    <w:rsid w:val="00202339"/>
    <w:rsid w:val="00202E1E"/>
    <w:rsid w:val="002038B2"/>
    <w:rsid w:val="00203D10"/>
    <w:rsid w:val="00203E99"/>
    <w:rsid w:val="00206F1F"/>
    <w:rsid w:val="0021123F"/>
    <w:rsid w:val="002119A0"/>
    <w:rsid w:val="002120DF"/>
    <w:rsid w:val="00213527"/>
    <w:rsid w:val="002136CF"/>
    <w:rsid w:val="00213F58"/>
    <w:rsid w:val="00214D67"/>
    <w:rsid w:val="00215BA8"/>
    <w:rsid w:val="00215D39"/>
    <w:rsid w:val="00215D60"/>
    <w:rsid w:val="0021628F"/>
    <w:rsid w:val="0021760A"/>
    <w:rsid w:val="0021781B"/>
    <w:rsid w:val="00220A17"/>
    <w:rsid w:val="00220F1D"/>
    <w:rsid w:val="00222F43"/>
    <w:rsid w:val="00223D22"/>
    <w:rsid w:val="002254BC"/>
    <w:rsid w:val="002260A5"/>
    <w:rsid w:val="00227D57"/>
    <w:rsid w:val="00227FDE"/>
    <w:rsid w:val="00230295"/>
    <w:rsid w:val="002312D2"/>
    <w:rsid w:val="00232275"/>
    <w:rsid w:val="00232986"/>
    <w:rsid w:val="00232EAF"/>
    <w:rsid w:val="00233634"/>
    <w:rsid w:val="00233A76"/>
    <w:rsid w:val="00233E1C"/>
    <w:rsid w:val="00234979"/>
    <w:rsid w:val="00235E04"/>
    <w:rsid w:val="0023712B"/>
    <w:rsid w:val="002374A4"/>
    <w:rsid w:val="00246105"/>
    <w:rsid w:val="0024695A"/>
    <w:rsid w:val="002513B2"/>
    <w:rsid w:val="00252257"/>
    <w:rsid w:val="00253A2A"/>
    <w:rsid w:val="002557B5"/>
    <w:rsid w:val="002572A3"/>
    <w:rsid w:val="00257F0B"/>
    <w:rsid w:val="00260A78"/>
    <w:rsid w:val="00260BA1"/>
    <w:rsid w:val="00260F54"/>
    <w:rsid w:val="002613D4"/>
    <w:rsid w:val="002622A3"/>
    <w:rsid w:val="0026273A"/>
    <w:rsid w:val="00262B5C"/>
    <w:rsid w:val="002643B6"/>
    <w:rsid w:val="00264D2D"/>
    <w:rsid w:val="002661A3"/>
    <w:rsid w:val="00270E6A"/>
    <w:rsid w:val="002717A8"/>
    <w:rsid w:val="00273098"/>
    <w:rsid w:val="0027504F"/>
    <w:rsid w:val="0027556D"/>
    <w:rsid w:val="00276075"/>
    <w:rsid w:val="00277781"/>
    <w:rsid w:val="002779C4"/>
    <w:rsid w:val="00277B89"/>
    <w:rsid w:val="00277D15"/>
    <w:rsid w:val="002801AF"/>
    <w:rsid w:val="00281D54"/>
    <w:rsid w:val="002827B8"/>
    <w:rsid w:val="002830F6"/>
    <w:rsid w:val="00283FB0"/>
    <w:rsid w:val="00284543"/>
    <w:rsid w:val="00285615"/>
    <w:rsid w:val="00285C36"/>
    <w:rsid w:val="00286727"/>
    <w:rsid w:val="00286929"/>
    <w:rsid w:val="00286AE8"/>
    <w:rsid w:val="00286E60"/>
    <w:rsid w:val="002931A6"/>
    <w:rsid w:val="0029391C"/>
    <w:rsid w:val="00294BE9"/>
    <w:rsid w:val="002957A5"/>
    <w:rsid w:val="00297693"/>
    <w:rsid w:val="00297CDD"/>
    <w:rsid w:val="002A143C"/>
    <w:rsid w:val="002A2D84"/>
    <w:rsid w:val="002A3640"/>
    <w:rsid w:val="002A6683"/>
    <w:rsid w:val="002B039D"/>
    <w:rsid w:val="002B0578"/>
    <w:rsid w:val="002B16AC"/>
    <w:rsid w:val="002B47E8"/>
    <w:rsid w:val="002B49C0"/>
    <w:rsid w:val="002B5C64"/>
    <w:rsid w:val="002B6299"/>
    <w:rsid w:val="002B636E"/>
    <w:rsid w:val="002B667C"/>
    <w:rsid w:val="002B740C"/>
    <w:rsid w:val="002C027D"/>
    <w:rsid w:val="002C04DC"/>
    <w:rsid w:val="002C4E0B"/>
    <w:rsid w:val="002C507D"/>
    <w:rsid w:val="002C5123"/>
    <w:rsid w:val="002C5233"/>
    <w:rsid w:val="002C525A"/>
    <w:rsid w:val="002C604D"/>
    <w:rsid w:val="002C7344"/>
    <w:rsid w:val="002D10B8"/>
    <w:rsid w:val="002D2F8D"/>
    <w:rsid w:val="002D354D"/>
    <w:rsid w:val="002D58A3"/>
    <w:rsid w:val="002D6A12"/>
    <w:rsid w:val="002D70C2"/>
    <w:rsid w:val="002E004A"/>
    <w:rsid w:val="002E05B9"/>
    <w:rsid w:val="002E0C82"/>
    <w:rsid w:val="002E2C05"/>
    <w:rsid w:val="002E3125"/>
    <w:rsid w:val="002E40D5"/>
    <w:rsid w:val="002E5C61"/>
    <w:rsid w:val="002E7528"/>
    <w:rsid w:val="002E79D1"/>
    <w:rsid w:val="002F06A1"/>
    <w:rsid w:val="002F11A5"/>
    <w:rsid w:val="002F1D2B"/>
    <w:rsid w:val="002F22FB"/>
    <w:rsid w:val="002F27ED"/>
    <w:rsid w:val="002F2B2D"/>
    <w:rsid w:val="002F4C71"/>
    <w:rsid w:val="002F4E51"/>
    <w:rsid w:val="002F5F22"/>
    <w:rsid w:val="002F644B"/>
    <w:rsid w:val="0030165B"/>
    <w:rsid w:val="003038F7"/>
    <w:rsid w:val="00305B90"/>
    <w:rsid w:val="00305D67"/>
    <w:rsid w:val="0031024F"/>
    <w:rsid w:val="003105A6"/>
    <w:rsid w:val="00310BA9"/>
    <w:rsid w:val="003113BA"/>
    <w:rsid w:val="00311E98"/>
    <w:rsid w:val="00311F39"/>
    <w:rsid w:val="00314ABD"/>
    <w:rsid w:val="003155B0"/>
    <w:rsid w:val="00316040"/>
    <w:rsid w:val="0031641A"/>
    <w:rsid w:val="003172AE"/>
    <w:rsid w:val="0031768B"/>
    <w:rsid w:val="00321B0C"/>
    <w:rsid w:val="00322506"/>
    <w:rsid w:val="00324682"/>
    <w:rsid w:val="00326405"/>
    <w:rsid w:val="00330C11"/>
    <w:rsid w:val="0033119E"/>
    <w:rsid w:val="00331C8F"/>
    <w:rsid w:val="00332E5D"/>
    <w:rsid w:val="00333149"/>
    <w:rsid w:val="003339F8"/>
    <w:rsid w:val="003351E7"/>
    <w:rsid w:val="0033641F"/>
    <w:rsid w:val="00337230"/>
    <w:rsid w:val="00340945"/>
    <w:rsid w:val="003439C6"/>
    <w:rsid w:val="00343B36"/>
    <w:rsid w:val="003448BB"/>
    <w:rsid w:val="00347F2D"/>
    <w:rsid w:val="00350E7F"/>
    <w:rsid w:val="00351494"/>
    <w:rsid w:val="00351D9D"/>
    <w:rsid w:val="003562E3"/>
    <w:rsid w:val="003601B5"/>
    <w:rsid w:val="0036251E"/>
    <w:rsid w:val="0036291B"/>
    <w:rsid w:val="00362A1F"/>
    <w:rsid w:val="00364D82"/>
    <w:rsid w:val="00364DAF"/>
    <w:rsid w:val="003652AB"/>
    <w:rsid w:val="00365C95"/>
    <w:rsid w:val="0037222D"/>
    <w:rsid w:val="0037266D"/>
    <w:rsid w:val="00372754"/>
    <w:rsid w:val="00372FE9"/>
    <w:rsid w:val="00374971"/>
    <w:rsid w:val="00375ABF"/>
    <w:rsid w:val="00380694"/>
    <w:rsid w:val="00382F93"/>
    <w:rsid w:val="0038404E"/>
    <w:rsid w:val="00385570"/>
    <w:rsid w:val="00385D64"/>
    <w:rsid w:val="00385F1E"/>
    <w:rsid w:val="00386D13"/>
    <w:rsid w:val="00386DD1"/>
    <w:rsid w:val="00390E21"/>
    <w:rsid w:val="0039100C"/>
    <w:rsid w:val="00391333"/>
    <w:rsid w:val="00393FB0"/>
    <w:rsid w:val="00397EF0"/>
    <w:rsid w:val="003A0733"/>
    <w:rsid w:val="003A0933"/>
    <w:rsid w:val="003A1527"/>
    <w:rsid w:val="003A226F"/>
    <w:rsid w:val="003A27D6"/>
    <w:rsid w:val="003A28B5"/>
    <w:rsid w:val="003A3410"/>
    <w:rsid w:val="003A3F90"/>
    <w:rsid w:val="003A42C5"/>
    <w:rsid w:val="003A55E5"/>
    <w:rsid w:val="003A60EF"/>
    <w:rsid w:val="003A7575"/>
    <w:rsid w:val="003B1475"/>
    <w:rsid w:val="003B1685"/>
    <w:rsid w:val="003B4DBE"/>
    <w:rsid w:val="003B6819"/>
    <w:rsid w:val="003C06B4"/>
    <w:rsid w:val="003C4420"/>
    <w:rsid w:val="003C498E"/>
    <w:rsid w:val="003C66BA"/>
    <w:rsid w:val="003C6820"/>
    <w:rsid w:val="003C6BEC"/>
    <w:rsid w:val="003C7454"/>
    <w:rsid w:val="003D0C67"/>
    <w:rsid w:val="003D2A50"/>
    <w:rsid w:val="003D4C49"/>
    <w:rsid w:val="003D64F0"/>
    <w:rsid w:val="003E0A3B"/>
    <w:rsid w:val="003E373C"/>
    <w:rsid w:val="003E3CBE"/>
    <w:rsid w:val="003E4F3F"/>
    <w:rsid w:val="003E513F"/>
    <w:rsid w:val="003E5A8F"/>
    <w:rsid w:val="003E6F5B"/>
    <w:rsid w:val="003E79CA"/>
    <w:rsid w:val="003F1268"/>
    <w:rsid w:val="003F15AE"/>
    <w:rsid w:val="003F34E3"/>
    <w:rsid w:val="003F3805"/>
    <w:rsid w:val="003F5C58"/>
    <w:rsid w:val="003F694A"/>
    <w:rsid w:val="003F6BB6"/>
    <w:rsid w:val="004014D8"/>
    <w:rsid w:val="00401C04"/>
    <w:rsid w:val="00401FF5"/>
    <w:rsid w:val="004029D4"/>
    <w:rsid w:val="00404326"/>
    <w:rsid w:val="0040629E"/>
    <w:rsid w:val="004110DA"/>
    <w:rsid w:val="00411254"/>
    <w:rsid w:val="00411A12"/>
    <w:rsid w:val="00411BB0"/>
    <w:rsid w:val="00413CBC"/>
    <w:rsid w:val="00416F8F"/>
    <w:rsid w:val="00417070"/>
    <w:rsid w:val="00417449"/>
    <w:rsid w:val="00421FDA"/>
    <w:rsid w:val="00422782"/>
    <w:rsid w:val="004227EC"/>
    <w:rsid w:val="00426CC8"/>
    <w:rsid w:val="00434CAE"/>
    <w:rsid w:val="00441CED"/>
    <w:rsid w:val="004421BF"/>
    <w:rsid w:val="00444EF5"/>
    <w:rsid w:val="00444F3E"/>
    <w:rsid w:val="004450D9"/>
    <w:rsid w:val="00446C20"/>
    <w:rsid w:val="00446CD3"/>
    <w:rsid w:val="00446FA1"/>
    <w:rsid w:val="004479C7"/>
    <w:rsid w:val="00451178"/>
    <w:rsid w:val="00452F1E"/>
    <w:rsid w:val="00454348"/>
    <w:rsid w:val="004552C8"/>
    <w:rsid w:val="0045557E"/>
    <w:rsid w:val="004560D0"/>
    <w:rsid w:val="0045772A"/>
    <w:rsid w:val="004579D2"/>
    <w:rsid w:val="00461817"/>
    <w:rsid w:val="00462712"/>
    <w:rsid w:val="004628F1"/>
    <w:rsid w:val="004702D8"/>
    <w:rsid w:val="00471BAE"/>
    <w:rsid w:val="00474E67"/>
    <w:rsid w:val="004768AE"/>
    <w:rsid w:val="00481935"/>
    <w:rsid w:val="00481D39"/>
    <w:rsid w:val="00482A6C"/>
    <w:rsid w:val="00483769"/>
    <w:rsid w:val="0048447F"/>
    <w:rsid w:val="00484813"/>
    <w:rsid w:val="004853A6"/>
    <w:rsid w:val="00486101"/>
    <w:rsid w:val="00486E77"/>
    <w:rsid w:val="0049166B"/>
    <w:rsid w:val="0049188B"/>
    <w:rsid w:val="004918BA"/>
    <w:rsid w:val="00492D35"/>
    <w:rsid w:val="004946D6"/>
    <w:rsid w:val="00494B1E"/>
    <w:rsid w:val="00495562"/>
    <w:rsid w:val="00496743"/>
    <w:rsid w:val="004A033E"/>
    <w:rsid w:val="004A09AC"/>
    <w:rsid w:val="004A2BF2"/>
    <w:rsid w:val="004A372A"/>
    <w:rsid w:val="004A5148"/>
    <w:rsid w:val="004A71A8"/>
    <w:rsid w:val="004B007F"/>
    <w:rsid w:val="004B2F1F"/>
    <w:rsid w:val="004B366A"/>
    <w:rsid w:val="004B4DB2"/>
    <w:rsid w:val="004B6FAF"/>
    <w:rsid w:val="004C2404"/>
    <w:rsid w:val="004C34CB"/>
    <w:rsid w:val="004C38C7"/>
    <w:rsid w:val="004C4885"/>
    <w:rsid w:val="004C7621"/>
    <w:rsid w:val="004D13D8"/>
    <w:rsid w:val="004D1BBF"/>
    <w:rsid w:val="004D3CB5"/>
    <w:rsid w:val="004D476A"/>
    <w:rsid w:val="004D5DBA"/>
    <w:rsid w:val="004D709A"/>
    <w:rsid w:val="004D7318"/>
    <w:rsid w:val="004D7BCD"/>
    <w:rsid w:val="004D7DC9"/>
    <w:rsid w:val="004E0BCD"/>
    <w:rsid w:val="004E1654"/>
    <w:rsid w:val="004E1B80"/>
    <w:rsid w:val="004E3B8F"/>
    <w:rsid w:val="004E45C8"/>
    <w:rsid w:val="004E5774"/>
    <w:rsid w:val="004E5B4E"/>
    <w:rsid w:val="004E6078"/>
    <w:rsid w:val="004E7DFD"/>
    <w:rsid w:val="004F1778"/>
    <w:rsid w:val="004F3929"/>
    <w:rsid w:val="004F5E05"/>
    <w:rsid w:val="004F695A"/>
    <w:rsid w:val="005002A7"/>
    <w:rsid w:val="00500EFC"/>
    <w:rsid w:val="00500F39"/>
    <w:rsid w:val="005029AD"/>
    <w:rsid w:val="00503D21"/>
    <w:rsid w:val="0050473C"/>
    <w:rsid w:val="00505557"/>
    <w:rsid w:val="00510982"/>
    <w:rsid w:val="00511A3F"/>
    <w:rsid w:val="0051249A"/>
    <w:rsid w:val="00512D89"/>
    <w:rsid w:val="00513751"/>
    <w:rsid w:val="005137E8"/>
    <w:rsid w:val="00514604"/>
    <w:rsid w:val="0051578D"/>
    <w:rsid w:val="005166C4"/>
    <w:rsid w:val="00520F05"/>
    <w:rsid w:val="00521028"/>
    <w:rsid w:val="0052151D"/>
    <w:rsid w:val="00524082"/>
    <w:rsid w:val="00526E01"/>
    <w:rsid w:val="0053005A"/>
    <w:rsid w:val="00531E52"/>
    <w:rsid w:val="00533859"/>
    <w:rsid w:val="00535344"/>
    <w:rsid w:val="00535E05"/>
    <w:rsid w:val="00535FB7"/>
    <w:rsid w:val="00536A64"/>
    <w:rsid w:val="00537AE3"/>
    <w:rsid w:val="00540140"/>
    <w:rsid w:val="00541F39"/>
    <w:rsid w:val="0054246D"/>
    <w:rsid w:val="005458AA"/>
    <w:rsid w:val="00545CE3"/>
    <w:rsid w:val="005469AD"/>
    <w:rsid w:val="0054799E"/>
    <w:rsid w:val="00550EAC"/>
    <w:rsid w:val="00551141"/>
    <w:rsid w:val="00551628"/>
    <w:rsid w:val="00551881"/>
    <w:rsid w:val="00552A19"/>
    <w:rsid w:val="00553F23"/>
    <w:rsid w:val="005558CE"/>
    <w:rsid w:val="00556A07"/>
    <w:rsid w:val="0056175E"/>
    <w:rsid w:val="00562952"/>
    <w:rsid w:val="005636AC"/>
    <w:rsid w:val="00566DB6"/>
    <w:rsid w:val="00567A77"/>
    <w:rsid w:val="00570351"/>
    <w:rsid w:val="0057175D"/>
    <w:rsid w:val="0057195B"/>
    <w:rsid w:val="00575F0D"/>
    <w:rsid w:val="00576D2C"/>
    <w:rsid w:val="005814F6"/>
    <w:rsid w:val="005831C9"/>
    <w:rsid w:val="0058364B"/>
    <w:rsid w:val="00587584"/>
    <w:rsid w:val="00590DFA"/>
    <w:rsid w:val="005924EB"/>
    <w:rsid w:val="00593228"/>
    <w:rsid w:val="005949F2"/>
    <w:rsid w:val="00595B9D"/>
    <w:rsid w:val="005976D7"/>
    <w:rsid w:val="00597E4D"/>
    <w:rsid w:val="005A00B7"/>
    <w:rsid w:val="005A0F92"/>
    <w:rsid w:val="005A30DD"/>
    <w:rsid w:val="005A3659"/>
    <w:rsid w:val="005A3ED4"/>
    <w:rsid w:val="005A4BF9"/>
    <w:rsid w:val="005A4DED"/>
    <w:rsid w:val="005B0299"/>
    <w:rsid w:val="005B200B"/>
    <w:rsid w:val="005B2E2D"/>
    <w:rsid w:val="005B3009"/>
    <w:rsid w:val="005B326E"/>
    <w:rsid w:val="005B37B5"/>
    <w:rsid w:val="005B430B"/>
    <w:rsid w:val="005B509E"/>
    <w:rsid w:val="005B5654"/>
    <w:rsid w:val="005B6CE6"/>
    <w:rsid w:val="005B6E0E"/>
    <w:rsid w:val="005C1E91"/>
    <w:rsid w:val="005C24FF"/>
    <w:rsid w:val="005C277D"/>
    <w:rsid w:val="005C417A"/>
    <w:rsid w:val="005C4F9E"/>
    <w:rsid w:val="005C515A"/>
    <w:rsid w:val="005C5E17"/>
    <w:rsid w:val="005D1245"/>
    <w:rsid w:val="005D52F1"/>
    <w:rsid w:val="005D57DC"/>
    <w:rsid w:val="005D6559"/>
    <w:rsid w:val="005D7160"/>
    <w:rsid w:val="005E1E43"/>
    <w:rsid w:val="005E32EC"/>
    <w:rsid w:val="005E3889"/>
    <w:rsid w:val="005E4FC7"/>
    <w:rsid w:val="005E67A7"/>
    <w:rsid w:val="005F07F7"/>
    <w:rsid w:val="005F0C04"/>
    <w:rsid w:val="005F1F9E"/>
    <w:rsid w:val="005F28C4"/>
    <w:rsid w:val="005F5D91"/>
    <w:rsid w:val="005F5E6A"/>
    <w:rsid w:val="005F65B7"/>
    <w:rsid w:val="005F7A15"/>
    <w:rsid w:val="00600969"/>
    <w:rsid w:val="006009E7"/>
    <w:rsid w:val="00602C3D"/>
    <w:rsid w:val="006044B3"/>
    <w:rsid w:val="00606D54"/>
    <w:rsid w:val="00607528"/>
    <w:rsid w:val="00610093"/>
    <w:rsid w:val="006101B7"/>
    <w:rsid w:val="006123D2"/>
    <w:rsid w:val="00613B22"/>
    <w:rsid w:val="00614142"/>
    <w:rsid w:val="00615310"/>
    <w:rsid w:val="00616B63"/>
    <w:rsid w:val="006177EB"/>
    <w:rsid w:val="0062053C"/>
    <w:rsid w:val="006212CC"/>
    <w:rsid w:val="00621CB7"/>
    <w:rsid w:val="00622195"/>
    <w:rsid w:val="006225DF"/>
    <w:rsid w:val="00622711"/>
    <w:rsid w:val="00622954"/>
    <w:rsid w:val="00622D58"/>
    <w:rsid w:val="006233D1"/>
    <w:rsid w:val="0062382B"/>
    <w:rsid w:val="00623FCD"/>
    <w:rsid w:val="006243DB"/>
    <w:rsid w:val="00624E22"/>
    <w:rsid w:val="00624E9B"/>
    <w:rsid w:val="00625F1C"/>
    <w:rsid w:val="00626194"/>
    <w:rsid w:val="00626B52"/>
    <w:rsid w:val="006272DC"/>
    <w:rsid w:val="006274F6"/>
    <w:rsid w:val="00627BB5"/>
    <w:rsid w:val="00632282"/>
    <w:rsid w:val="00632681"/>
    <w:rsid w:val="00632A3A"/>
    <w:rsid w:val="00636F58"/>
    <w:rsid w:val="00637904"/>
    <w:rsid w:val="00640784"/>
    <w:rsid w:val="0064187F"/>
    <w:rsid w:val="006447B0"/>
    <w:rsid w:val="00645AFF"/>
    <w:rsid w:val="00647BCE"/>
    <w:rsid w:val="006512EA"/>
    <w:rsid w:val="006530B8"/>
    <w:rsid w:val="00653283"/>
    <w:rsid w:val="006547C2"/>
    <w:rsid w:val="006548A6"/>
    <w:rsid w:val="006603C0"/>
    <w:rsid w:val="00661AFD"/>
    <w:rsid w:val="0066352C"/>
    <w:rsid w:val="00664750"/>
    <w:rsid w:val="0066562E"/>
    <w:rsid w:val="00667BC0"/>
    <w:rsid w:val="006750C5"/>
    <w:rsid w:val="0067522E"/>
    <w:rsid w:val="00675B6C"/>
    <w:rsid w:val="00677F05"/>
    <w:rsid w:val="00680C60"/>
    <w:rsid w:val="00682D69"/>
    <w:rsid w:val="00684098"/>
    <w:rsid w:val="00684450"/>
    <w:rsid w:val="00684EAD"/>
    <w:rsid w:val="00692FB3"/>
    <w:rsid w:val="00693AB2"/>
    <w:rsid w:val="006941E4"/>
    <w:rsid w:val="006948E0"/>
    <w:rsid w:val="00695A3B"/>
    <w:rsid w:val="00696470"/>
    <w:rsid w:val="006964AB"/>
    <w:rsid w:val="00697A01"/>
    <w:rsid w:val="006A03C6"/>
    <w:rsid w:val="006A25AA"/>
    <w:rsid w:val="006A4498"/>
    <w:rsid w:val="006A4634"/>
    <w:rsid w:val="006A52F3"/>
    <w:rsid w:val="006B023E"/>
    <w:rsid w:val="006B13A6"/>
    <w:rsid w:val="006B21AB"/>
    <w:rsid w:val="006B2AB3"/>
    <w:rsid w:val="006B4DC1"/>
    <w:rsid w:val="006B5425"/>
    <w:rsid w:val="006B5EA3"/>
    <w:rsid w:val="006B695E"/>
    <w:rsid w:val="006B72D1"/>
    <w:rsid w:val="006C0A24"/>
    <w:rsid w:val="006C0B64"/>
    <w:rsid w:val="006C251F"/>
    <w:rsid w:val="006C2BD6"/>
    <w:rsid w:val="006C3372"/>
    <w:rsid w:val="006C39F4"/>
    <w:rsid w:val="006C3D3A"/>
    <w:rsid w:val="006C46CA"/>
    <w:rsid w:val="006C5F5A"/>
    <w:rsid w:val="006C5FD7"/>
    <w:rsid w:val="006D1D6E"/>
    <w:rsid w:val="006D2AC4"/>
    <w:rsid w:val="006D3671"/>
    <w:rsid w:val="006D3D5C"/>
    <w:rsid w:val="006D7AB1"/>
    <w:rsid w:val="006E0352"/>
    <w:rsid w:val="006E12F4"/>
    <w:rsid w:val="006E28EA"/>
    <w:rsid w:val="006E2BBA"/>
    <w:rsid w:val="006E3B9C"/>
    <w:rsid w:val="006E4868"/>
    <w:rsid w:val="006E73EB"/>
    <w:rsid w:val="006F08CE"/>
    <w:rsid w:val="006F0D2F"/>
    <w:rsid w:val="006F16D2"/>
    <w:rsid w:val="006F231D"/>
    <w:rsid w:val="006F3669"/>
    <w:rsid w:val="006F3707"/>
    <w:rsid w:val="006F40F8"/>
    <w:rsid w:val="006F49EF"/>
    <w:rsid w:val="006F4C37"/>
    <w:rsid w:val="006F51A3"/>
    <w:rsid w:val="006F5B5B"/>
    <w:rsid w:val="006F7CC5"/>
    <w:rsid w:val="00700141"/>
    <w:rsid w:val="007029D8"/>
    <w:rsid w:val="0070574A"/>
    <w:rsid w:val="00705D50"/>
    <w:rsid w:val="00707D60"/>
    <w:rsid w:val="00710E28"/>
    <w:rsid w:val="007120C0"/>
    <w:rsid w:val="0071248C"/>
    <w:rsid w:val="007128A8"/>
    <w:rsid w:val="00713CE3"/>
    <w:rsid w:val="00715859"/>
    <w:rsid w:val="00715C14"/>
    <w:rsid w:val="00720D34"/>
    <w:rsid w:val="00721E8D"/>
    <w:rsid w:val="007231A8"/>
    <w:rsid w:val="0072359D"/>
    <w:rsid w:val="00725600"/>
    <w:rsid w:val="0072563A"/>
    <w:rsid w:val="00725991"/>
    <w:rsid w:val="00725B37"/>
    <w:rsid w:val="00726F42"/>
    <w:rsid w:val="00727149"/>
    <w:rsid w:val="00733538"/>
    <w:rsid w:val="00733D4F"/>
    <w:rsid w:val="0073552D"/>
    <w:rsid w:val="0074118C"/>
    <w:rsid w:val="00742A45"/>
    <w:rsid w:val="00743179"/>
    <w:rsid w:val="00743F02"/>
    <w:rsid w:val="00745B2E"/>
    <w:rsid w:val="007464DC"/>
    <w:rsid w:val="00746D37"/>
    <w:rsid w:val="00747E5D"/>
    <w:rsid w:val="0075005D"/>
    <w:rsid w:val="00750F38"/>
    <w:rsid w:val="007510C9"/>
    <w:rsid w:val="007513F4"/>
    <w:rsid w:val="00751E7E"/>
    <w:rsid w:val="00752151"/>
    <w:rsid w:val="0075246B"/>
    <w:rsid w:val="00752641"/>
    <w:rsid w:val="00753C0F"/>
    <w:rsid w:val="00753D02"/>
    <w:rsid w:val="007545C0"/>
    <w:rsid w:val="0075502B"/>
    <w:rsid w:val="007559C4"/>
    <w:rsid w:val="00756C3B"/>
    <w:rsid w:val="00757589"/>
    <w:rsid w:val="00760E9E"/>
    <w:rsid w:val="00761DE4"/>
    <w:rsid w:val="00762BC0"/>
    <w:rsid w:val="00763DCA"/>
    <w:rsid w:val="00765E53"/>
    <w:rsid w:val="007664F7"/>
    <w:rsid w:val="0076761E"/>
    <w:rsid w:val="00770EDE"/>
    <w:rsid w:val="007738C3"/>
    <w:rsid w:val="007769DE"/>
    <w:rsid w:val="00776EF6"/>
    <w:rsid w:val="007823ED"/>
    <w:rsid w:val="007848CE"/>
    <w:rsid w:val="00784DE7"/>
    <w:rsid w:val="00785027"/>
    <w:rsid w:val="0078580F"/>
    <w:rsid w:val="00785D16"/>
    <w:rsid w:val="0079136D"/>
    <w:rsid w:val="007936BC"/>
    <w:rsid w:val="00795A03"/>
    <w:rsid w:val="00796E0D"/>
    <w:rsid w:val="00796FBB"/>
    <w:rsid w:val="00797EA4"/>
    <w:rsid w:val="007A055F"/>
    <w:rsid w:val="007A12D5"/>
    <w:rsid w:val="007A15B9"/>
    <w:rsid w:val="007A1E26"/>
    <w:rsid w:val="007A2E71"/>
    <w:rsid w:val="007A5EDC"/>
    <w:rsid w:val="007A7237"/>
    <w:rsid w:val="007B0110"/>
    <w:rsid w:val="007B11F8"/>
    <w:rsid w:val="007B2D57"/>
    <w:rsid w:val="007B3098"/>
    <w:rsid w:val="007B5BDB"/>
    <w:rsid w:val="007B5BF0"/>
    <w:rsid w:val="007B6325"/>
    <w:rsid w:val="007B7C68"/>
    <w:rsid w:val="007C0C67"/>
    <w:rsid w:val="007C109A"/>
    <w:rsid w:val="007C482A"/>
    <w:rsid w:val="007C4E13"/>
    <w:rsid w:val="007C6017"/>
    <w:rsid w:val="007C752C"/>
    <w:rsid w:val="007D4703"/>
    <w:rsid w:val="007D53AF"/>
    <w:rsid w:val="007D53B8"/>
    <w:rsid w:val="007D5737"/>
    <w:rsid w:val="007E1F74"/>
    <w:rsid w:val="007E234F"/>
    <w:rsid w:val="007E26ED"/>
    <w:rsid w:val="007E38D3"/>
    <w:rsid w:val="007E4081"/>
    <w:rsid w:val="007E54D9"/>
    <w:rsid w:val="007E5807"/>
    <w:rsid w:val="007E5A32"/>
    <w:rsid w:val="007E605B"/>
    <w:rsid w:val="007E68EA"/>
    <w:rsid w:val="007E79BA"/>
    <w:rsid w:val="007E7C07"/>
    <w:rsid w:val="007F1B16"/>
    <w:rsid w:val="007F27F1"/>
    <w:rsid w:val="007F2966"/>
    <w:rsid w:val="007F3765"/>
    <w:rsid w:val="007F3EBC"/>
    <w:rsid w:val="007F4989"/>
    <w:rsid w:val="007F519E"/>
    <w:rsid w:val="007F57B7"/>
    <w:rsid w:val="007F61B3"/>
    <w:rsid w:val="007F653C"/>
    <w:rsid w:val="007F6564"/>
    <w:rsid w:val="00800F79"/>
    <w:rsid w:val="00801122"/>
    <w:rsid w:val="00802119"/>
    <w:rsid w:val="008025AE"/>
    <w:rsid w:val="00806B90"/>
    <w:rsid w:val="00806DCE"/>
    <w:rsid w:val="00807819"/>
    <w:rsid w:val="0081453A"/>
    <w:rsid w:val="008152E0"/>
    <w:rsid w:val="00815575"/>
    <w:rsid w:val="00820767"/>
    <w:rsid w:val="00822E80"/>
    <w:rsid w:val="00823339"/>
    <w:rsid w:val="0082427E"/>
    <w:rsid w:val="008244F5"/>
    <w:rsid w:val="00824C0D"/>
    <w:rsid w:val="008251ED"/>
    <w:rsid w:val="00825E5A"/>
    <w:rsid w:val="0083022B"/>
    <w:rsid w:val="0083031E"/>
    <w:rsid w:val="00830FEC"/>
    <w:rsid w:val="00833330"/>
    <w:rsid w:val="00835813"/>
    <w:rsid w:val="008366E7"/>
    <w:rsid w:val="0083740C"/>
    <w:rsid w:val="00840CD5"/>
    <w:rsid w:val="00841CA4"/>
    <w:rsid w:val="00842091"/>
    <w:rsid w:val="00842224"/>
    <w:rsid w:val="00845515"/>
    <w:rsid w:val="00846958"/>
    <w:rsid w:val="00846CE9"/>
    <w:rsid w:val="00851EBC"/>
    <w:rsid w:val="0085203A"/>
    <w:rsid w:val="00852AE5"/>
    <w:rsid w:val="00853E05"/>
    <w:rsid w:val="00854DB8"/>
    <w:rsid w:val="0085529C"/>
    <w:rsid w:val="00856552"/>
    <w:rsid w:val="00856FEE"/>
    <w:rsid w:val="00857F6D"/>
    <w:rsid w:val="00860410"/>
    <w:rsid w:val="0086063F"/>
    <w:rsid w:val="008609E6"/>
    <w:rsid w:val="00863B78"/>
    <w:rsid w:val="00865081"/>
    <w:rsid w:val="00865990"/>
    <w:rsid w:val="00865C80"/>
    <w:rsid w:val="00865FDB"/>
    <w:rsid w:val="00867CAC"/>
    <w:rsid w:val="00870045"/>
    <w:rsid w:val="00872055"/>
    <w:rsid w:val="00874F4F"/>
    <w:rsid w:val="00875F21"/>
    <w:rsid w:val="00880B2F"/>
    <w:rsid w:val="008812DA"/>
    <w:rsid w:val="00881642"/>
    <w:rsid w:val="00881BE0"/>
    <w:rsid w:val="00882B91"/>
    <w:rsid w:val="00883364"/>
    <w:rsid w:val="0088384B"/>
    <w:rsid w:val="00885FB0"/>
    <w:rsid w:val="00887A1A"/>
    <w:rsid w:val="00891158"/>
    <w:rsid w:val="00891814"/>
    <w:rsid w:val="0089469C"/>
    <w:rsid w:val="008954C1"/>
    <w:rsid w:val="00896D4D"/>
    <w:rsid w:val="008A1FAA"/>
    <w:rsid w:val="008A26FC"/>
    <w:rsid w:val="008A302C"/>
    <w:rsid w:val="008A38D8"/>
    <w:rsid w:val="008A4F12"/>
    <w:rsid w:val="008A6CB5"/>
    <w:rsid w:val="008A6F6E"/>
    <w:rsid w:val="008A7397"/>
    <w:rsid w:val="008B017A"/>
    <w:rsid w:val="008B04FC"/>
    <w:rsid w:val="008B192F"/>
    <w:rsid w:val="008B1BC5"/>
    <w:rsid w:val="008B206C"/>
    <w:rsid w:val="008B6089"/>
    <w:rsid w:val="008B64EF"/>
    <w:rsid w:val="008C05DC"/>
    <w:rsid w:val="008C074D"/>
    <w:rsid w:val="008C32E7"/>
    <w:rsid w:val="008C4585"/>
    <w:rsid w:val="008C5298"/>
    <w:rsid w:val="008C5E93"/>
    <w:rsid w:val="008C70ED"/>
    <w:rsid w:val="008C7A02"/>
    <w:rsid w:val="008D1B99"/>
    <w:rsid w:val="008D203E"/>
    <w:rsid w:val="008D3049"/>
    <w:rsid w:val="008D4CF4"/>
    <w:rsid w:val="008D4F73"/>
    <w:rsid w:val="008D6B28"/>
    <w:rsid w:val="008D6C48"/>
    <w:rsid w:val="008E4D3C"/>
    <w:rsid w:val="008E5476"/>
    <w:rsid w:val="008E5DE3"/>
    <w:rsid w:val="008E5F70"/>
    <w:rsid w:val="008E631D"/>
    <w:rsid w:val="008E70B3"/>
    <w:rsid w:val="008E72F2"/>
    <w:rsid w:val="008E747D"/>
    <w:rsid w:val="008F00F3"/>
    <w:rsid w:val="008F028E"/>
    <w:rsid w:val="008F0316"/>
    <w:rsid w:val="008F185C"/>
    <w:rsid w:val="008F18CB"/>
    <w:rsid w:val="008F238A"/>
    <w:rsid w:val="008F30E9"/>
    <w:rsid w:val="008F3B62"/>
    <w:rsid w:val="008F3C23"/>
    <w:rsid w:val="008F4A0E"/>
    <w:rsid w:val="008F575E"/>
    <w:rsid w:val="008F5781"/>
    <w:rsid w:val="008F6A42"/>
    <w:rsid w:val="008F7B8F"/>
    <w:rsid w:val="0090275E"/>
    <w:rsid w:val="009028F7"/>
    <w:rsid w:val="00902EE1"/>
    <w:rsid w:val="00904552"/>
    <w:rsid w:val="00905B99"/>
    <w:rsid w:val="00905DBF"/>
    <w:rsid w:val="00906653"/>
    <w:rsid w:val="009066ED"/>
    <w:rsid w:val="00906EE3"/>
    <w:rsid w:val="00907C2E"/>
    <w:rsid w:val="009117D4"/>
    <w:rsid w:val="00911D91"/>
    <w:rsid w:val="00913446"/>
    <w:rsid w:val="00913600"/>
    <w:rsid w:val="009137B2"/>
    <w:rsid w:val="00913DFB"/>
    <w:rsid w:val="00913F4D"/>
    <w:rsid w:val="0091430E"/>
    <w:rsid w:val="00920406"/>
    <w:rsid w:val="00921302"/>
    <w:rsid w:val="00921AD2"/>
    <w:rsid w:val="0092300C"/>
    <w:rsid w:val="00924067"/>
    <w:rsid w:val="0092453D"/>
    <w:rsid w:val="009254C2"/>
    <w:rsid w:val="0092715D"/>
    <w:rsid w:val="00927B35"/>
    <w:rsid w:val="009307C5"/>
    <w:rsid w:val="00930F33"/>
    <w:rsid w:val="00931AE2"/>
    <w:rsid w:val="00932C02"/>
    <w:rsid w:val="009335AF"/>
    <w:rsid w:val="00934890"/>
    <w:rsid w:val="00934E3A"/>
    <w:rsid w:val="009369B6"/>
    <w:rsid w:val="0093705E"/>
    <w:rsid w:val="00937A7C"/>
    <w:rsid w:val="009404CD"/>
    <w:rsid w:val="009406EB"/>
    <w:rsid w:val="00941F32"/>
    <w:rsid w:val="00941F43"/>
    <w:rsid w:val="0094597B"/>
    <w:rsid w:val="00945DAB"/>
    <w:rsid w:val="009532E7"/>
    <w:rsid w:val="00953A78"/>
    <w:rsid w:val="00953AE9"/>
    <w:rsid w:val="00953EE8"/>
    <w:rsid w:val="00960A9B"/>
    <w:rsid w:val="00960E70"/>
    <w:rsid w:val="009610CC"/>
    <w:rsid w:val="00964668"/>
    <w:rsid w:val="00964AE8"/>
    <w:rsid w:val="00966245"/>
    <w:rsid w:val="009662A1"/>
    <w:rsid w:val="009662CB"/>
    <w:rsid w:val="00967106"/>
    <w:rsid w:val="00967325"/>
    <w:rsid w:val="00967FE7"/>
    <w:rsid w:val="00971000"/>
    <w:rsid w:val="00972437"/>
    <w:rsid w:val="00972AF7"/>
    <w:rsid w:val="00976527"/>
    <w:rsid w:val="00976BE8"/>
    <w:rsid w:val="00977DDD"/>
    <w:rsid w:val="00980D56"/>
    <w:rsid w:val="00980FF6"/>
    <w:rsid w:val="0098194D"/>
    <w:rsid w:val="009845F9"/>
    <w:rsid w:val="0098491E"/>
    <w:rsid w:val="009877F4"/>
    <w:rsid w:val="00987F54"/>
    <w:rsid w:val="0099050B"/>
    <w:rsid w:val="00991C75"/>
    <w:rsid w:val="00992546"/>
    <w:rsid w:val="00992638"/>
    <w:rsid w:val="0099278E"/>
    <w:rsid w:val="0099309A"/>
    <w:rsid w:val="00994525"/>
    <w:rsid w:val="00995A31"/>
    <w:rsid w:val="009A0116"/>
    <w:rsid w:val="009A03AE"/>
    <w:rsid w:val="009A2362"/>
    <w:rsid w:val="009A2405"/>
    <w:rsid w:val="009A4BD1"/>
    <w:rsid w:val="009A5C7C"/>
    <w:rsid w:val="009A751C"/>
    <w:rsid w:val="009B0D3E"/>
    <w:rsid w:val="009B262B"/>
    <w:rsid w:val="009B30CE"/>
    <w:rsid w:val="009B3AF1"/>
    <w:rsid w:val="009B4DB0"/>
    <w:rsid w:val="009B639E"/>
    <w:rsid w:val="009B7E0E"/>
    <w:rsid w:val="009C0693"/>
    <w:rsid w:val="009C0792"/>
    <w:rsid w:val="009C0F48"/>
    <w:rsid w:val="009C22B6"/>
    <w:rsid w:val="009C4446"/>
    <w:rsid w:val="009C460C"/>
    <w:rsid w:val="009C472B"/>
    <w:rsid w:val="009C4D37"/>
    <w:rsid w:val="009C7825"/>
    <w:rsid w:val="009D0B45"/>
    <w:rsid w:val="009D276E"/>
    <w:rsid w:val="009D46F6"/>
    <w:rsid w:val="009D4E15"/>
    <w:rsid w:val="009D70C0"/>
    <w:rsid w:val="009E10CE"/>
    <w:rsid w:val="009E27CB"/>
    <w:rsid w:val="009E2846"/>
    <w:rsid w:val="009E54E8"/>
    <w:rsid w:val="009E5C9F"/>
    <w:rsid w:val="009E61CA"/>
    <w:rsid w:val="009F2A8B"/>
    <w:rsid w:val="009F2DF3"/>
    <w:rsid w:val="009F3D12"/>
    <w:rsid w:val="009F4C1B"/>
    <w:rsid w:val="009F56DE"/>
    <w:rsid w:val="009F681B"/>
    <w:rsid w:val="009F6D2E"/>
    <w:rsid w:val="009F7D4C"/>
    <w:rsid w:val="009F7E9D"/>
    <w:rsid w:val="00A00652"/>
    <w:rsid w:val="00A00F40"/>
    <w:rsid w:val="00A0666D"/>
    <w:rsid w:val="00A104E3"/>
    <w:rsid w:val="00A12358"/>
    <w:rsid w:val="00A1302B"/>
    <w:rsid w:val="00A14249"/>
    <w:rsid w:val="00A14558"/>
    <w:rsid w:val="00A14703"/>
    <w:rsid w:val="00A15323"/>
    <w:rsid w:val="00A15D30"/>
    <w:rsid w:val="00A15F07"/>
    <w:rsid w:val="00A176F9"/>
    <w:rsid w:val="00A178CE"/>
    <w:rsid w:val="00A2006A"/>
    <w:rsid w:val="00A20C1E"/>
    <w:rsid w:val="00A20CA8"/>
    <w:rsid w:val="00A21B77"/>
    <w:rsid w:val="00A2280F"/>
    <w:rsid w:val="00A25227"/>
    <w:rsid w:val="00A254BD"/>
    <w:rsid w:val="00A257B8"/>
    <w:rsid w:val="00A268B9"/>
    <w:rsid w:val="00A31CF4"/>
    <w:rsid w:val="00A31DD0"/>
    <w:rsid w:val="00A32585"/>
    <w:rsid w:val="00A32F59"/>
    <w:rsid w:val="00A3579F"/>
    <w:rsid w:val="00A35925"/>
    <w:rsid w:val="00A377CD"/>
    <w:rsid w:val="00A378B1"/>
    <w:rsid w:val="00A37D4C"/>
    <w:rsid w:val="00A41050"/>
    <w:rsid w:val="00A41A87"/>
    <w:rsid w:val="00A41B43"/>
    <w:rsid w:val="00A457EF"/>
    <w:rsid w:val="00A463F6"/>
    <w:rsid w:val="00A473FD"/>
    <w:rsid w:val="00A50243"/>
    <w:rsid w:val="00A528A0"/>
    <w:rsid w:val="00A545E0"/>
    <w:rsid w:val="00A56B36"/>
    <w:rsid w:val="00A56D91"/>
    <w:rsid w:val="00A576AD"/>
    <w:rsid w:val="00A60658"/>
    <w:rsid w:val="00A6224C"/>
    <w:rsid w:val="00A640F0"/>
    <w:rsid w:val="00A66C49"/>
    <w:rsid w:val="00A71AAF"/>
    <w:rsid w:val="00A72207"/>
    <w:rsid w:val="00A72871"/>
    <w:rsid w:val="00A74750"/>
    <w:rsid w:val="00A75196"/>
    <w:rsid w:val="00A755ED"/>
    <w:rsid w:val="00A766C5"/>
    <w:rsid w:val="00A83326"/>
    <w:rsid w:val="00A834BA"/>
    <w:rsid w:val="00A852BE"/>
    <w:rsid w:val="00A858D2"/>
    <w:rsid w:val="00A87027"/>
    <w:rsid w:val="00A903A2"/>
    <w:rsid w:val="00A90B90"/>
    <w:rsid w:val="00A9192E"/>
    <w:rsid w:val="00A93AEE"/>
    <w:rsid w:val="00A95B0E"/>
    <w:rsid w:val="00A978F1"/>
    <w:rsid w:val="00A97B87"/>
    <w:rsid w:val="00A97BCE"/>
    <w:rsid w:val="00AA1306"/>
    <w:rsid w:val="00AA4029"/>
    <w:rsid w:val="00AA5198"/>
    <w:rsid w:val="00AB1E5B"/>
    <w:rsid w:val="00AB2F69"/>
    <w:rsid w:val="00AB5FB8"/>
    <w:rsid w:val="00AB725D"/>
    <w:rsid w:val="00AC20FE"/>
    <w:rsid w:val="00AC22B9"/>
    <w:rsid w:val="00AC248D"/>
    <w:rsid w:val="00AC2C4F"/>
    <w:rsid w:val="00AC3D4F"/>
    <w:rsid w:val="00AC6786"/>
    <w:rsid w:val="00AC6791"/>
    <w:rsid w:val="00AD05B8"/>
    <w:rsid w:val="00AD11EF"/>
    <w:rsid w:val="00AD13B0"/>
    <w:rsid w:val="00AD1EEC"/>
    <w:rsid w:val="00AD2E88"/>
    <w:rsid w:val="00AD3957"/>
    <w:rsid w:val="00AD743A"/>
    <w:rsid w:val="00AE11C3"/>
    <w:rsid w:val="00AE247C"/>
    <w:rsid w:val="00AE295F"/>
    <w:rsid w:val="00AE3503"/>
    <w:rsid w:val="00AE370E"/>
    <w:rsid w:val="00AE4BE5"/>
    <w:rsid w:val="00AE6511"/>
    <w:rsid w:val="00AE758F"/>
    <w:rsid w:val="00AE7623"/>
    <w:rsid w:val="00AE76DF"/>
    <w:rsid w:val="00AF05A6"/>
    <w:rsid w:val="00AF078B"/>
    <w:rsid w:val="00AF0E75"/>
    <w:rsid w:val="00AF14FD"/>
    <w:rsid w:val="00AF461B"/>
    <w:rsid w:val="00AF568D"/>
    <w:rsid w:val="00AF659B"/>
    <w:rsid w:val="00AF6D2D"/>
    <w:rsid w:val="00B010E3"/>
    <w:rsid w:val="00B0129B"/>
    <w:rsid w:val="00B03737"/>
    <w:rsid w:val="00B0683E"/>
    <w:rsid w:val="00B10529"/>
    <w:rsid w:val="00B116CC"/>
    <w:rsid w:val="00B1361F"/>
    <w:rsid w:val="00B15709"/>
    <w:rsid w:val="00B16F50"/>
    <w:rsid w:val="00B22B8C"/>
    <w:rsid w:val="00B22EBB"/>
    <w:rsid w:val="00B277B4"/>
    <w:rsid w:val="00B30625"/>
    <w:rsid w:val="00B3236A"/>
    <w:rsid w:val="00B35565"/>
    <w:rsid w:val="00B3642B"/>
    <w:rsid w:val="00B37A08"/>
    <w:rsid w:val="00B404F9"/>
    <w:rsid w:val="00B405C0"/>
    <w:rsid w:val="00B4462A"/>
    <w:rsid w:val="00B45371"/>
    <w:rsid w:val="00B45AD6"/>
    <w:rsid w:val="00B50FE4"/>
    <w:rsid w:val="00B52F70"/>
    <w:rsid w:val="00B54B48"/>
    <w:rsid w:val="00B54D5A"/>
    <w:rsid w:val="00B55ACD"/>
    <w:rsid w:val="00B57E6D"/>
    <w:rsid w:val="00B61172"/>
    <w:rsid w:val="00B62A6F"/>
    <w:rsid w:val="00B62F8C"/>
    <w:rsid w:val="00B6403E"/>
    <w:rsid w:val="00B6494F"/>
    <w:rsid w:val="00B64A95"/>
    <w:rsid w:val="00B66452"/>
    <w:rsid w:val="00B677AD"/>
    <w:rsid w:val="00B71207"/>
    <w:rsid w:val="00B718A8"/>
    <w:rsid w:val="00B71959"/>
    <w:rsid w:val="00B727EC"/>
    <w:rsid w:val="00B73170"/>
    <w:rsid w:val="00B7463F"/>
    <w:rsid w:val="00B74D53"/>
    <w:rsid w:val="00B7570B"/>
    <w:rsid w:val="00B76A68"/>
    <w:rsid w:val="00B76E58"/>
    <w:rsid w:val="00B77CC2"/>
    <w:rsid w:val="00B80D8C"/>
    <w:rsid w:val="00B83EF9"/>
    <w:rsid w:val="00B840CE"/>
    <w:rsid w:val="00B846B4"/>
    <w:rsid w:val="00B86618"/>
    <w:rsid w:val="00B90893"/>
    <w:rsid w:val="00B90A50"/>
    <w:rsid w:val="00B918FB"/>
    <w:rsid w:val="00B92B49"/>
    <w:rsid w:val="00B9316D"/>
    <w:rsid w:val="00B9447E"/>
    <w:rsid w:val="00B947D7"/>
    <w:rsid w:val="00B95876"/>
    <w:rsid w:val="00BA11CC"/>
    <w:rsid w:val="00BA2C40"/>
    <w:rsid w:val="00BA3AB0"/>
    <w:rsid w:val="00BA6548"/>
    <w:rsid w:val="00BA7297"/>
    <w:rsid w:val="00BB0EF0"/>
    <w:rsid w:val="00BB3E22"/>
    <w:rsid w:val="00BB4DFC"/>
    <w:rsid w:val="00BC02F2"/>
    <w:rsid w:val="00BC0458"/>
    <w:rsid w:val="00BC058F"/>
    <w:rsid w:val="00BC1146"/>
    <w:rsid w:val="00BC1893"/>
    <w:rsid w:val="00BC235F"/>
    <w:rsid w:val="00BC4ADB"/>
    <w:rsid w:val="00BC6DBC"/>
    <w:rsid w:val="00BC72C5"/>
    <w:rsid w:val="00BD04A3"/>
    <w:rsid w:val="00BD0A9C"/>
    <w:rsid w:val="00BD173A"/>
    <w:rsid w:val="00BD30FF"/>
    <w:rsid w:val="00BD325E"/>
    <w:rsid w:val="00BD44C9"/>
    <w:rsid w:val="00BD45E9"/>
    <w:rsid w:val="00BD6B0B"/>
    <w:rsid w:val="00BD7113"/>
    <w:rsid w:val="00BD7C00"/>
    <w:rsid w:val="00BD7C21"/>
    <w:rsid w:val="00BE03E6"/>
    <w:rsid w:val="00BE20DC"/>
    <w:rsid w:val="00BE2369"/>
    <w:rsid w:val="00BE3499"/>
    <w:rsid w:val="00BE420F"/>
    <w:rsid w:val="00BE4E37"/>
    <w:rsid w:val="00BE5EFD"/>
    <w:rsid w:val="00BE5F5F"/>
    <w:rsid w:val="00BE738C"/>
    <w:rsid w:val="00BF1981"/>
    <w:rsid w:val="00BF1F51"/>
    <w:rsid w:val="00BF2501"/>
    <w:rsid w:val="00BF3BE7"/>
    <w:rsid w:val="00BF694B"/>
    <w:rsid w:val="00BF723F"/>
    <w:rsid w:val="00BF7E1D"/>
    <w:rsid w:val="00C003E4"/>
    <w:rsid w:val="00C00E3D"/>
    <w:rsid w:val="00C00FEA"/>
    <w:rsid w:val="00C02A7F"/>
    <w:rsid w:val="00C02EE5"/>
    <w:rsid w:val="00C03511"/>
    <w:rsid w:val="00C054B2"/>
    <w:rsid w:val="00C057DD"/>
    <w:rsid w:val="00C059DF"/>
    <w:rsid w:val="00C06237"/>
    <w:rsid w:val="00C06B6F"/>
    <w:rsid w:val="00C06CBA"/>
    <w:rsid w:val="00C07158"/>
    <w:rsid w:val="00C11C3C"/>
    <w:rsid w:val="00C121C5"/>
    <w:rsid w:val="00C13841"/>
    <w:rsid w:val="00C14B5D"/>
    <w:rsid w:val="00C15093"/>
    <w:rsid w:val="00C16EB6"/>
    <w:rsid w:val="00C17BF5"/>
    <w:rsid w:val="00C201B2"/>
    <w:rsid w:val="00C203B9"/>
    <w:rsid w:val="00C230F5"/>
    <w:rsid w:val="00C23DE2"/>
    <w:rsid w:val="00C24B04"/>
    <w:rsid w:val="00C2564F"/>
    <w:rsid w:val="00C26FFC"/>
    <w:rsid w:val="00C272A3"/>
    <w:rsid w:val="00C27517"/>
    <w:rsid w:val="00C27BA4"/>
    <w:rsid w:val="00C3015F"/>
    <w:rsid w:val="00C30C3C"/>
    <w:rsid w:val="00C30F1B"/>
    <w:rsid w:val="00C312A7"/>
    <w:rsid w:val="00C316CE"/>
    <w:rsid w:val="00C32305"/>
    <w:rsid w:val="00C34110"/>
    <w:rsid w:val="00C34A09"/>
    <w:rsid w:val="00C34F3B"/>
    <w:rsid w:val="00C35B8A"/>
    <w:rsid w:val="00C36619"/>
    <w:rsid w:val="00C37BD7"/>
    <w:rsid w:val="00C41233"/>
    <w:rsid w:val="00C412B4"/>
    <w:rsid w:val="00C42A73"/>
    <w:rsid w:val="00C42CA6"/>
    <w:rsid w:val="00C42CFE"/>
    <w:rsid w:val="00C43F9F"/>
    <w:rsid w:val="00C45FC7"/>
    <w:rsid w:val="00C4731B"/>
    <w:rsid w:val="00C502E0"/>
    <w:rsid w:val="00C50B24"/>
    <w:rsid w:val="00C51F62"/>
    <w:rsid w:val="00C5455B"/>
    <w:rsid w:val="00C54D94"/>
    <w:rsid w:val="00C55364"/>
    <w:rsid w:val="00C56D55"/>
    <w:rsid w:val="00C579DE"/>
    <w:rsid w:val="00C57CEE"/>
    <w:rsid w:val="00C60388"/>
    <w:rsid w:val="00C60940"/>
    <w:rsid w:val="00C61668"/>
    <w:rsid w:val="00C61889"/>
    <w:rsid w:val="00C6372A"/>
    <w:rsid w:val="00C662B7"/>
    <w:rsid w:val="00C66B04"/>
    <w:rsid w:val="00C714F7"/>
    <w:rsid w:val="00C744FF"/>
    <w:rsid w:val="00C805AB"/>
    <w:rsid w:val="00C817B8"/>
    <w:rsid w:val="00C823E6"/>
    <w:rsid w:val="00C825DA"/>
    <w:rsid w:val="00C83102"/>
    <w:rsid w:val="00C84C61"/>
    <w:rsid w:val="00C86CD1"/>
    <w:rsid w:val="00C87594"/>
    <w:rsid w:val="00C9097A"/>
    <w:rsid w:val="00C94853"/>
    <w:rsid w:val="00C95FE7"/>
    <w:rsid w:val="00CA02BC"/>
    <w:rsid w:val="00CA0859"/>
    <w:rsid w:val="00CA0B4B"/>
    <w:rsid w:val="00CA0C93"/>
    <w:rsid w:val="00CA18FF"/>
    <w:rsid w:val="00CA198A"/>
    <w:rsid w:val="00CA252B"/>
    <w:rsid w:val="00CB1585"/>
    <w:rsid w:val="00CB3194"/>
    <w:rsid w:val="00CB4416"/>
    <w:rsid w:val="00CB44A3"/>
    <w:rsid w:val="00CB5A4E"/>
    <w:rsid w:val="00CB691E"/>
    <w:rsid w:val="00CB76A9"/>
    <w:rsid w:val="00CC135B"/>
    <w:rsid w:val="00CC145B"/>
    <w:rsid w:val="00CC17A8"/>
    <w:rsid w:val="00CC2AB4"/>
    <w:rsid w:val="00CC32C9"/>
    <w:rsid w:val="00CC50F3"/>
    <w:rsid w:val="00CC7589"/>
    <w:rsid w:val="00CD06DA"/>
    <w:rsid w:val="00CD2712"/>
    <w:rsid w:val="00CD66A7"/>
    <w:rsid w:val="00CE0600"/>
    <w:rsid w:val="00CE09A0"/>
    <w:rsid w:val="00CE15FA"/>
    <w:rsid w:val="00CE3B07"/>
    <w:rsid w:val="00CF1406"/>
    <w:rsid w:val="00CF199B"/>
    <w:rsid w:val="00CF2063"/>
    <w:rsid w:val="00CF2794"/>
    <w:rsid w:val="00CF2F70"/>
    <w:rsid w:val="00CF534C"/>
    <w:rsid w:val="00CF5EEA"/>
    <w:rsid w:val="00CF7553"/>
    <w:rsid w:val="00D0180C"/>
    <w:rsid w:val="00D02C17"/>
    <w:rsid w:val="00D0472A"/>
    <w:rsid w:val="00D04F6D"/>
    <w:rsid w:val="00D05CFE"/>
    <w:rsid w:val="00D05EE4"/>
    <w:rsid w:val="00D05F8B"/>
    <w:rsid w:val="00D068A0"/>
    <w:rsid w:val="00D06A53"/>
    <w:rsid w:val="00D07290"/>
    <w:rsid w:val="00D075BE"/>
    <w:rsid w:val="00D07DA2"/>
    <w:rsid w:val="00D07F08"/>
    <w:rsid w:val="00D11031"/>
    <w:rsid w:val="00D126A1"/>
    <w:rsid w:val="00D12EE2"/>
    <w:rsid w:val="00D1306C"/>
    <w:rsid w:val="00D13DF0"/>
    <w:rsid w:val="00D161B7"/>
    <w:rsid w:val="00D201A9"/>
    <w:rsid w:val="00D20B84"/>
    <w:rsid w:val="00D20DDA"/>
    <w:rsid w:val="00D220C1"/>
    <w:rsid w:val="00D2283B"/>
    <w:rsid w:val="00D22ED4"/>
    <w:rsid w:val="00D233A7"/>
    <w:rsid w:val="00D25336"/>
    <w:rsid w:val="00D27FBA"/>
    <w:rsid w:val="00D30AAB"/>
    <w:rsid w:val="00D31947"/>
    <w:rsid w:val="00D31E5B"/>
    <w:rsid w:val="00D31F0F"/>
    <w:rsid w:val="00D32C32"/>
    <w:rsid w:val="00D34DA9"/>
    <w:rsid w:val="00D374AA"/>
    <w:rsid w:val="00D419D4"/>
    <w:rsid w:val="00D41AC6"/>
    <w:rsid w:val="00D41F70"/>
    <w:rsid w:val="00D43CF5"/>
    <w:rsid w:val="00D440D0"/>
    <w:rsid w:val="00D44C24"/>
    <w:rsid w:val="00D50274"/>
    <w:rsid w:val="00D5187F"/>
    <w:rsid w:val="00D51A5F"/>
    <w:rsid w:val="00D51E52"/>
    <w:rsid w:val="00D52D56"/>
    <w:rsid w:val="00D53721"/>
    <w:rsid w:val="00D558F5"/>
    <w:rsid w:val="00D567C6"/>
    <w:rsid w:val="00D5705B"/>
    <w:rsid w:val="00D61856"/>
    <w:rsid w:val="00D61DA7"/>
    <w:rsid w:val="00D65D20"/>
    <w:rsid w:val="00D65F03"/>
    <w:rsid w:val="00D7259B"/>
    <w:rsid w:val="00D76C8B"/>
    <w:rsid w:val="00D81141"/>
    <w:rsid w:val="00D82AD1"/>
    <w:rsid w:val="00D835C1"/>
    <w:rsid w:val="00D873F7"/>
    <w:rsid w:val="00D879D3"/>
    <w:rsid w:val="00D87E2B"/>
    <w:rsid w:val="00D90A35"/>
    <w:rsid w:val="00D932AD"/>
    <w:rsid w:val="00D93563"/>
    <w:rsid w:val="00D93699"/>
    <w:rsid w:val="00D9454D"/>
    <w:rsid w:val="00D94C50"/>
    <w:rsid w:val="00DA1AE6"/>
    <w:rsid w:val="00DA504A"/>
    <w:rsid w:val="00DA779B"/>
    <w:rsid w:val="00DB0EFA"/>
    <w:rsid w:val="00DB2528"/>
    <w:rsid w:val="00DB2842"/>
    <w:rsid w:val="00DB40E6"/>
    <w:rsid w:val="00DB6E70"/>
    <w:rsid w:val="00DB7635"/>
    <w:rsid w:val="00DB77E1"/>
    <w:rsid w:val="00DC15DF"/>
    <w:rsid w:val="00DC20E3"/>
    <w:rsid w:val="00DC308B"/>
    <w:rsid w:val="00DC464D"/>
    <w:rsid w:val="00DC6BAB"/>
    <w:rsid w:val="00DD03AA"/>
    <w:rsid w:val="00DD1B00"/>
    <w:rsid w:val="00DD1E14"/>
    <w:rsid w:val="00DD5D2B"/>
    <w:rsid w:val="00DD69B3"/>
    <w:rsid w:val="00DD6B4B"/>
    <w:rsid w:val="00DE0950"/>
    <w:rsid w:val="00DE14A5"/>
    <w:rsid w:val="00DE164B"/>
    <w:rsid w:val="00DE2ADA"/>
    <w:rsid w:val="00DE2E90"/>
    <w:rsid w:val="00DE3768"/>
    <w:rsid w:val="00DE52C9"/>
    <w:rsid w:val="00DF1171"/>
    <w:rsid w:val="00DF1659"/>
    <w:rsid w:val="00DF1680"/>
    <w:rsid w:val="00DF271E"/>
    <w:rsid w:val="00DF3D98"/>
    <w:rsid w:val="00DF4FBE"/>
    <w:rsid w:val="00DF7563"/>
    <w:rsid w:val="00E05D50"/>
    <w:rsid w:val="00E065D7"/>
    <w:rsid w:val="00E06D7C"/>
    <w:rsid w:val="00E06DDF"/>
    <w:rsid w:val="00E11489"/>
    <w:rsid w:val="00E12FBD"/>
    <w:rsid w:val="00E14B15"/>
    <w:rsid w:val="00E14E7A"/>
    <w:rsid w:val="00E20DBA"/>
    <w:rsid w:val="00E21BB9"/>
    <w:rsid w:val="00E23A62"/>
    <w:rsid w:val="00E2578D"/>
    <w:rsid w:val="00E27FB0"/>
    <w:rsid w:val="00E304E7"/>
    <w:rsid w:val="00E30989"/>
    <w:rsid w:val="00E326A9"/>
    <w:rsid w:val="00E328DD"/>
    <w:rsid w:val="00E32AE7"/>
    <w:rsid w:val="00E337DD"/>
    <w:rsid w:val="00E338A4"/>
    <w:rsid w:val="00E43461"/>
    <w:rsid w:val="00E44E12"/>
    <w:rsid w:val="00E4573F"/>
    <w:rsid w:val="00E4721E"/>
    <w:rsid w:val="00E47ACF"/>
    <w:rsid w:val="00E5134A"/>
    <w:rsid w:val="00E51E46"/>
    <w:rsid w:val="00E52EDC"/>
    <w:rsid w:val="00E553FB"/>
    <w:rsid w:val="00E5559A"/>
    <w:rsid w:val="00E6024F"/>
    <w:rsid w:val="00E60C5A"/>
    <w:rsid w:val="00E62E4F"/>
    <w:rsid w:val="00E6314A"/>
    <w:rsid w:val="00E63897"/>
    <w:rsid w:val="00E64491"/>
    <w:rsid w:val="00E645DE"/>
    <w:rsid w:val="00E67718"/>
    <w:rsid w:val="00E67FC4"/>
    <w:rsid w:val="00E7158C"/>
    <w:rsid w:val="00E71D89"/>
    <w:rsid w:val="00E72A6D"/>
    <w:rsid w:val="00E76793"/>
    <w:rsid w:val="00E77164"/>
    <w:rsid w:val="00E77C77"/>
    <w:rsid w:val="00E8130A"/>
    <w:rsid w:val="00E8198C"/>
    <w:rsid w:val="00E82224"/>
    <w:rsid w:val="00E83F4E"/>
    <w:rsid w:val="00E85F4E"/>
    <w:rsid w:val="00E86DA4"/>
    <w:rsid w:val="00E87015"/>
    <w:rsid w:val="00E8701B"/>
    <w:rsid w:val="00E904A2"/>
    <w:rsid w:val="00E91455"/>
    <w:rsid w:val="00E9195A"/>
    <w:rsid w:val="00E926AE"/>
    <w:rsid w:val="00E96860"/>
    <w:rsid w:val="00E97234"/>
    <w:rsid w:val="00EA0A25"/>
    <w:rsid w:val="00EA1439"/>
    <w:rsid w:val="00EA1F93"/>
    <w:rsid w:val="00EA4327"/>
    <w:rsid w:val="00EA4C1C"/>
    <w:rsid w:val="00EA51EE"/>
    <w:rsid w:val="00EA7541"/>
    <w:rsid w:val="00EB45D3"/>
    <w:rsid w:val="00EB5755"/>
    <w:rsid w:val="00EB6068"/>
    <w:rsid w:val="00EB783D"/>
    <w:rsid w:val="00EC33F2"/>
    <w:rsid w:val="00EC48B0"/>
    <w:rsid w:val="00EC4C66"/>
    <w:rsid w:val="00EC4D5D"/>
    <w:rsid w:val="00EC4E3D"/>
    <w:rsid w:val="00EC6F4C"/>
    <w:rsid w:val="00ED1C91"/>
    <w:rsid w:val="00ED241A"/>
    <w:rsid w:val="00ED2601"/>
    <w:rsid w:val="00ED3056"/>
    <w:rsid w:val="00ED3185"/>
    <w:rsid w:val="00ED3240"/>
    <w:rsid w:val="00ED49B2"/>
    <w:rsid w:val="00ED65DE"/>
    <w:rsid w:val="00ED71AA"/>
    <w:rsid w:val="00EE134F"/>
    <w:rsid w:val="00EE1677"/>
    <w:rsid w:val="00EE368A"/>
    <w:rsid w:val="00EE3A6E"/>
    <w:rsid w:val="00EE3E8A"/>
    <w:rsid w:val="00EE66BF"/>
    <w:rsid w:val="00EE71E9"/>
    <w:rsid w:val="00EF1059"/>
    <w:rsid w:val="00EF1B92"/>
    <w:rsid w:val="00EF2A01"/>
    <w:rsid w:val="00EF3C6A"/>
    <w:rsid w:val="00EF404B"/>
    <w:rsid w:val="00EF5215"/>
    <w:rsid w:val="00EF6093"/>
    <w:rsid w:val="00F00ABB"/>
    <w:rsid w:val="00F02DA8"/>
    <w:rsid w:val="00F03486"/>
    <w:rsid w:val="00F03FE4"/>
    <w:rsid w:val="00F06613"/>
    <w:rsid w:val="00F07E4B"/>
    <w:rsid w:val="00F10214"/>
    <w:rsid w:val="00F1134D"/>
    <w:rsid w:val="00F12713"/>
    <w:rsid w:val="00F12E57"/>
    <w:rsid w:val="00F13DE2"/>
    <w:rsid w:val="00F16973"/>
    <w:rsid w:val="00F201A3"/>
    <w:rsid w:val="00F20887"/>
    <w:rsid w:val="00F228C5"/>
    <w:rsid w:val="00F24CFD"/>
    <w:rsid w:val="00F318C8"/>
    <w:rsid w:val="00F32221"/>
    <w:rsid w:val="00F32A88"/>
    <w:rsid w:val="00F336FF"/>
    <w:rsid w:val="00F33AFE"/>
    <w:rsid w:val="00F347A2"/>
    <w:rsid w:val="00F37221"/>
    <w:rsid w:val="00F4002D"/>
    <w:rsid w:val="00F40AB4"/>
    <w:rsid w:val="00F41CF5"/>
    <w:rsid w:val="00F44F9F"/>
    <w:rsid w:val="00F478FB"/>
    <w:rsid w:val="00F53BB9"/>
    <w:rsid w:val="00F54284"/>
    <w:rsid w:val="00F54DDC"/>
    <w:rsid w:val="00F555AE"/>
    <w:rsid w:val="00F613E4"/>
    <w:rsid w:val="00F61C25"/>
    <w:rsid w:val="00F6224D"/>
    <w:rsid w:val="00F6259D"/>
    <w:rsid w:val="00F627CB"/>
    <w:rsid w:val="00F6511B"/>
    <w:rsid w:val="00F65D6F"/>
    <w:rsid w:val="00F662BA"/>
    <w:rsid w:val="00F66D60"/>
    <w:rsid w:val="00F67FA0"/>
    <w:rsid w:val="00F7457A"/>
    <w:rsid w:val="00F7469B"/>
    <w:rsid w:val="00F763C4"/>
    <w:rsid w:val="00F772B7"/>
    <w:rsid w:val="00F775CF"/>
    <w:rsid w:val="00F827DC"/>
    <w:rsid w:val="00F85E99"/>
    <w:rsid w:val="00F86ED3"/>
    <w:rsid w:val="00F8750C"/>
    <w:rsid w:val="00F87D5C"/>
    <w:rsid w:val="00F917DD"/>
    <w:rsid w:val="00F91AF3"/>
    <w:rsid w:val="00F91E2A"/>
    <w:rsid w:val="00F929C3"/>
    <w:rsid w:val="00F93541"/>
    <w:rsid w:val="00F94D06"/>
    <w:rsid w:val="00F9591B"/>
    <w:rsid w:val="00F95F64"/>
    <w:rsid w:val="00F9628F"/>
    <w:rsid w:val="00F967D4"/>
    <w:rsid w:val="00F968A8"/>
    <w:rsid w:val="00F96E8C"/>
    <w:rsid w:val="00FA0C77"/>
    <w:rsid w:val="00FA1004"/>
    <w:rsid w:val="00FA1408"/>
    <w:rsid w:val="00FA2084"/>
    <w:rsid w:val="00FA33BA"/>
    <w:rsid w:val="00FA4E6C"/>
    <w:rsid w:val="00FA5A85"/>
    <w:rsid w:val="00FA676E"/>
    <w:rsid w:val="00FA6EC6"/>
    <w:rsid w:val="00FB0884"/>
    <w:rsid w:val="00FB0910"/>
    <w:rsid w:val="00FB2497"/>
    <w:rsid w:val="00FB2FED"/>
    <w:rsid w:val="00FB57B2"/>
    <w:rsid w:val="00FB57EC"/>
    <w:rsid w:val="00FB6F1A"/>
    <w:rsid w:val="00FC1369"/>
    <w:rsid w:val="00FC283D"/>
    <w:rsid w:val="00FC3006"/>
    <w:rsid w:val="00FC4D2E"/>
    <w:rsid w:val="00FC5ECF"/>
    <w:rsid w:val="00FC77E2"/>
    <w:rsid w:val="00FD0C3E"/>
    <w:rsid w:val="00FD32B1"/>
    <w:rsid w:val="00FD3D79"/>
    <w:rsid w:val="00FD73E6"/>
    <w:rsid w:val="00FE14BB"/>
    <w:rsid w:val="00FE25E4"/>
    <w:rsid w:val="00FE2F97"/>
    <w:rsid w:val="00FE48C5"/>
    <w:rsid w:val="00FE4CF5"/>
    <w:rsid w:val="00FE60F0"/>
    <w:rsid w:val="00FE6522"/>
    <w:rsid w:val="00FE733B"/>
    <w:rsid w:val="00FF01A0"/>
    <w:rsid w:val="00FF3745"/>
    <w:rsid w:val="00FF43D5"/>
    <w:rsid w:val="00FF4F5E"/>
    <w:rsid w:val="00FF5C4C"/>
    <w:rsid w:val="00FF6129"/>
    <w:rsid w:val="02274C3F"/>
    <w:rsid w:val="038D3A56"/>
    <w:rsid w:val="05285D1E"/>
    <w:rsid w:val="05883ED0"/>
    <w:rsid w:val="06205550"/>
    <w:rsid w:val="07734782"/>
    <w:rsid w:val="086B2AB5"/>
    <w:rsid w:val="0A4A1533"/>
    <w:rsid w:val="0B784821"/>
    <w:rsid w:val="11D33806"/>
    <w:rsid w:val="14E65973"/>
    <w:rsid w:val="15866CD3"/>
    <w:rsid w:val="17FD33B6"/>
    <w:rsid w:val="185C3189"/>
    <w:rsid w:val="193C5775"/>
    <w:rsid w:val="19F52275"/>
    <w:rsid w:val="1ABC037A"/>
    <w:rsid w:val="1BFB33CD"/>
    <w:rsid w:val="1FD617DD"/>
    <w:rsid w:val="21583806"/>
    <w:rsid w:val="22D6631B"/>
    <w:rsid w:val="22EA7B20"/>
    <w:rsid w:val="24C849C0"/>
    <w:rsid w:val="253B57F0"/>
    <w:rsid w:val="28755F42"/>
    <w:rsid w:val="29632A95"/>
    <w:rsid w:val="29A40BAB"/>
    <w:rsid w:val="2A0E5818"/>
    <w:rsid w:val="2C521010"/>
    <w:rsid w:val="2DBA3CC6"/>
    <w:rsid w:val="2F9B3A99"/>
    <w:rsid w:val="2FF80F5D"/>
    <w:rsid w:val="326029C7"/>
    <w:rsid w:val="33A8534F"/>
    <w:rsid w:val="34C972E5"/>
    <w:rsid w:val="357912ED"/>
    <w:rsid w:val="37F40336"/>
    <w:rsid w:val="38567D60"/>
    <w:rsid w:val="38D03BD6"/>
    <w:rsid w:val="390B1F61"/>
    <w:rsid w:val="3A4737F4"/>
    <w:rsid w:val="3B9C110D"/>
    <w:rsid w:val="3CAF3546"/>
    <w:rsid w:val="4098055F"/>
    <w:rsid w:val="436D7F04"/>
    <w:rsid w:val="44734A5C"/>
    <w:rsid w:val="47C94B4D"/>
    <w:rsid w:val="48EB3A23"/>
    <w:rsid w:val="49057E75"/>
    <w:rsid w:val="490C4364"/>
    <w:rsid w:val="49D20E58"/>
    <w:rsid w:val="4B31481A"/>
    <w:rsid w:val="4B3F4AFD"/>
    <w:rsid w:val="4E7E0478"/>
    <w:rsid w:val="4F306875"/>
    <w:rsid w:val="51D82F8D"/>
    <w:rsid w:val="53193986"/>
    <w:rsid w:val="53822909"/>
    <w:rsid w:val="55AC1187"/>
    <w:rsid w:val="56697571"/>
    <w:rsid w:val="567A356B"/>
    <w:rsid w:val="59541221"/>
    <w:rsid w:val="5B0E3490"/>
    <w:rsid w:val="5B5264E5"/>
    <w:rsid w:val="5B9A2F4F"/>
    <w:rsid w:val="6251072E"/>
    <w:rsid w:val="64D11A86"/>
    <w:rsid w:val="66D865BD"/>
    <w:rsid w:val="67027880"/>
    <w:rsid w:val="685900D6"/>
    <w:rsid w:val="6BA37E39"/>
    <w:rsid w:val="6CCD7699"/>
    <w:rsid w:val="6D8A0B50"/>
    <w:rsid w:val="70E91BE0"/>
    <w:rsid w:val="727C1AD4"/>
    <w:rsid w:val="74395186"/>
    <w:rsid w:val="79D119E6"/>
    <w:rsid w:val="7E0F2A9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nhideWhenUsed="0" w:uiPriority="0" w:semiHidden="0"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qFormat="1" w:uiPriority="0" w:semiHidden="0"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qFormat="1"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iPriority="99" w:name="Body Text First Indent"/>
    <w:lsdException w:qFormat="1" w:unhideWhenUsed="0" w:uiPriority="39" w:semiHidden="0" w:name="Body Text First Indent 2"/>
    <w:lsdException w:uiPriority="99" w:name="Note Heading"/>
    <w:lsdException w:uiPriority="99" w:name="Body Text 2"/>
    <w:lsdException w:uiPriority="99" w:name="Body Text 3"/>
    <w:lsdException w:qFormat="1" w:unhideWhenUsed="0" w:uiPriority="0" w:semiHidden="0"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4">
    <w:name w:val="heading 1"/>
    <w:basedOn w:val="1"/>
    <w:next w:val="1"/>
    <w:link w:val="34"/>
    <w:autoRedefine/>
    <w:qFormat/>
    <w:uiPriority w:val="9"/>
    <w:pPr>
      <w:keepNext/>
      <w:keepLines/>
      <w:spacing w:before="340" w:after="330" w:line="578" w:lineRule="auto"/>
      <w:outlineLvl w:val="0"/>
    </w:pPr>
    <w:rPr>
      <w:b/>
      <w:bCs/>
      <w:kern w:val="44"/>
      <w:sz w:val="44"/>
      <w:szCs w:val="44"/>
    </w:rPr>
  </w:style>
  <w:style w:type="paragraph" w:styleId="5">
    <w:name w:val="heading 2"/>
    <w:basedOn w:val="1"/>
    <w:next w:val="1"/>
    <w:link w:val="35"/>
    <w:autoRedefine/>
    <w:unhideWhenUsed/>
    <w:qFormat/>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27">
    <w:name w:val="Default Paragraph Font"/>
    <w:autoRedefine/>
    <w:semiHidden/>
    <w:unhideWhenUsed/>
    <w:qFormat/>
    <w:uiPriority w:val="1"/>
  </w:style>
  <w:style w:type="table" w:default="1" w:styleId="25">
    <w:name w:val="Normal Table"/>
    <w:autoRedefine/>
    <w:semiHidden/>
    <w:unhideWhenUsed/>
    <w:qFormat/>
    <w:uiPriority w:val="99"/>
    <w:tblPr>
      <w:tblCellMar>
        <w:top w:w="0" w:type="dxa"/>
        <w:left w:w="108" w:type="dxa"/>
        <w:bottom w:w="0" w:type="dxa"/>
        <w:right w:w="108" w:type="dxa"/>
      </w:tblCellMar>
    </w:tblPr>
  </w:style>
  <w:style w:type="paragraph" w:styleId="2">
    <w:name w:val="Body Text"/>
    <w:basedOn w:val="1"/>
    <w:next w:val="3"/>
    <w:link w:val="44"/>
    <w:autoRedefine/>
    <w:semiHidden/>
    <w:unhideWhenUsed/>
    <w:qFormat/>
    <w:uiPriority w:val="99"/>
    <w:pPr>
      <w:spacing w:after="120"/>
    </w:pPr>
  </w:style>
  <w:style w:type="paragraph" w:styleId="3">
    <w:name w:val="List Bullet 5"/>
    <w:basedOn w:val="1"/>
    <w:autoRedefine/>
    <w:semiHidden/>
    <w:unhideWhenUsed/>
    <w:qFormat/>
    <w:uiPriority w:val="99"/>
    <w:pPr>
      <w:numPr>
        <w:ilvl w:val="0"/>
        <w:numId w:val="1"/>
      </w:numPr>
    </w:pPr>
  </w:style>
  <w:style w:type="paragraph" w:styleId="6">
    <w:name w:val="Normal Indent"/>
    <w:basedOn w:val="1"/>
    <w:next w:val="1"/>
    <w:autoRedefine/>
    <w:qFormat/>
    <w:uiPriority w:val="0"/>
    <w:pPr>
      <w:ind w:firstLine="420"/>
    </w:pPr>
    <w:rPr>
      <w:szCs w:val="20"/>
    </w:rPr>
  </w:style>
  <w:style w:type="paragraph" w:styleId="7">
    <w:name w:val="annotation text"/>
    <w:basedOn w:val="1"/>
    <w:link w:val="53"/>
    <w:autoRedefine/>
    <w:semiHidden/>
    <w:unhideWhenUsed/>
    <w:qFormat/>
    <w:uiPriority w:val="99"/>
    <w:pPr>
      <w:jc w:val="left"/>
    </w:pPr>
  </w:style>
  <w:style w:type="paragraph" w:styleId="8">
    <w:name w:val="Body Text Indent"/>
    <w:basedOn w:val="1"/>
    <w:next w:val="9"/>
    <w:link w:val="39"/>
    <w:autoRedefine/>
    <w:qFormat/>
    <w:uiPriority w:val="0"/>
    <w:pPr>
      <w:spacing w:after="120"/>
      <w:ind w:left="420"/>
    </w:pPr>
    <w:rPr>
      <w:rFonts w:ascii="Times New Roman" w:hAnsi="Times New Roman" w:eastAsia="宋体" w:cs="Times New Roman"/>
      <w:szCs w:val="20"/>
    </w:rPr>
  </w:style>
  <w:style w:type="paragraph" w:styleId="9">
    <w:name w:val="Body Text First Indent 2"/>
    <w:basedOn w:val="8"/>
    <w:next w:val="1"/>
    <w:autoRedefine/>
    <w:qFormat/>
    <w:uiPriority w:val="39"/>
    <w:pPr>
      <w:spacing w:after="120"/>
      <w:ind w:left="200" w:leftChars="200" w:firstLine="200" w:firstLineChars="200"/>
    </w:pPr>
    <w:rPr>
      <w:rFonts w:ascii="Times New Roman"/>
      <w:sz w:val="20"/>
      <w:szCs w:val="20"/>
    </w:rPr>
  </w:style>
  <w:style w:type="paragraph" w:styleId="10">
    <w:name w:val="toc 3"/>
    <w:basedOn w:val="1"/>
    <w:next w:val="1"/>
    <w:autoRedefine/>
    <w:unhideWhenUsed/>
    <w:qFormat/>
    <w:uiPriority w:val="39"/>
    <w:pPr>
      <w:ind w:left="840" w:leftChars="400"/>
    </w:pPr>
  </w:style>
  <w:style w:type="paragraph" w:styleId="11">
    <w:name w:val="Plain Text"/>
    <w:basedOn w:val="1"/>
    <w:link w:val="47"/>
    <w:autoRedefine/>
    <w:qFormat/>
    <w:uiPriority w:val="0"/>
    <w:rPr>
      <w:rFonts w:eastAsia="方正书宋简体"/>
      <w:sz w:val="28"/>
    </w:rPr>
  </w:style>
  <w:style w:type="paragraph" w:styleId="12">
    <w:name w:val="Body Text Indent 2"/>
    <w:basedOn w:val="1"/>
    <w:link w:val="49"/>
    <w:autoRedefine/>
    <w:qFormat/>
    <w:uiPriority w:val="0"/>
    <w:pPr>
      <w:spacing w:after="120" w:line="480" w:lineRule="auto"/>
      <w:ind w:left="420" w:leftChars="200"/>
    </w:pPr>
    <w:rPr>
      <w:rFonts w:ascii="Times New Roman" w:hAnsi="Times New Roman" w:eastAsia="宋体" w:cs="Times New Roman"/>
      <w:szCs w:val="24"/>
    </w:rPr>
  </w:style>
  <w:style w:type="paragraph" w:styleId="13">
    <w:name w:val="Balloon Text"/>
    <w:basedOn w:val="1"/>
    <w:link w:val="43"/>
    <w:autoRedefine/>
    <w:semiHidden/>
    <w:unhideWhenUsed/>
    <w:qFormat/>
    <w:uiPriority w:val="99"/>
    <w:rPr>
      <w:sz w:val="18"/>
      <w:szCs w:val="18"/>
    </w:rPr>
  </w:style>
  <w:style w:type="paragraph" w:styleId="14">
    <w:name w:val="footer"/>
    <w:basedOn w:val="1"/>
    <w:link w:val="37"/>
    <w:autoRedefine/>
    <w:unhideWhenUsed/>
    <w:qFormat/>
    <w:uiPriority w:val="99"/>
    <w:pPr>
      <w:tabs>
        <w:tab w:val="center" w:pos="4153"/>
        <w:tab w:val="right" w:pos="8306"/>
      </w:tabs>
      <w:snapToGrid w:val="0"/>
      <w:jc w:val="left"/>
    </w:pPr>
    <w:rPr>
      <w:sz w:val="18"/>
      <w:szCs w:val="18"/>
    </w:rPr>
  </w:style>
  <w:style w:type="paragraph" w:styleId="15">
    <w:name w:val="header"/>
    <w:basedOn w:val="1"/>
    <w:next w:val="16"/>
    <w:link w:val="36"/>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customStyle="1" w:styleId="16">
    <w:name w:val="样式5"/>
    <w:basedOn w:val="17"/>
    <w:next w:val="1"/>
    <w:autoRedefine/>
    <w:qFormat/>
    <w:uiPriority w:val="0"/>
    <w:pPr>
      <w:snapToGrid w:val="0"/>
      <w:spacing w:before="62" w:beforeLines="20" w:after="62" w:afterLines="20" w:line="480" w:lineRule="exact"/>
      <w:ind w:firstLine="523" w:firstLineChars="218"/>
      <w:jc w:val="both"/>
    </w:pPr>
    <w:rPr>
      <w:i/>
      <w:iCs/>
      <w:kern w:val="2"/>
      <w:sz w:val="24"/>
      <w:szCs w:val="20"/>
    </w:rPr>
  </w:style>
  <w:style w:type="paragraph" w:customStyle="1" w:styleId="17">
    <w:name w:val="正文1"/>
    <w:basedOn w:val="2"/>
    <w:next w:val="1"/>
    <w:autoRedefine/>
    <w:qFormat/>
    <w:uiPriority w:val="0"/>
    <w:pPr>
      <w:widowControl w:val="0"/>
      <w:suppressAutoHyphens/>
      <w:spacing w:line="520" w:lineRule="atLeast"/>
      <w:ind w:firstLine="680"/>
      <w:jc w:val="both"/>
    </w:pPr>
    <w:rPr>
      <w:rFonts w:eastAsia="方正楷体简体"/>
      <w:spacing w:val="18"/>
      <w:kern w:val="2"/>
      <w:sz w:val="32"/>
      <w:szCs w:val="32"/>
      <w:lang w:val="en-US" w:eastAsia="zh-CN" w:bidi="ar-SA"/>
    </w:rPr>
  </w:style>
  <w:style w:type="paragraph" w:styleId="18">
    <w:name w:val="toc 1"/>
    <w:basedOn w:val="1"/>
    <w:next w:val="1"/>
    <w:autoRedefine/>
    <w:unhideWhenUsed/>
    <w:qFormat/>
    <w:uiPriority w:val="39"/>
  </w:style>
  <w:style w:type="paragraph" w:styleId="19">
    <w:name w:val="toc 4"/>
    <w:next w:val="1"/>
    <w:autoRedefine/>
    <w:qFormat/>
    <w:uiPriority w:val="0"/>
    <w:pPr>
      <w:widowControl w:val="0"/>
      <w:ind w:left="630"/>
      <w:jc w:val="left"/>
    </w:pPr>
    <w:rPr>
      <w:rFonts w:ascii="Times New Roman" w:hAnsi="Times New Roman" w:eastAsia="宋体" w:cs="Times New Roman"/>
      <w:kern w:val="2"/>
      <w:sz w:val="18"/>
      <w:szCs w:val="18"/>
      <w:lang w:val="en-US" w:eastAsia="zh-CN" w:bidi="ar-SA"/>
    </w:rPr>
  </w:style>
  <w:style w:type="paragraph" w:styleId="20">
    <w:name w:val="List"/>
    <w:autoRedefine/>
    <w:qFormat/>
    <w:uiPriority w:val="0"/>
    <w:pPr>
      <w:widowControl w:val="0"/>
      <w:ind w:left="200" w:hanging="200" w:hangingChars="200"/>
      <w:jc w:val="both"/>
    </w:pPr>
    <w:rPr>
      <w:rFonts w:ascii="Times New Roman" w:hAnsi="Times New Roman" w:eastAsia="宋体" w:cs="Times New Roman"/>
      <w:kern w:val="2"/>
      <w:sz w:val="21"/>
      <w:szCs w:val="24"/>
      <w:lang w:val="en-US" w:eastAsia="zh-CN" w:bidi="ar-SA"/>
    </w:rPr>
  </w:style>
  <w:style w:type="paragraph" w:styleId="21">
    <w:name w:val="table of figures"/>
    <w:basedOn w:val="1"/>
    <w:next w:val="1"/>
    <w:autoRedefine/>
    <w:unhideWhenUsed/>
    <w:qFormat/>
    <w:uiPriority w:val="0"/>
    <w:rPr>
      <w:rFonts w:ascii="Calibri" w:hAnsi="Calibri" w:eastAsia="宋体" w:cs="Times New Roman"/>
      <w:szCs w:val="22"/>
    </w:rPr>
  </w:style>
  <w:style w:type="paragraph" w:styleId="22">
    <w:name w:val="toc 2"/>
    <w:basedOn w:val="1"/>
    <w:next w:val="1"/>
    <w:autoRedefine/>
    <w:unhideWhenUsed/>
    <w:qFormat/>
    <w:uiPriority w:val="39"/>
    <w:pPr>
      <w:ind w:left="420" w:leftChars="200"/>
    </w:pPr>
  </w:style>
  <w:style w:type="paragraph" w:styleId="23">
    <w:name w:val="Normal (Web)"/>
    <w:basedOn w:val="1"/>
    <w:autoRedefine/>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24">
    <w:name w:val="Body Text First Indent"/>
    <w:basedOn w:val="2"/>
    <w:next w:val="21"/>
    <w:link w:val="45"/>
    <w:autoRedefine/>
    <w:semiHidden/>
    <w:unhideWhenUsed/>
    <w:qFormat/>
    <w:uiPriority w:val="99"/>
    <w:pPr>
      <w:ind w:firstLine="420" w:firstLineChars="100"/>
    </w:pPr>
  </w:style>
  <w:style w:type="table" w:styleId="26">
    <w:name w:val="Table Grid"/>
    <w:basedOn w:val="25"/>
    <w:autoRedefine/>
    <w:qFormat/>
    <w:uiPriority w:val="0"/>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styleId="28">
    <w:name w:val="Strong"/>
    <w:basedOn w:val="27"/>
    <w:autoRedefine/>
    <w:qFormat/>
    <w:uiPriority w:val="22"/>
    <w:rPr>
      <w:b/>
      <w:bCs/>
    </w:rPr>
  </w:style>
  <w:style w:type="character" w:styleId="29">
    <w:name w:val="page number"/>
    <w:basedOn w:val="27"/>
    <w:autoRedefine/>
    <w:qFormat/>
    <w:uiPriority w:val="0"/>
  </w:style>
  <w:style w:type="character" w:styleId="30">
    <w:name w:val="Hyperlink"/>
    <w:basedOn w:val="27"/>
    <w:autoRedefine/>
    <w:unhideWhenUsed/>
    <w:qFormat/>
    <w:uiPriority w:val="99"/>
    <w:rPr>
      <w:color w:val="0000FF"/>
      <w:u w:val="single"/>
    </w:rPr>
  </w:style>
  <w:style w:type="character" w:styleId="31">
    <w:name w:val="annotation reference"/>
    <w:basedOn w:val="27"/>
    <w:autoRedefine/>
    <w:semiHidden/>
    <w:unhideWhenUsed/>
    <w:qFormat/>
    <w:uiPriority w:val="99"/>
    <w:rPr>
      <w:sz w:val="21"/>
      <w:szCs w:val="21"/>
    </w:rPr>
  </w:style>
  <w:style w:type="paragraph" w:customStyle="1" w:styleId="32">
    <w:name w:val="样式 正文文本缩进 + 行距: 1.5 倍行距"/>
    <w:basedOn w:val="33"/>
    <w:next w:val="1"/>
    <w:autoRedefine/>
    <w:qFormat/>
    <w:uiPriority w:val="0"/>
    <w:pPr>
      <w:spacing w:after="120" w:line="360" w:lineRule="auto"/>
      <w:ind w:left="90" w:leftChars="32" w:firstLine="560" w:firstLineChars="200"/>
    </w:pPr>
    <w:rPr>
      <w:rFonts w:cs="宋体"/>
      <w:sz w:val="24"/>
    </w:rPr>
  </w:style>
  <w:style w:type="paragraph" w:customStyle="1" w:styleId="33">
    <w:name w:val="Body Text Indent"/>
    <w:basedOn w:val="1"/>
    <w:next w:val="32"/>
    <w:autoRedefine/>
    <w:qFormat/>
    <w:uiPriority w:val="0"/>
    <w:pPr>
      <w:spacing w:after="120" w:afterLines="0"/>
      <w:ind w:left="420" w:leftChars="200"/>
    </w:pPr>
    <w:rPr>
      <w:rFonts w:ascii="Times New Roman" w:hAnsi="Times New Roman" w:eastAsia="宋体"/>
      <w:sz w:val="24"/>
    </w:rPr>
  </w:style>
  <w:style w:type="character" w:customStyle="1" w:styleId="34">
    <w:name w:val="标题 1 字符"/>
    <w:basedOn w:val="27"/>
    <w:link w:val="4"/>
    <w:autoRedefine/>
    <w:qFormat/>
    <w:uiPriority w:val="9"/>
    <w:rPr>
      <w:b/>
      <w:bCs/>
      <w:kern w:val="44"/>
      <w:sz w:val="44"/>
      <w:szCs w:val="44"/>
    </w:rPr>
  </w:style>
  <w:style w:type="character" w:customStyle="1" w:styleId="35">
    <w:name w:val="标题 2 字符"/>
    <w:basedOn w:val="27"/>
    <w:link w:val="5"/>
    <w:autoRedefine/>
    <w:qFormat/>
    <w:uiPriority w:val="0"/>
    <w:rPr>
      <w:rFonts w:asciiTheme="majorHAnsi" w:hAnsiTheme="majorHAnsi" w:eastAsiaTheme="majorEastAsia" w:cstheme="majorBidi"/>
      <w:b/>
      <w:bCs/>
      <w:kern w:val="2"/>
      <w:sz w:val="32"/>
      <w:szCs w:val="32"/>
    </w:rPr>
  </w:style>
  <w:style w:type="character" w:customStyle="1" w:styleId="36">
    <w:name w:val="页眉 字符"/>
    <w:basedOn w:val="27"/>
    <w:link w:val="15"/>
    <w:autoRedefine/>
    <w:qFormat/>
    <w:uiPriority w:val="99"/>
    <w:rPr>
      <w:sz w:val="18"/>
      <w:szCs w:val="18"/>
    </w:rPr>
  </w:style>
  <w:style w:type="character" w:customStyle="1" w:styleId="37">
    <w:name w:val="页脚 字符"/>
    <w:basedOn w:val="27"/>
    <w:link w:val="14"/>
    <w:autoRedefine/>
    <w:qFormat/>
    <w:uiPriority w:val="99"/>
    <w:rPr>
      <w:sz w:val="18"/>
      <w:szCs w:val="18"/>
    </w:rPr>
  </w:style>
  <w:style w:type="paragraph" w:styleId="38">
    <w:name w:val="List Paragraph"/>
    <w:basedOn w:val="1"/>
    <w:autoRedefine/>
    <w:qFormat/>
    <w:uiPriority w:val="99"/>
    <w:pPr>
      <w:ind w:firstLine="420" w:firstLineChars="200"/>
    </w:pPr>
  </w:style>
  <w:style w:type="character" w:customStyle="1" w:styleId="39">
    <w:name w:val="正文文本缩进 字符"/>
    <w:basedOn w:val="27"/>
    <w:link w:val="8"/>
    <w:autoRedefine/>
    <w:qFormat/>
    <w:uiPriority w:val="0"/>
    <w:rPr>
      <w:rFonts w:ascii="Times New Roman" w:hAnsi="Times New Roman" w:eastAsia="宋体" w:cs="Times New Roman"/>
      <w:szCs w:val="20"/>
    </w:rPr>
  </w:style>
  <w:style w:type="paragraph" w:customStyle="1" w:styleId="40">
    <w:name w:val="表格"/>
    <w:basedOn w:val="1"/>
    <w:autoRedefine/>
    <w:qFormat/>
    <w:uiPriority w:val="0"/>
    <w:pPr>
      <w:spacing w:line="240" w:lineRule="atLeast"/>
    </w:pPr>
    <w:rPr>
      <w:rFonts w:ascii="宋体" w:hAnsi="宋体" w:eastAsia="宋体" w:cs="Times New Roman"/>
      <w:sz w:val="24"/>
      <w:szCs w:val="24"/>
    </w:rPr>
  </w:style>
  <w:style w:type="paragraph" w:customStyle="1" w:styleId="41">
    <w:name w:val="Table Paragraph"/>
    <w:basedOn w:val="1"/>
    <w:autoRedefine/>
    <w:qFormat/>
    <w:uiPriority w:val="1"/>
    <w:rPr>
      <w:rFonts w:ascii="Times New Roman" w:hAnsi="Times New Roman" w:eastAsia="宋体" w:cs="Times New Roman"/>
      <w:szCs w:val="20"/>
    </w:rPr>
  </w:style>
  <w:style w:type="paragraph" w:customStyle="1" w:styleId="42">
    <w:name w:val="TOC 标题1"/>
    <w:basedOn w:val="4"/>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43">
    <w:name w:val="批注框文本 字符"/>
    <w:basedOn w:val="27"/>
    <w:link w:val="13"/>
    <w:autoRedefine/>
    <w:semiHidden/>
    <w:qFormat/>
    <w:uiPriority w:val="99"/>
    <w:rPr>
      <w:sz w:val="18"/>
      <w:szCs w:val="18"/>
    </w:rPr>
  </w:style>
  <w:style w:type="character" w:customStyle="1" w:styleId="44">
    <w:name w:val="正文文本 字符"/>
    <w:basedOn w:val="27"/>
    <w:link w:val="2"/>
    <w:autoRedefine/>
    <w:semiHidden/>
    <w:qFormat/>
    <w:uiPriority w:val="99"/>
  </w:style>
  <w:style w:type="character" w:customStyle="1" w:styleId="45">
    <w:name w:val="正文文本首行缩进 字符"/>
    <w:basedOn w:val="44"/>
    <w:link w:val="24"/>
    <w:autoRedefine/>
    <w:semiHidden/>
    <w:qFormat/>
    <w:uiPriority w:val="99"/>
  </w:style>
  <w:style w:type="character" w:customStyle="1" w:styleId="46">
    <w:name w:val="font21"/>
    <w:autoRedefine/>
    <w:qFormat/>
    <w:uiPriority w:val="0"/>
    <w:rPr>
      <w:rFonts w:ascii="宋体" w:eastAsia="宋体"/>
      <w:color w:val="000000"/>
      <w:sz w:val="21"/>
      <w:szCs w:val="21"/>
      <w:u w:val="none"/>
    </w:rPr>
  </w:style>
  <w:style w:type="character" w:customStyle="1" w:styleId="47">
    <w:name w:val="纯文本 字符"/>
    <w:link w:val="11"/>
    <w:autoRedefine/>
    <w:qFormat/>
    <w:uiPriority w:val="0"/>
    <w:rPr>
      <w:rFonts w:eastAsia="方正书宋简体"/>
      <w:sz w:val="28"/>
    </w:rPr>
  </w:style>
  <w:style w:type="character" w:customStyle="1" w:styleId="48">
    <w:name w:val="纯文本 字符1"/>
    <w:basedOn w:val="27"/>
    <w:autoRedefine/>
    <w:semiHidden/>
    <w:qFormat/>
    <w:uiPriority w:val="99"/>
    <w:rPr>
      <w:rFonts w:hAnsi="Courier New" w:cs="Courier New" w:asciiTheme="minorEastAsia"/>
    </w:rPr>
  </w:style>
  <w:style w:type="character" w:customStyle="1" w:styleId="49">
    <w:name w:val="正文文本缩进 2 字符"/>
    <w:basedOn w:val="27"/>
    <w:link w:val="12"/>
    <w:autoRedefine/>
    <w:qFormat/>
    <w:uiPriority w:val="0"/>
    <w:rPr>
      <w:kern w:val="2"/>
      <w:sz w:val="21"/>
      <w:szCs w:val="24"/>
    </w:rPr>
  </w:style>
  <w:style w:type="character" w:customStyle="1" w:styleId="50">
    <w:name w:val="正文文本缩进 2 Char1"/>
    <w:basedOn w:val="27"/>
    <w:autoRedefine/>
    <w:semiHidden/>
    <w:qFormat/>
    <w:uiPriority w:val="99"/>
    <w:rPr>
      <w:rFonts w:asciiTheme="minorHAnsi" w:hAnsiTheme="minorHAnsi" w:eastAsiaTheme="minorEastAsia" w:cstheme="minorBidi"/>
      <w:kern w:val="2"/>
      <w:sz w:val="21"/>
      <w:szCs w:val="22"/>
    </w:rPr>
  </w:style>
  <w:style w:type="paragraph" w:customStyle="1" w:styleId="51">
    <w:name w:val="样式 标题 2 + 楷体_GB2312 四号 段前: 0 磅 段后: 0 磅 行距: 1.5 倍行距"/>
    <w:basedOn w:val="5"/>
    <w:autoRedefine/>
    <w:qFormat/>
    <w:uiPriority w:val="0"/>
    <w:pPr>
      <w:spacing w:beforeLines="50" w:after="0" w:line="360" w:lineRule="auto"/>
    </w:pPr>
    <w:rPr>
      <w:rFonts w:ascii="楷体_GB2312" w:hAnsi="楷体_GB2312" w:eastAsia="楷体_GB2312" w:cs="宋体"/>
      <w:sz w:val="28"/>
      <w:szCs w:val="20"/>
    </w:rPr>
  </w:style>
  <w:style w:type="paragraph" w:customStyle="1" w:styleId="52">
    <w:name w:val="陈光的正文"/>
    <w:basedOn w:val="1"/>
    <w:autoRedefine/>
    <w:qFormat/>
    <w:uiPriority w:val="0"/>
    <w:pPr>
      <w:adjustRightInd w:val="0"/>
      <w:snapToGrid w:val="0"/>
      <w:spacing w:beforeLines="10" w:afterLines="10" w:line="360" w:lineRule="auto"/>
      <w:ind w:firstLine="560" w:firstLineChars="200"/>
    </w:pPr>
    <w:rPr>
      <w:rFonts w:ascii="Calibri" w:hAnsi="Calibri" w:eastAsia="宋体" w:cs="Times New Roman"/>
      <w:sz w:val="28"/>
      <w:szCs w:val="20"/>
    </w:rPr>
  </w:style>
  <w:style w:type="character" w:customStyle="1" w:styleId="53">
    <w:name w:val="批注文字 字符"/>
    <w:basedOn w:val="27"/>
    <w:link w:val="7"/>
    <w:autoRedefine/>
    <w:semiHidden/>
    <w:qFormat/>
    <w:uiPriority w:val="99"/>
    <w:rPr>
      <w:rFonts w:asciiTheme="minorHAnsi" w:hAnsiTheme="minorHAnsi" w:eastAsiaTheme="minorEastAsia" w:cstheme="minorBidi"/>
      <w:kern w:val="2"/>
      <w:sz w:val="21"/>
      <w:szCs w:val="22"/>
    </w:rPr>
  </w:style>
  <w:style w:type="character" w:customStyle="1" w:styleId="54">
    <w:name w:val="ww1"/>
    <w:basedOn w:val="27"/>
    <w:autoRedefine/>
    <w:qFormat/>
    <w:uiPriority w:val="0"/>
  </w:style>
  <w:style w:type="character" w:customStyle="1" w:styleId="55">
    <w:name w:val="1、大表格内 Char Char"/>
    <w:link w:val="56"/>
    <w:autoRedefine/>
    <w:qFormat/>
    <w:uiPriority w:val="0"/>
    <w:rPr>
      <w:sz w:val="24"/>
    </w:rPr>
  </w:style>
  <w:style w:type="paragraph" w:customStyle="1" w:styleId="56">
    <w:name w:val="1、大表格内"/>
    <w:basedOn w:val="1"/>
    <w:link w:val="55"/>
    <w:autoRedefine/>
    <w:qFormat/>
    <w:uiPriority w:val="0"/>
    <w:pPr>
      <w:keepNext/>
      <w:keepLines/>
      <w:autoSpaceDE w:val="0"/>
      <w:autoSpaceDN w:val="0"/>
      <w:adjustRightInd w:val="0"/>
      <w:spacing w:line="360" w:lineRule="auto"/>
      <w:ind w:firstLine="480" w:firstLineChars="200"/>
      <w:textAlignment w:val="bottom"/>
    </w:pPr>
    <w:rPr>
      <w:rFonts w:ascii="Times New Roman" w:hAnsi="Times New Roman" w:eastAsia="宋体" w:cs="Times New Roman"/>
      <w:kern w:val="0"/>
      <w:sz w:val="24"/>
      <w:szCs w:val="20"/>
    </w:rPr>
  </w:style>
  <w:style w:type="character" w:customStyle="1" w:styleId="57">
    <w:name w:val="标题 3 Char1"/>
    <w:autoRedefine/>
    <w:qFormat/>
    <w:uiPriority w:val="0"/>
    <w:rPr>
      <w:rFonts w:ascii="Times New Roman" w:hAnsi="Times New Roman"/>
      <w:b/>
      <w:bCs/>
      <w:kern w:val="2"/>
      <w:sz w:val="32"/>
      <w:szCs w:val="32"/>
    </w:rPr>
  </w:style>
  <w:style w:type="character" w:customStyle="1" w:styleId="58">
    <w:name w:val="Default Char"/>
    <w:link w:val="59"/>
    <w:autoRedefine/>
    <w:qFormat/>
    <w:uiPriority w:val="0"/>
    <w:rPr>
      <w:rFonts w:ascii="宋体"/>
      <w:color w:val="000000"/>
      <w:kern w:val="2"/>
      <w:sz w:val="24"/>
      <w:szCs w:val="24"/>
    </w:rPr>
  </w:style>
  <w:style w:type="paragraph" w:customStyle="1" w:styleId="59">
    <w:name w:val="Default"/>
    <w:basedOn w:val="60"/>
    <w:link w:val="58"/>
    <w:autoRedefine/>
    <w:qFormat/>
    <w:uiPriority w:val="0"/>
    <w:pPr>
      <w:widowControl w:val="0"/>
      <w:autoSpaceDE w:val="0"/>
      <w:autoSpaceDN w:val="0"/>
      <w:adjustRightInd w:val="0"/>
    </w:pPr>
    <w:rPr>
      <w:rFonts w:ascii="宋体" w:hAnsi="Times New Roman" w:eastAsia="宋体" w:cs="Times New Roman"/>
      <w:color w:val="000000"/>
      <w:kern w:val="2"/>
      <w:sz w:val="24"/>
      <w:szCs w:val="24"/>
      <w:lang w:val="en-US" w:eastAsia="zh-CN" w:bidi="ar-SA"/>
    </w:rPr>
  </w:style>
  <w:style w:type="paragraph" w:customStyle="1" w:styleId="60">
    <w:name w:val="纯文本1"/>
    <w:basedOn w:val="1"/>
    <w:autoRedefine/>
    <w:qFormat/>
    <w:uiPriority w:val="0"/>
    <w:pPr>
      <w:widowControl w:val="0"/>
      <w:autoSpaceDE w:val="0"/>
      <w:autoSpaceDN w:val="0"/>
      <w:snapToGrid/>
      <w:spacing w:after="0" w:line="520" w:lineRule="exact"/>
      <w:jc w:val="both"/>
      <w:textAlignment w:val="baseline"/>
    </w:pPr>
    <w:rPr>
      <w:rFonts w:ascii="宋体" w:hAnsi="Times New Roman" w:eastAsia="宋体" w:cs="Times New Roman"/>
      <w:kern w:val="2"/>
      <w:sz w:val="24"/>
      <w:szCs w:val="20"/>
    </w:rPr>
  </w:style>
  <w:style w:type="paragraph" w:customStyle="1" w:styleId="61">
    <w:name w:val="正文文字 6"/>
    <w:next w:val="1"/>
    <w:autoRedefine/>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62">
    <w:name w:val="正文文本 21"/>
    <w:basedOn w:val="1"/>
    <w:autoRedefine/>
    <w:qFormat/>
    <w:uiPriority w:val="0"/>
    <w:pPr>
      <w:autoSpaceDE w:val="0"/>
      <w:autoSpaceDN w:val="0"/>
      <w:adjustRightInd w:val="0"/>
      <w:spacing w:line="480" w:lineRule="atLeast"/>
      <w:ind w:firstLine="570"/>
    </w:pPr>
    <w:rPr>
      <w:rFonts w:ascii="宋体" w:cs="宋体"/>
      <w:kern w:val="0"/>
      <w:sz w:val="28"/>
      <w:szCs w:val="28"/>
      <w:lang w:bidi="ar-SA"/>
    </w:rPr>
  </w:style>
  <w:style w:type="paragraph" w:customStyle="1" w:styleId="63">
    <w:name w:val="样式 样式 样式 四号 左侧:  1.53 厘米 + 首行缩进:  2 字符 + 居中 左侧:  2 字符 首行缩进:  2..."/>
    <w:basedOn w:val="64"/>
    <w:autoRedefine/>
    <w:qFormat/>
    <w:uiPriority w:val="0"/>
    <w:pPr>
      <w:ind w:firstLine="0" w:firstLineChars="0"/>
      <w:jc w:val="center"/>
    </w:pPr>
  </w:style>
  <w:style w:type="paragraph" w:customStyle="1" w:styleId="64">
    <w:name w:val="样式 样式 四号 左侧:  1.53 厘米 + 首行缩进:  2 字符"/>
    <w:basedOn w:val="65"/>
    <w:autoRedefine/>
    <w:qFormat/>
    <w:uiPriority w:val="0"/>
    <w:pPr>
      <w:ind w:left="200" w:leftChars="200"/>
    </w:pPr>
    <w:rPr>
      <w:szCs w:val="20"/>
    </w:rPr>
  </w:style>
  <w:style w:type="paragraph" w:customStyle="1" w:styleId="65">
    <w:name w:val="样式 四号 左侧:  1.53 厘米"/>
    <w:basedOn w:val="1"/>
    <w:autoRedefine/>
    <w:qFormat/>
    <w:uiPriority w:val="0"/>
    <w:pPr>
      <w:adjustRightInd w:val="0"/>
    </w:pPr>
    <w:rPr>
      <w:w w:val="90"/>
      <w:sz w:val="28"/>
      <w:szCs w:val="28"/>
    </w:rPr>
  </w:style>
  <w:style w:type="paragraph" w:customStyle="1" w:styleId="66">
    <w:name w:val="图表文字2"/>
    <w:basedOn w:val="1"/>
    <w:autoRedefine/>
    <w:qFormat/>
    <w:uiPriority w:val="0"/>
    <w:pPr>
      <w:jc w:val="center"/>
    </w:pPr>
    <w:rPr>
      <w:rFonts w:cs="宋体"/>
      <w:color w:val="000000"/>
    </w:rPr>
  </w:style>
  <w:style w:type="paragraph" w:customStyle="1" w:styleId="67">
    <w:name w:val="环评正文"/>
    <w:autoRedefine/>
    <w:qFormat/>
    <w:uiPriority w:val="0"/>
    <w:pPr>
      <w:widowControl w:val="0"/>
      <w:spacing w:line="500" w:lineRule="exact"/>
      <w:ind w:firstLine="480" w:firstLineChars="200"/>
      <w:jc w:val="both"/>
    </w:pPr>
    <w:rPr>
      <w:rFonts w:ascii="宋体" w:hAnsi="Times New Roman" w:eastAsia="宋体" w:cs="宋体"/>
      <w:kern w:val="2"/>
      <w:sz w:val="24"/>
      <w:szCs w:val="20"/>
      <w:lang w:val="en-US" w:eastAsia="zh-CN" w:bidi="ar-SA"/>
    </w:rPr>
  </w:style>
  <w:style w:type="paragraph" w:customStyle="1" w:styleId="68">
    <w:name w:val="Date1"/>
    <w:next w:val="1"/>
    <w:autoRedefine/>
    <w:qFormat/>
    <w:uiPriority w:val="0"/>
    <w:pPr>
      <w:widowControl w:val="0"/>
      <w:jc w:val="both"/>
    </w:pPr>
    <w:rPr>
      <w:rFonts w:ascii="Times New Roman" w:hAnsi="Times New Roman" w:eastAsia="宋体" w:cs="Times New Roman"/>
      <w:kern w:val="2"/>
      <w:sz w:val="21"/>
      <w:szCs w:val="20"/>
      <w:lang w:val="en-US" w:eastAsia="zh-CN" w:bidi="ar-SA"/>
    </w:rPr>
  </w:style>
  <w:style w:type="paragraph" w:customStyle="1" w:styleId="69">
    <w:name w:val="表内文字"/>
    <w:autoRedefine/>
    <w:qFormat/>
    <w:uiPriority w:val="99"/>
    <w:pPr>
      <w:widowControl/>
      <w:snapToGrid w:val="0"/>
      <w:spacing w:before="60" w:after="160" w:line="240" w:lineRule="auto"/>
      <w:ind w:right="113" w:firstLine="0" w:firstLineChars="0"/>
      <w:jc w:val="center"/>
    </w:pPr>
    <w:rPr>
      <w:rFonts w:ascii="Calibri" w:hAnsi="Calibri" w:eastAsia="宋体" w:cs="Times New Roman"/>
      <w:kern w:val="0"/>
      <w:sz w:val="21"/>
      <w:szCs w:val="20"/>
      <w:lang w:val="en-US" w:eastAsia="zh-CN" w:bidi="ar-SA"/>
    </w:rPr>
  </w:style>
  <w:style w:type="paragraph" w:customStyle="1" w:styleId="70">
    <w:name w:val="表"/>
    <w:basedOn w:val="1"/>
    <w:autoRedefine/>
    <w:qFormat/>
    <w:uiPriority w:val="0"/>
    <w:pPr>
      <w:snapToGrid w:val="0"/>
      <w:jc w:val="center"/>
    </w:pPr>
    <w:rPr>
      <w:spacing w:val="2"/>
      <w:szCs w:val="20"/>
    </w:rPr>
  </w:style>
  <w:style w:type="paragraph" w:customStyle="1" w:styleId="71">
    <w:name w:val="0正文"/>
    <w:autoRedefine/>
    <w:qFormat/>
    <w:uiPriority w:val="0"/>
    <w:pPr>
      <w:widowControl/>
      <w:adjustRightInd w:val="0"/>
      <w:snapToGrid w:val="0"/>
      <w:spacing w:before="0" w:beforeAutospacing="0" w:after="0" w:afterAutospacing="0" w:line="360" w:lineRule="auto"/>
      <w:ind w:firstLine="200" w:firstLineChars="200"/>
      <w:jc w:val="both"/>
    </w:pPr>
    <w:rPr>
      <w:rFonts w:ascii="Times New Roman" w:hAnsi="Times New Roman" w:eastAsia="宋体" w:cs="Times New Roman"/>
      <w:kern w:val="0"/>
      <w:sz w:val="24"/>
      <w:szCs w:val="20"/>
      <w:lang w:val="en-US" w:eastAsia="zh-CN" w:bidi="ar-SA"/>
    </w:rPr>
  </w:style>
  <w:style w:type="paragraph" w:customStyle="1" w:styleId="72">
    <w:name w:val="表头、图头"/>
    <w:next w:val="1"/>
    <w:autoRedefine/>
    <w:qFormat/>
    <w:uiPriority w:val="99"/>
    <w:pPr>
      <w:adjustRightInd w:val="0"/>
      <w:snapToGrid w:val="0"/>
      <w:spacing w:beforeLines="50" w:line="360" w:lineRule="auto"/>
      <w:jc w:val="center"/>
    </w:pPr>
    <w:rPr>
      <w:rFonts w:ascii="Times New Roman" w:hAnsi="Times New Roman" w:eastAsia="黑体" w:cs="Times New Roman"/>
      <w:kern w:val="2"/>
      <w:sz w:val="22"/>
      <w:szCs w:val="28"/>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2.png"/><Relationship Id="rId98" Type="http://schemas.openxmlformats.org/officeDocument/2006/relationships/image" Target="media/image81.png"/><Relationship Id="rId97" Type="http://schemas.openxmlformats.org/officeDocument/2006/relationships/image" Target="media/image80.png"/><Relationship Id="rId96" Type="http://schemas.openxmlformats.org/officeDocument/2006/relationships/image" Target="media/image79.png"/><Relationship Id="rId95" Type="http://schemas.openxmlformats.org/officeDocument/2006/relationships/image" Target="media/image78.png"/><Relationship Id="rId94" Type="http://schemas.openxmlformats.org/officeDocument/2006/relationships/image" Target="media/image77.png"/><Relationship Id="rId93" Type="http://schemas.openxmlformats.org/officeDocument/2006/relationships/image" Target="media/image76.png"/><Relationship Id="rId92" Type="http://schemas.openxmlformats.org/officeDocument/2006/relationships/image" Target="media/image75.png"/><Relationship Id="rId91" Type="http://schemas.openxmlformats.org/officeDocument/2006/relationships/image" Target="media/image74.png"/><Relationship Id="rId90" Type="http://schemas.openxmlformats.org/officeDocument/2006/relationships/image" Target="media/image73.png"/><Relationship Id="rId9" Type="http://schemas.openxmlformats.org/officeDocument/2006/relationships/footer" Target="footer4.xml"/><Relationship Id="rId89" Type="http://schemas.openxmlformats.org/officeDocument/2006/relationships/image" Target="media/image72.png"/><Relationship Id="rId88" Type="http://schemas.openxmlformats.org/officeDocument/2006/relationships/image" Target="media/image71.png"/><Relationship Id="rId87" Type="http://schemas.openxmlformats.org/officeDocument/2006/relationships/image" Target="media/image70.png"/><Relationship Id="rId86" Type="http://schemas.openxmlformats.org/officeDocument/2006/relationships/image" Target="media/image69.png"/><Relationship Id="rId85" Type="http://schemas.openxmlformats.org/officeDocument/2006/relationships/image" Target="media/image68.png"/><Relationship Id="rId84" Type="http://schemas.openxmlformats.org/officeDocument/2006/relationships/image" Target="media/image67.jpeg"/><Relationship Id="rId83" Type="http://schemas.openxmlformats.org/officeDocument/2006/relationships/image" Target="media/image66.png"/><Relationship Id="rId82" Type="http://schemas.openxmlformats.org/officeDocument/2006/relationships/image" Target="media/image65.png"/><Relationship Id="rId81" Type="http://schemas.openxmlformats.org/officeDocument/2006/relationships/image" Target="media/image64.png"/><Relationship Id="rId80" Type="http://schemas.openxmlformats.org/officeDocument/2006/relationships/image" Target="media/image63.png"/><Relationship Id="rId8" Type="http://schemas.openxmlformats.org/officeDocument/2006/relationships/footer" Target="footer3.xml"/><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header" Target="header3.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header" Target="header2.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footer" Target="footer2.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media/image25.png"/><Relationship Id="rId41" Type="http://schemas.openxmlformats.org/officeDocument/2006/relationships/image" Target="media/image24.jpeg"/><Relationship Id="rId40" Type="http://schemas.openxmlformats.org/officeDocument/2006/relationships/image" Target="media/image23.jpeg"/><Relationship Id="rId4" Type="http://schemas.openxmlformats.org/officeDocument/2006/relationships/footer" Target="footer1.xml"/><Relationship Id="rId39" Type="http://schemas.openxmlformats.org/officeDocument/2006/relationships/image" Target="media/image22.jpeg"/><Relationship Id="rId38" Type="http://schemas.openxmlformats.org/officeDocument/2006/relationships/image" Target="media/image21.jpeg"/><Relationship Id="rId37" Type="http://schemas.openxmlformats.org/officeDocument/2006/relationships/image" Target="media/image20.jpeg"/><Relationship Id="rId36" Type="http://schemas.openxmlformats.org/officeDocument/2006/relationships/image" Target="media/image19.jpeg"/><Relationship Id="rId35" Type="http://schemas.openxmlformats.org/officeDocument/2006/relationships/image" Target="media/image18.jpeg"/><Relationship Id="rId34" Type="http://schemas.openxmlformats.org/officeDocument/2006/relationships/image" Target="media/image17.jpeg"/><Relationship Id="rId33" Type="http://schemas.openxmlformats.org/officeDocument/2006/relationships/image" Target="media/image16.jpeg"/><Relationship Id="rId32" Type="http://schemas.openxmlformats.org/officeDocument/2006/relationships/image" Target="media/image15.jpeg"/><Relationship Id="rId31" Type="http://schemas.openxmlformats.org/officeDocument/2006/relationships/image" Target="media/image14.jpeg"/><Relationship Id="rId30" Type="http://schemas.openxmlformats.org/officeDocument/2006/relationships/image" Target="media/image13.jpeg"/><Relationship Id="rId3" Type="http://schemas.openxmlformats.org/officeDocument/2006/relationships/header" Target="header1.xml"/><Relationship Id="rId29" Type="http://schemas.openxmlformats.org/officeDocument/2006/relationships/image" Target="media/image12.jpeg"/><Relationship Id="rId28" Type="http://schemas.openxmlformats.org/officeDocument/2006/relationships/image" Target="media/image11.jpeg"/><Relationship Id="rId27" Type="http://schemas.openxmlformats.org/officeDocument/2006/relationships/image" Target="media/image10.jpeg"/><Relationship Id="rId26" Type="http://schemas.openxmlformats.org/officeDocument/2006/relationships/image" Target="media/image9.png"/><Relationship Id="rId25" Type="http://schemas.openxmlformats.org/officeDocument/2006/relationships/image" Target="media/image8.jpeg"/><Relationship Id="rId24" Type="http://schemas.openxmlformats.org/officeDocument/2006/relationships/image" Target="media/image7.jpeg"/><Relationship Id="rId23" Type="http://schemas.openxmlformats.org/officeDocument/2006/relationships/image" Target="media/image6.jpeg"/><Relationship Id="rId22" Type="http://schemas.openxmlformats.org/officeDocument/2006/relationships/image" Target="media/image5.emf"/><Relationship Id="rId21" Type="http://schemas.openxmlformats.org/officeDocument/2006/relationships/oleObject" Target="embeddings/oleObject2.bin"/><Relationship Id="rId20" Type="http://schemas.openxmlformats.org/officeDocument/2006/relationships/image" Target="media/image4.e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7.xml"/><Relationship Id="rId13" Type="http://schemas.openxmlformats.org/officeDocument/2006/relationships/header" Target="header5.xml"/><Relationship Id="rId12" Type="http://schemas.openxmlformats.org/officeDocument/2006/relationships/footer" Target="footer6.xml"/><Relationship Id="rId11" Type="http://schemas.openxmlformats.org/officeDocument/2006/relationships/header" Target="header4.xml"/><Relationship Id="rId106" Type="http://schemas.openxmlformats.org/officeDocument/2006/relationships/fontTable" Target="fontTable.xml"/><Relationship Id="rId105" Type="http://schemas.openxmlformats.org/officeDocument/2006/relationships/customXml" Target="../customXml/item2.xml"/><Relationship Id="rId104" Type="http://schemas.openxmlformats.org/officeDocument/2006/relationships/numbering" Target="numbering.xml"/><Relationship Id="rId103" Type="http://schemas.openxmlformats.org/officeDocument/2006/relationships/customXml" Target="../customXml/item1.xml"/><Relationship Id="rId102" Type="http://schemas.openxmlformats.org/officeDocument/2006/relationships/image" Target="media/image85.jpeg"/><Relationship Id="rId101" Type="http://schemas.openxmlformats.org/officeDocument/2006/relationships/image" Target="media/image84.jpeg"/><Relationship Id="rId100" Type="http://schemas.openxmlformats.org/officeDocument/2006/relationships/image" Target="media/image83.png"/><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ADCFE72-CE74-4F66-AB08-7D212F4302DC}">
  <ds:schemaRefs/>
</ds:datastoreItem>
</file>

<file path=docProps/app.xml><?xml version="1.0" encoding="utf-8"?>
<Properties xmlns="http://schemas.openxmlformats.org/officeDocument/2006/extended-properties" xmlns:vt="http://schemas.openxmlformats.org/officeDocument/2006/docPropsVTypes">
  <Template>Normal</Template>
  <Pages>64</Pages>
  <Words>22340</Words>
  <Characters>28351</Characters>
  <Lines>216</Lines>
  <Paragraphs>60</Paragraphs>
  <TotalTime>136</TotalTime>
  <ScaleCrop>false</ScaleCrop>
  <LinksUpToDate>false</LinksUpToDate>
  <CharactersWithSpaces>28727</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2018-01-11T06:58:00Z</dcterms:created>
  <dc:creator>user</dc:creator>
  <cp:lastModifiedBy>王子</cp:lastModifiedBy>
  <cp:lastPrinted>2024-01-19T03:09:00Z</cp:lastPrinted>
  <dcterms:modified xsi:type="dcterms:W3CDTF">2024-01-22T10:03:31Z</dcterms:modified>
  <cp:revision>1832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B4A6353362B544BEB6BEE70C12ACBC5D</vt:lpwstr>
  </property>
</Properties>
</file>