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560"/>
        <w:rPr>
          <w:rFonts w:hint="default" w:ascii="Times New Roman" w:hAnsi="Times New Roman" w:eastAsia="宋体" w:cs="Times New Roman"/>
          <w:sz w:val="28"/>
          <w:szCs w:val="32"/>
        </w:rPr>
      </w:pPr>
    </w:p>
    <w:p>
      <w:pPr>
        <w:pStyle w:val="40"/>
        <w:rPr>
          <w:rFonts w:hint="default" w:ascii="Times New Roman" w:hAnsi="Times New Roman" w:eastAsia="宋体" w:cs="Times New Roman"/>
          <w:sz w:val="28"/>
          <w:szCs w:val="32"/>
        </w:rPr>
      </w:pPr>
    </w:p>
    <w:p>
      <w:pPr>
        <w:pStyle w:val="40"/>
        <w:rPr>
          <w:rFonts w:hint="default" w:ascii="Times New Roman" w:hAnsi="Times New Roman" w:eastAsia="宋体" w:cs="Times New Roman"/>
          <w:sz w:val="28"/>
          <w:szCs w:val="32"/>
        </w:rPr>
      </w:pPr>
    </w:p>
    <w:p>
      <w:pPr>
        <w:rPr>
          <w:rFonts w:hint="default" w:ascii="Times New Roman" w:hAnsi="Times New Roman" w:eastAsia="宋体" w:cs="Times New Roman"/>
          <w:sz w:val="36"/>
          <w:szCs w:val="36"/>
        </w:rPr>
      </w:pPr>
    </w:p>
    <w:p>
      <w:pPr>
        <w:rPr>
          <w:rFonts w:hint="default" w:ascii="Times New Roman" w:hAnsi="Times New Roman" w:eastAsia="宋体" w:cs="Times New Roman"/>
          <w:sz w:val="36"/>
          <w:szCs w:val="36"/>
        </w:rPr>
      </w:pPr>
    </w:p>
    <w:p>
      <w:pPr>
        <w:spacing w:line="360" w:lineRule="auto"/>
        <w:jc w:val="center"/>
        <w:rPr>
          <w:rFonts w:hint="default" w:ascii="Times New Roman" w:hAnsi="Times New Roman" w:eastAsia="宋体" w:cs="Times New Roman"/>
          <w:b/>
          <w:bCs/>
          <w:sz w:val="44"/>
          <w:szCs w:val="44"/>
          <w:lang w:val="en-US" w:eastAsia="zh-CN"/>
        </w:rPr>
      </w:pPr>
      <w:r>
        <w:rPr>
          <w:rFonts w:hint="default" w:ascii="Times New Roman" w:hAnsi="Times New Roman" w:eastAsia="宋体" w:cs="Times New Roman"/>
          <w:b/>
          <w:bCs/>
          <w:sz w:val="44"/>
          <w:szCs w:val="44"/>
          <w:lang w:val="en-US" w:eastAsia="zh-CN"/>
        </w:rPr>
        <w:t>山东大树达孚特膳食品有限公司</w:t>
      </w:r>
    </w:p>
    <w:p>
      <w:pPr>
        <w:spacing w:line="360" w:lineRule="auto"/>
        <w:jc w:val="center"/>
        <w:rPr>
          <w:rFonts w:hint="default" w:ascii="Times New Roman" w:hAnsi="Times New Roman" w:eastAsia="宋体" w:cs="Times New Roman"/>
          <w:b/>
          <w:bCs/>
          <w:sz w:val="44"/>
          <w:szCs w:val="44"/>
          <w:lang w:eastAsia="zh-CN"/>
        </w:rPr>
      </w:pPr>
      <w:r>
        <w:rPr>
          <w:rFonts w:hint="default" w:ascii="Times New Roman" w:hAnsi="Times New Roman" w:eastAsia="宋体" w:cs="Times New Roman"/>
          <w:b/>
          <w:bCs/>
          <w:sz w:val="44"/>
          <w:szCs w:val="44"/>
          <w:lang w:val="en-US" w:eastAsia="zh-CN"/>
        </w:rPr>
        <w:t>供热方式技改</w:t>
      </w:r>
      <w:r>
        <w:rPr>
          <w:rFonts w:hint="default" w:ascii="Times New Roman" w:hAnsi="Times New Roman" w:eastAsia="宋体" w:cs="Times New Roman"/>
          <w:b/>
          <w:bCs/>
          <w:sz w:val="44"/>
          <w:szCs w:val="44"/>
        </w:rPr>
        <w:t>项目</w:t>
      </w:r>
      <w:r>
        <w:rPr>
          <w:rFonts w:hint="eastAsia" w:ascii="华文新魏" w:eastAsia="华文新魏"/>
          <w:b/>
          <w:color w:val="000000"/>
          <w:sz w:val="48"/>
          <w:szCs w:val="48"/>
        </w:rPr>
        <w:t>竣工环境保护</w:t>
      </w:r>
      <w:r>
        <w:rPr>
          <w:rFonts w:hint="default" w:ascii="Times New Roman" w:hAnsi="Times New Roman" w:eastAsia="宋体" w:cs="Times New Roman"/>
          <w:b/>
          <w:bCs/>
          <w:sz w:val="44"/>
          <w:szCs w:val="44"/>
        </w:rPr>
        <w:t>验收监测报告</w:t>
      </w: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spacing w:line="600" w:lineRule="auto"/>
        <w:jc w:val="center"/>
        <w:rPr>
          <w:rFonts w:hint="default" w:ascii="Times New Roman" w:hAnsi="Times New Roman" w:eastAsia="宋体" w:cs="Times New Roman"/>
          <w:b/>
          <w:bCs/>
          <w:sz w:val="32"/>
          <w:szCs w:val="32"/>
          <w:u w:val="single"/>
          <w:lang w:val="en-US" w:eastAsia="zh-CN"/>
        </w:rPr>
      </w:pPr>
      <w:r>
        <w:rPr>
          <w:rFonts w:hint="default" w:ascii="Times New Roman" w:hAnsi="Times New Roman" w:eastAsia="宋体" w:cs="Times New Roman"/>
          <w:b/>
          <w:bCs/>
          <w:sz w:val="32"/>
          <w:szCs w:val="32"/>
        </w:rPr>
        <w:t>建设单位：</w:t>
      </w:r>
      <w:r>
        <w:rPr>
          <w:rFonts w:hint="default" w:ascii="Times New Roman" w:hAnsi="Times New Roman" w:eastAsia="宋体" w:cs="Times New Roman"/>
          <w:b/>
          <w:bCs/>
          <w:sz w:val="32"/>
          <w:szCs w:val="32"/>
          <w:u w:val="single"/>
          <w:lang w:val="en-US" w:eastAsia="zh-CN"/>
        </w:rPr>
        <w:t>山东大树达孚特膳食品有限公司</w:t>
      </w:r>
    </w:p>
    <w:p>
      <w:pPr>
        <w:jc w:val="center"/>
        <w:rPr>
          <w:rFonts w:hint="default" w:ascii="Times New Roman" w:hAnsi="Times New Roman" w:eastAsia="宋体" w:cs="Times New Roman"/>
          <w:lang w:val="en-US" w:eastAsia="zh-CN"/>
        </w:rPr>
      </w:pPr>
      <w:r>
        <w:rPr>
          <w:rFonts w:hint="default" w:ascii="Times New Roman" w:hAnsi="Times New Roman" w:eastAsia="宋体" w:cs="Times New Roman"/>
          <w:b/>
          <w:bCs/>
          <w:sz w:val="32"/>
          <w:szCs w:val="32"/>
        </w:rPr>
        <w:t>编制单位：</w:t>
      </w:r>
      <w:r>
        <w:rPr>
          <w:rFonts w:hint="default" w:ascii="Times New Roman" w:hAnsi="Times New Roman" w:eastAsia="宋体" w:cs="Times New Roman"/>
          <w:b/>
          <w:bCs/>
          <w:sz w:val="32"/>
          <w:szCs w:val="32"/>
          <w:u w:val="single"/>
          <w:lang w:val="en-US" w:eastAsia="zh-CN"/>
        </w:rPr>
        <w:t>山东大树达孚特膳食品有限公司</w:t>
      </w: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jc w:val="center"/>
        <w:rPr>
          <w:rFonts w:hint="default" w:ascii="Times New Roman" w:hAnsi="Times New Roman" w:eastAsia="宋体" w:cs="Times New Roman"/>
          <w:b/>
          <w:bCs/>
          <w:sz w:val="30"/>
          <w:szCs w:val="30"/>
        </w:rPr>
      </w:pPr>
    </w:p>
    <w:p>
      <w:p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bCs/>
          <w:sz w:val="30"/>
          <w:szCs w:val="30"/>
        </w:rPr>
        <w:t>20</w:t>
      </w:r>
      <w:r>
        <w:rPr>
          <w:rFonts w:hint="default" w:ascii="Times New Roman" w:hAnsi="Times New Roman" w:eastAsia="宋体" w:cs="Times New Roman"/>
          <w:b/>
          <w:bCs/>
          <w:sz w:val="30"/>
          <w:szCs w:val="30"/>
          <w:lang w:val="en-US" w:eastAsia="zh-CN"/>
        </w:rPr>
        <w:t>24</w:t>
      </w:r>
      <w:r>
        <w:rPr>
          <w:rFonts w:hint="default" w:ascii="Times New Roman" w:hAnsi="Times New Roman" w:eastAsia="宋体" w:cs="Times New Roman"/>
          <w:b/>
          <w:bCs/>
          <w:sz w:val="30"/>
          <w:szCs w:val="30"/>
        </w:rPr>
        <w:t>年0</w:t>
      </w:r>
      <w:r>
        <w:rPr>
          <w:rFonts w:hint="eastAsia" w:ascii="Times New Roman" w:hAnsi="Times New Roman" w:eastAsia="宋体" w:cs="Times New Roman"/>
          <w:b/>
          <w:bCs/>
          <w:sz w:val="30"/>
          <w:szCs w:val="30"/>
          <w:lang w:val="en-US" w:eastAsia="zh-CN"/>
        </w:rPr>
        <w:t>3</w:t>
      </w:r>
      <w:r>
        <w:rPr>
          <w:rFonts w:hint="default" w:ascii="Times New Roman" w:hAnsi="Times New Roman" w:eastAsia="宋体" w:cs="Times New Roman"/>
          <w:b/>
          <w:bCs/>
          <w:sz w:val="30"/>
          <w:szCs w:val="30"/>
        </w:rPr>
        <w:t>月</w:t>
      </w:r>
      <w:r>
        <w:rPr>
          <w:rFonts w:hint="default" w:ascii="Times New Roman" w:hAnsi="Times New Roman" w:eastAsia="宋体" w:cs="Times New Roman"/>
          <w:b/>
          <w:bCs/>
          <w:sz w:val="30"/>
          <w:szCs w:val="30"/>
          <w:lang w:val="en-US" w:eastAsia="zh-CN"/>
        </w:rPr>
        <w:t xml:space="preserve">  </w:t>
      </w:r>
    </w:p>
    <w:p>
      <w:pPr>
        <w:widowControl/>
        <w:jc w:val="left"/>
        <w:rPr>
          <w:rFonts w:hint="default" w:ascii="Times New Roman" w:hAnsi="Times New Roman" w:eastAsia="宋体" w:cs="Times New Roman"/>
          <w:sz w:val="28"/>
          <w:szCs w:val="28"/>
        </w:rPr>
        <w:sectPr>
          <w:footerReference r:id="rId3" w:type="default"/>
          <w:footerReference r:id="rId4" w:type="even"/>
          <w:pgSz w:w="11906" w:h="16838"/>
          <w:pgMar w:top="1440" w:right="849"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eastAsia="宋体" w:cs="Times New Roman"/>
          <w:sz w:val="28"/>
          <w:szCs w:val="28"/>
        </w:rPr>
        <w:br w:type="page"/>
      </w:r>
    </w:p>
    <w:p>
      <w:pPr>
        <w:pStyle w:val="40"/>
        <w:jc w:val="both"/>
        <w:rPr>
          <w:rFonts w:hint="default" w:ascii="Times New Roman" w:hAnsi="Times New Roman" w:eastAsia="宋体" w:cs="Times New Roman"/>
        </w:rPr>
        <w:sectPr>
          <w:pgSz w:w="11906" w:h="16838"/>
          <w:pgMar w:top="1440" w:right="849"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40"/>
        <w:rPr>
          <w:rFonts w:hint="default" w:ascii="Times New Roman" w:hAnsi="Times New Roman" w:eastAsia="宋体" w:cs="Times New Roman"/>
        </w:rPr>
      </w:pPr>
    </w:p>
    <w:p>
      <w:pPr>
        <w:pStyle w:val="23"/>
        <w:ind w:left="-283" w:leftChars="-135"/>
        <w:rPr>
          <w:rFonts w:hint="default" w:ascii="Times New Roman" w:hAnsi="Times New Roman" w:eastAsia="宋体" w:cs="Times New Roman"/>
        </w:rPr>
      </w:pPr>
    </w:p>
    <w:p>
      <w:pPr>
        <w:spacing w:line="360" w:lineRule="auto"/>
        <w:rPr>
          <w:rFonts w:hint="default" w:ascii="Times New Roman" w:hAnsi="Times New Roman" w:eastAsia="宋体" w:cs="Times New Roman"/>
          <w:b/>
          <w:sz w:val="28"/>
          <w:lang w:val="en-US" w:eastAsia="zh-CN"/>
        </w:rPr>
      </w:pPr>
      <w:r>
        <w:rPr>
          <w:rFonts w:hint="default" w:ascii="Times New Roman" w:hAnsi="Times New Roman" w:eastAsia="宋体" w:cs="Times New Roman"/>
          <w:b/>
          <w:sz w:val="28"/>
        </w:rPr>
        <w:t>建设单位：</w:t>
      </w:r>
      <w:r>
        <w:rPr>
          <w:rFonts w:hint="default" w:ascii="Times New Roman" w:hAnsi="Times New Roman" w:eastAsia="宋体" w:cs="Times New Roman"/>
          <w:b/>
          <w:sz w:val="28"/>
          <w:lang w:val="en-US" w:eastAsia="zh-CN"/>
        </w:rPr>
        <w:t>山东大树达孚特膳食品有限公司</w:t>
      </w:r>
    </w:p>
    <w:p>
      <w:pPr>
        <w:spacing w:line="360" w:lineRule="auto"/>
        <w:rPr>
          <w:rFonts w:hint="default" w:ascii="Times New Roman" w:hAnsi="Times New Roman" w:eastAsia="宋体" w:cs="Times New Roman"/>
          <w:b/>
          <w:sz w:val="28"/>
          <w:lang w:val="en-US" w:eastAsia="zh-CN"/>
        </w:rPr>
      </w:pPr>
      <w:r>
        <w:rPr>
          <w:rFonts w:hint="default" w:ascii="Times New Roman" w:hAnsi="Times New Roman" w:eastAsia="宋体" w:cs="Times New Roman"/>
          <w:b/>
          <w:sz w:val="28"/>
        </w:rPr>
        <w:t>法人代表:</w:t>
      </w:r>
      <w:r>
        <w:rPr>
          <w:rFonts w:hint="default" w:ascii="Times New Roman" w:hAnsi="Times New Roman" w:eastAsia="宋体" w:cs="Times New Roman"/>
          <w:b/>
          <w:sz w:val="28"/>
        </w:rPr>
        <w:tab/>
      </w:r>
      <w:r>
        <w:rPr>
          <w:rFonts w:hint="default" w:ascii="Times New Roman" w:hAnsi="Times New Roman" w:eastAsia="宋体" w:cs="Times New Roman"/>
          <w:b/>
          <w:sz w:val="28"/>
        </w:rPr>
        <w:t xml:space="preserve"> </w:t>
      </w:r>
      <w:r>
        <w:rPr>
          <w:rFonts w:hint="eastAsia" w:ascii="Times New Roman" w:hAnsi="Times New Roman" w:eastAsia="宋体" w:cs="Times New Roman"/>
          <w:b/>
          <w:sz w:val="28"/>
          <w:lang w:val="en-US" w:eastAsia="zh-CN"/>
        </w:rPr>
        <w:t>周安宁</w:t>
      </w:r>
    </w:p>
    <w:p>
      <w:pPr>
        <w:spacing w:line="360" w:lineRule="auto"/>
        <w:rPr>
          <w:rFonts w:hint="default" w:ascii="Times New Roman" w:hAnsi="Times New Roman" w:eastAsia="宋体" w:cs="Times New Roman"/>
          <w:b/>
          <w:sz w:val="28"/>
          <w:lang w:eastAsia="zh-CN"/>
        </w:rPr>
      </w:pPr>
      <w:r>
        <w:rPr>
          <w:rFonts w:hint="default" w:ascii="Times New Roman" w:hAnsi="Times New Roman" w:eastAsia="宋体" w:cs="Times New Roman"/>
          <w:b/>
          <w:sz w:val="28"/>
        </w:rPr>
        <w:t>编制单位：</w:t>
      </w:r>
      <w:r>
        <w:rPr>
          <w:rFonts w:hint="default" w:ascii="Times New Roman" w:hAnsi="Times New Roman" w:eastAsia="宋体" w:cs="Times New Roman"/>
          <w:b/>
          <w:sz w:val="28"/>
          <w:lang w:val="en-US" w:eastAsia="zh-CN"/>
        </w:rPr>
        <w:t>山东大树达孚特膳食品有限公司</w:t>
      </w:r>
    </w:p>
    <w:p>
      <w:pPr>
        <w:spacing w:line="360" w:lineRule="auto"/>
        <w:rPr>
          <w:rFonts w:hint="default" w:ascii="Times New Roman" w:hAnsi="Times New Roman" w:eastAsia="宋体" w:cs="Times New Roman"/>
          <w:b/>
          <w:sz w:val="28"/>
          <w:lang w:val="en-US" w:eastAsia="zh-CN"/>
        </w:rPr>
      </w:pPr>
      <w:r>
        <w:rPr>
          <w:rFonts w:hint="default" w:ascii="Times New Roman" w:hAnsi="Times New Roman" w:eastAsia="宋体" w:cs="Times New Roman"/>
          <w:b/>
          <w:sz w:val="28"/>
        </w:rPr>
        <w:t xml:space="preserve">法人代表: </w:t>
      </w:r>
      <w:r>
        <w:rPr>
          <w:rFonts w:hint="eastAsia" w:ascii="Times New Roman" w:hAnsi="Times New Roman" w:eastAsia="宋体" w:cs="Times New Roman"/>
          <w:b/>
          <w:sz w:val="28"/>
          <w:lang w:val="en-US" w:eastAsia="zh-CN"/>
        </w:rPr>
        <w:t>周安宁</w:t>
      </w:r>
    </w:p>
    <w:p>
      <w:pPr>
        <w:spacing w:line="360" w:lineRule="auto"/>
        <w:rPr>
          <w:rFonts w:hint="default" w:ascii="Times New Roman" w:hAnsi="Times New Roman" w:eastAsia="宋体" w:cs="Times New Roman"/>
          <w:b/>
          <w:sz w:val="28"/>
          <w:lang w:val="en-US" w:eastAsia="zh-CN"/>
        </w:rPr>
      </w:pPr>
      <w:r>
        <w:rPr>
          <w:rFonts w:hint="default" w:ascii="Times New Roman" w:hAnsi="Times New Roman" w:eastAsia="宋体" w:cs="Times New Roman"/>
          <w:b/>
          <w:sz w:val="28"/>
        </w:rPr>
        <w:t xml:space="preserve">项目负责人: </w:t>
      </w:r>
      <w:r>
        <w:rPr>
          <w:rFonts w:hint="default" w:ascii="Times New Roman" w:hAnsi="Times New Roman" w:eastAsia="宋体" w:cs="Times New Roman"/>
          <w:b/>
          <w:sz w:val="28"/>
          <w:lang w:val="en-US" w:eastAsia="zh-CN"/>
        </w:rPr>
        <w:t>张洪伟</w:t>
      </w:r>
    </w:p>
    <w:p>
      <w:pPr>
        <w:pStyle w:val="18"/>
        <w:rPr>
          <w:rFonts w:hint="default" w:ascii="Times New Roman" w:hAnsi="Times New Roman" w:eastAsia="宋体" w:cs="Times New Roman"/>
        </w:rPr>
      </w:pPr>
    </w:p>
    <w:p>
      <w:pPr>
        <w:pStyle w:val="18"/>
        <w:rPr>
          <w:rFonts w:hint="default" w:ascii="Times New Roman" w:hAnsi="Times New Roman" w:eastAsia="宋体" w:cs="Times New Roman"/>
        </w:rPr>
      </w:pPr>
    </w:p>
    <w:p>
      <w:pPr>
        <w:pStyle w:val="18"/>
        <w:rPr>
          <w:rFonts w:hint="default" w:ascii="Times New Roman" w:hAnsi="Times New Roman" w:eastAsia="宋体" w:cs="Times New Roman"/>
        </w:rPr>
      </w:pPr>
    </w:p>
    <w:p>
      <w:pPr>
        <w:pStyle w:val="18"/>
        <w:rPr>
          <w:rFonts w:hint="default" w:ascii="Times New Roman" w:hAnsi="Times New Roman" w:eastAsia="宋体" w:cs="Times New Roman"/>
        </w:rPr>
      </w:pPr>
    </w:p>
    <w:p>
      <w:pPr>
        <w:pStyle w:val="18"/>
        <w:rPr>
          <w:rFonts w:hint="default" w:ascii="Times New Roman" w:hAnsi="Times New Roman" w:eastAsia="宋体" w:cs="Times New Roman"/>
        </w:rPr>
      </w:pPr>
    </w:p>
    <w:p>
      <w:pPr>
        <w:pStyle w:val="18"/>
        <w:rPr>
          <w:rFonts w:hint="default" w:ascii="Times New Roman" w:hAnsi="Times New Roman" w:eastAsia="宋体" w:cs="Times New Roman"/>
        </w:rPr>
      </w:pPr>
    </w:p>
    <w:p>
      <w:pPr>
        <w:pStyle w:val="18"/>
        <w:rPr>
          <w:rFonts w:hint="default" w:ascii="Times New Roman" w:hAnsi="Times New Roman" w:eastAsia="宋体" w:cs="Times New Roman"/>
        </w:rPr>
      </w:pPr>
    </w:p>
    <w:p>
      <w:pPr>
        <w:spacing w:line="360" w:lineRule="auto"/>
        <w:jc w:val="left"/>
        <w:rPr>
          <w:rFonts w:hint="default" w:ascii="Times New Roman" w:hAnsi="Times New Roman" w:eastAsia="宋体" w:cs="Times New Roman"/>
          <w:b/>
          <w:bCs/>
          <w:sz w:val="28"/>
          <w:lang w:eastAsia="zh-CN"/>
        </w:rPr>
      </w:pPr>
      <w:r>
        <w:rPr>
          <w:rFonts w:hint="default" w:ascii="Times New Roman" w:hAnsi="Times New Roman" w:eastAsia="宋体" w:cs="Times New Roman"/>
          <w:b/>
          <w:bCs/>
          <w:sz w:val="28"/>
        </w:rPr>
        <w:t>建设单位：</w:t>
      </w:r>
      <w:r>
        <w:rPr>
          <w:rFonts w:hint="default" w:ascii="Times New Roman" w:hAnsi="Times New Roman" w:eastAsia="宋体" w:cs="Times New Roman"/>
          <w:b/>
          <w:bCs/>
          <w:sz w:val="28"/>
          <w:lang w:eastAsia="zh-CN"/>
        </w:rPr>
        <w:t>山东大树达孚特膳食品有限公司</w:t>
      </w:r>
    </w:p>
    <w:p>
      <w:pPr>
        <w:spacing w:line="360" w:lineRule="auto"/>
        <w:jc w:val="left"/>
        <w:rPr>
          <w:rFonts w:hint="default" w:ascii="Times New Roman" w:hAnsi="Times New Roman" w:eastAsia="宋体" w:cs="Times New Roman"/>
          <w:b/>
          <w:bCs/>
          <w:sz w:val="28"/>
          <w:lang w:eastAsia="zh-CN"/>
        </w:rPr>
      </w:pPr>
      <w:r>
        <w:rPr>
          <w:rFonts w:hint="default" w:ascii="Times New Roman" w:hAnsi="Times New Roman" w:eastAsia="宋体" w:cs="Times New Roman"/>
          <w:b/>
          <w:bCs/>
          <w:sz w:val="28"/>
        </w:rPr>
        <w:t>编制单位：</w:t>
      </w:r>
      <w:r>
        <w:rPr>
          <w:rFonts w:hint="default" w:ascii="Times New Roman" w:hAnsi="Times New Roman" w:eastAsia="宋体" w:cs="Times New Roman"/>
          <w:b/>
          <w:bCs/>
          <w:sz w:val="28"/>
          <w:lang w:eastAsia="zh-CN"/>
        </w:rPr>
        <w:t>山东大树达孚特膳食品有限公司</w:t>
      </w:r>
    </w:p>
    <w:p>
      <w:pPr>
        <w:spacing w:line="360" w:lineRule="auto"/>
        <w:rPr>
          <w:rFonts w:hint="default" w:ascii="Times New Roman" w:hAnsi="Times New Roman" w:eastAsia="宋体" w:cs="Times New Roman"/>
          <w:b/>
          <w:bCs/>
          <w:sz w:val="28"/>
          <w:lang w:val="en-US" w:eastAsia="zh-CN"/>
        </w:rPr>
      </w:pPr>
      <w:r>
        <w:rPr>
          <w:rFonts w:hint="default" w:ascii="Times New Roman" w:hAnsi="Times New Roman" w:eastAsia="宋体" w:cs="Times New Roman"/>
          <w:b/>
          <w:bCs/>
          <w:sz w:val="28"/>
        </w:rPr>
        <w:t>电话:</w:t>
      </w:r>
      <w:r>
        <w:rPr>
          <w:rFonts w:hint="default" w:ascii="Times New Roman" w:hAnsi="Times New Roman" w:eastAsia="宋体" w:cs="Times New Roman"/>
          <w:b/>
          <w:bCs/>
        </w:rPr>
        <w:t xml:space="preserve"> </w:t>
      </w:r>
      <w:r>
        <w:rPr>
          <w:rFonts w:hint="default" w:ascii="Times New Roman" w:hAnsi="Times New Roman" w:eastAsia="宋体" w:cs="Times New Roman"/>
          <w:b/>
          <w:bCs/>
          <w:sz w:val="28"/>
          <w:lang w:val="en-US" w:eastAsia="zh-CN"/>
        </w:rPr>
        <w:t>15666917661</w:t>
      </w:r>
    </w:p>
    <w:p>
      <w:pPr>
        <w:spacing w:line="360" w:lineRule="auto"/>
        <w:jc w:val="left"/>
        <w:rPr>
          <w:rFonts w:hint="default" w:ascii="Times New Roman" w:hAnsi="Times New Roman" w:eastAsia="宋体" w:cs="Times New Roman"/>
          <w:b/>
          <w:bCs/>
          <w:sz w:val="28"/>
          <w:lang w:val="en-US" w:eastAsia="zh-CN"/>
        </w:rPr>
      </w:pPr>
      <w:r>
        <w:rPr>
          <w:rFonts w:hint="default" w:ascii="Times New Roman" w:hAnsi="Times New Roman" w:eastAsia="宋体" w:cs="Times New Roman"/>
          <w:b/>
          <w:bCs/>
          <w:sz w:val="28"/>
        </w:rPr>
        <w:t xml:space="preserve">邮编: </w:t>
      </w:r>
      <w:r>
        <w:rPr>
          <w:rFonts w:hint="default" w:ascii="Times New Roman" w:hAnsi="Times New Roman" w:eastAsia="宋体" w:cs="Times New Roman"/>
          <w:b/>
          <w:bCs/>
          <w:sz w:val="28"/>
          <w:lang w:eastAsia="zh-CN"/>
        </w:rPr>
        <w:t>27</w:t>
      </w:r>
      <w:r>
        <w:rPr>
          <w:rFonts w:hint="default" w:ascii="Times New Roman" w:hAnsi="Times New Roman" w:eastAsia="宋体" w:cs="Times New Roman"/>
          <w:b/>
          <w:bCs/>
          <w:sz w:val="28"/>
          <w:lang w:val="en-US" w:eastAsia="zh-CN"/>
        </w:rPr>
        <w:t>4106</w:t>
      </w:r>
    </w:p>
    <w:p>
      <w:pPr>
        <w:spacing w:line="360" w:lineRule="auto"/>
        <w:rPr>
          <w:rFonts w:hint="default" w:ascii="Times New Roman" w:hAnsi="Times New Roman" w:eastAsia="宋体" w:cs="Times New Roman"/>
          <w:b/>
          <w:bCs/>
          <w:sz w:val="28"/>
          <w:lang w:val="en-US" w:eastAsia="zh-CN"/>
        </w:rPr>
        <w:sectPr>
          <w:pgSz w:w="11906" w:h="16838"/>
          <w:pgMar w:top="1440" w:right="849"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eastAsia="宋体" w:cs="Times New Roman"/>
          <w:b/>
          <w:bCs/>
          <w:sz w:val="28"/>
        </w:rPr>
        <w:t>地址:</w:t>
      </w:r>
      <w:r>
        <w:rPr>
          <w:rFonts w:hint="default" w:ascii="Times New Roman" w:hAnsi="Times New Roman" w:eastAsia="宋体" w:cs="Times New Roman"/>
          <w:b/>
          <w:bCs/>
          <w:sz w:val="28"/>
          <w:lang w:val="en-US" w:eastAsia="zh-CN"/>
        </w:rPr>
        <w:t>山东省菏泽市鲁西新区吕陵镇黄河路东段</w:t>
      </w:r>
    </w:p>
    <w:sdt>
      <w:sdtPr>
        <w:rPr>
          <w:rFonts w:hint="default" w:ascii="Times New Roman" w:hAnsi="Times New Roman" w:eastAsia="宋体" w:cs="Times New Roman"/>
          <w:color w:val="auto"/>
          <w:kern w:val="2"/>
          <w:sz w:val="21"/>
          <w:szCs w:val="22"/>
          <w:lang w:val="zh-CN"/>
        </w:rPr>
        <w:id w:val="1108552957"/>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51"/>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lang w:val="zh-CN"/>
            </w:rPr>
            <w:t>目录</w:t>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TOC \o "1-3" \h \z \u </w:instrText>
          </w:r>
          <w:r>
            <w:rPr>
              <w:rFonts w:hint="default" w:ascii="Times New Roman" w:hAnsi="Times New Roman" w:eastAsia="宋体" w:cs="Times New Roman"/>
            </w:rPr>
            <w:fldChar w:fldCharType="separate"/>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_Toc30821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1、验收项目概况</w:t>
          </w:r>
          <w:r>
            <w:tab/>
          </w:r>
          <w:r>
            <w:fldChar w:fldCharType="begin"/>
          </w:r>
          <w:r>
            <w:instrText xml:space="preserve"> PAGEREF _Toc30821 \h </w:instrText>
          </w:r>
          <w:r>
            <w:fldChar w:fldCharType="separate"/>
          </w:r>
          <w:r>
            <w:t>1</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_Toc1629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1.1验收项目基本情况</w:t>
          </w:r>
          <w:r>
            <w:tab/>
          </w:r>
          <w:r>
            <w:fldChar w:fldCharType="begin"/>
          </w:r>
          <w:r>
            <w:instrText xml:space="preserve"> PAGEREF _Toc1629 \h </w:instrText>
          </w:r>
          <w:r>
            <w:fldChar w:fldCharType="separate"/>
          </w:r>
          <w:r>
            <w:t>1</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_Toc19194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1.2验收内容及目的</w:t>
          </w:r>
          <w:r>
            <w:tab/>
          </w:r>
          <w:r>
            <w:fldChar w:fldCharType="begin"/>
          </w:r>
          <w:r>
            <w:instrText xml:space="preserve"> PAGEREF _Toc19194 \h </w:instrText>
          </w:r>
          <w:r>
            <w:fldChar w:fldCharType="separate"/>
          </w:r>
          <w:r>
            <w:t>2</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_Toc9473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2、验收依据</w:t>
          </w:r>
          <w:r>
            <w:tab/>
          </w:r>
          <w:r>
            <w:fldChar w:fldCharType="begin"/>
          </w:r>
          <w:r>
            <w:instrText xml:space="preserve"> PAGEREF _Toc9473 \h </w:instrText>
          </w:r>
          <w:r>
            <w:fldChar w:fldCharType="separate"/>
          </w:r>
          <w:r>
            <w:t>4</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_Toc1285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2.1法律依据</w:t>
          </w:r>
          <w:r>
            <w:tab/>
          </w:r>
          <w:r>
            <w:fldChar w:fldCharType="begin"/>
          </w:r>
          <w:r>
            <w:instrText xml:space="preserve"> PAGEREF _Toc1285 \h </w:instrText>
          </w:r>
          <w:r>
            <w:fldChar w:fldCharType="separate"/>
          </w:r>
          <w:r>
            <w:t>4</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_Toc10659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2.2 验收技术规范</w:t>
          </w:r>
          <w:r>
            <w:tab/>
          </w:r>
          <w:r>
            <w:fldChar w:fldCharType="begin"/>
          </w:r>
          <w:r>
            <w:instrText xml:space="preserve"> PAGEREF _Toc10659 \h </w:instrText>
          </w:r>
          <w:r>
            <w:fldChar w:fldCharType="separate"/>
          </w:r>
          <w:r>
            <w:t>4</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2.2其他法规、条例</w:t>
          </w:r>
          <w:r>
            <w:tab/>
          </w:r>
          <w:r>
            <w:fldChar w:fldCharType="begin"/>
          </w:r>
          <w:r>
            <w:instrText xml:space="preserve"> PAGEREF _Toc247 \h </w:instrText>
          </w:r>
          <w:r>
            <w:fldChar w:fldCharType="separate"/>
          </w:r>
          <w:r>
            <w:t>5</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_Toc12767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2.3技术文件依据</w:t>
          </w:r>
          <w:r>
            <w:tab/>
          </w:r>
          <w:r>
            <w:fldChar w:fldCharType="begin"/>
          </w:r>
          <w:r>
            <w:instrText xml:space="preserve"> PAGEREF _Toc12767 \h </w:instrText>
          </w:r>
          <w:r>
            <w:fldChar w:fldCharType="separate"/>
          </w:r>
          <w:r>
            <w:t>5</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_Toc10028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2.4验收监测评价标准</w:t>
          </w:r>
          <w:r>
            <w:tab/>
          </w:r>
          <w:r>
            <w:fldChar w:fldCharType="begin"/>
          </w:r>
          <w:r>
            <w:instrText xml:space="preserve"> PAGEREF _Toc10028 \h </w:instrText>
          </w:r>
          <w:r>
            <w:fldChar w:fldCharType="separate"/>
          </w:r>
          <w:r>
            <w:t>6</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_Toc26917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3、工程建设情况</w:t>
          </w:r>
          <w:r>
            <w:tab/>
          </w:r>
          <w:r>
            <w:fldChar w:fldCharType="begin"/>
          </w:r>
          <w:r>
            <w:instrText xml:space="preserve"> PAGEREF _Toc26917 \h </w:instrText>
          </w:r>
          <w:r>
            <w:fldChar w:fldCharType="separate"/>
          </w:r>
          <w:r>
            <w:t>7</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_Toc20429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3.1地理位置及平面布置</w:t>
          </w:r>
          <w:r>
            <w:tab/>
          </w:r>
          <w:r>
            <w:fldChar w:fldCharType="begin"/>
          </w:r>
          <w:r>
            <w:instrText xml:space="preserve"> PAGEREF _Toc20429 \h </w:instrText>
          </w:r>
          <w:r>
            <w:fldChar w:fldCharType="separate"/>
          </w:r>
          <w:r>
            <w:t>7</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_Toc8076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3.2建设内容</w:t>
          </w:r>
          <w:r>
            <w:tab/>
          </w:r>
          <w:r>
            <w:fldChar w:fldCharType="begin"/>
          </w:r>
          <w:r>
            <w:instrText xml:space="preserve"> PAGEREF _Toc8076 \h </w:instrText>
          </w:r>
          <w:r>
            <w:fldChar w:fldCharType="separate"/>
          </w:r>
          <w:r>
            <w:t>9</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_Toc18654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3.3主要产品</w:t>
          </w:r>
          <w:r>
            <w:rPr>
              <w:rFonts w:hint="default" w:ascii="Times New Roman" w:hAnsi="Times New Roman" w:eastAsia="宋体" w:cs="Times New Roman"/>
              <w:szCs w:val="32"/>
              <w:lang w:eastAsia="zh-CN"/>
            </w:rPr>
            <w:t>、</w:t>
          </w:r>
          <w:r>
            <w:rPr>
              <w:rFonts w:hint="default" w:ascii="Times New Roman" w:hAnsi="Times New Roman" w:eastAsia="宋体" w:cs="Times New Roman"/>
              <w:szCs w:val="32"/>
            </w:rPr>
            <w:t>原辅材料、及生产设备</w:t>
          </w:r>
          <w:r>
            <w:tab/>
          </w:r>
          <w:r>
            <w:fldChar w:fldCharType="begin"/>
          </w:r>
          <w:r>
            <w:instrText xml:space="preserve"> PAGEREF _Toc18654 \h </w:instrText>
          </w:r>
          <w:r>
            <w:fldChar w:fldCharType="separate"/>
          </w:r>
          <w:r>
            <w:t>10</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_Toc22567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3.4水源及水平衡</w:t>
          </w:r>
          <w:r>
            <w:tab/>
          </w:r>
          <w:r>
            <w:fldChar w:fldCharType="begin"/>
          </w:r>
          <w:r>
            <w:instrText xml:space="preserve"> PAGEREF _Toc22567 \h </w:instrText>
          </w:r>
          <w:r>
            <w:fldChar w:fldCharType="separate"/>
          </w:r>
          <w:r>
            <w:t>11</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_Toc18880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3.5</w:t>
          </w:r>
          <w:r>
            <w:rPr>
              <w:rFonts w:hint="default" w:ascii="Times New Roman" w:hAnsi="Times New Roman" w:eastAsia="宋体" w:cs="Times New Roman"/>
              <w:szCs w:val="32"/>
              <w:lang w:val="en-US" w:eastAsia="zh-CN"/>
            </w:rPr>
            <w:t>技改项目</w:t>
          </w:r>
          <w:r>
            <w:rPr>
              <w:rFonts w:hint="default" w:ascii="Times New Roman" w:hAnsi="Times New Roman" w:eastAsia="宋体" w:cs="Times New Roman"/>
              <w:szCs w:val="32"/>
            </w:rPr>
            <w:t>生产工艺</w:t>
          </w:r>
          <w:r>
            <w:tab/>
          </w:r>
          <w:r>
            <w:fldChar w:fldCharType="begin"/>
          </w:r>
          <w:r>
            <w:instrText xml:space="preserve"> PAGEREF _Toc18880 \h </w:instrText>
          </w:r>
          <w:r>
            <w:fldChar w:fldCharType="separate"/>
          </w:r>
          <w:r>
            <w:t>11</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_Toc4873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3.6项目变动情况</w:t>
          </w:r>
          <w:r>
            <w:tab/>
          </w:r>
          <w:r>
            <w:fldChar w:fldCharType="begin"/>
          </w:r>
          <w:r>
            <w:instrText xml:space="preserve"> PAGEREF _Toc4873 \h </w:instrText>
          </w:r>
          <w:r>
            <w:fldChar w:fldCharType="separate"/>
          </w:r>
          <w:r>
            <w:t>13</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_Toc10149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4、环境保护设施</w:t>
          </w:r>
          <w:r>
            <w:tab/>
          </w:r>
          <w:r>
            <w:fldChar w:fldCharType="begin"/>
          </w:r>
          <w:r>
            <w:instrText xml:space="preserve"> PAGEREF _Toc10149 \h </w:instrText>
          </w:r>
          <w:r>
            <w:fldChar w:fldCharType="separate"/>
          </w:r>
          <w:r>
            <w:t>17</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_Toc30810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4.1污染物治理/处置设施</w:t>
          </w:r>
          <w:r>
            <w:tab/>
          </w:r>
          <w:r>
            <w:fldChar w:fldCharType="begin"/>
          </w:r>
          <w:r>
            <w:instrText xml:space="preserve"> PAGEREF _Toc30810 \h </w:instrText>
          </w:r>
          <w:r>
            <w:fldChar w:fldCharType="separate"/>
          </w:r>
          <w:r>
            <w:t>17</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_Toc31438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4.2其他环保设施</w:t>
          </w:r>
          <w:r>
            <w:tab/>
          </w:r>
          <w:r>
            <w:fldChar w:fldCharType="begin"/>
          </w:r>
          <w:r>
            <w:instrText xml:space="preserve"> PAGEREF _Toc31438 \h </w:instrText>
          </w:r>
          <w:r>
            <w:fldChar w:fldCharType="separate"/>
          </w:r>
          <w:r>
            <w:t>19</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_Toc29998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4.3环保设施投资及“三同时”落实情况</w:t>
          </w:r>
          <w:r>
            <w:tab/>
          </w:r>
          <w:r>
            <w:fldChar w:fldCharType="begin"/>
          </w:r>
          <w:r>
            <w:instrText xml:space="preserve"> PAGEREF _Toc29998 \h </w:instrText>
          </w:r>
          <w:r>
            <w:fldChar w:fldCharType="separate"/>
          </w:r>
          <w:r>
            <w:t>22</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_Toc8839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5、建设项目环评报告表的主要结论与建议及审批部门审批决定</w:t>
          </w:r>
          <w:r>
            <w:tab/>
          </w:r>
          <w:r>
            <w:fldChar w:fldCharType="begin"/>
          </w:r>
          <w:r>
            <w:instrText xml:space="preserve"> PAGEREF _Toc8839 \h </w:instrText>
          </w:r>
          <w:r>
            <w:fldChar w:fldCharType="separate"/>
          </w:r>
          <w:r>
            <w:t>24</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_Toc8191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5.1建设项目环评报告书表的主要结论与建议</w:t>
          </w:r>
          <w:r>
            <w:tab/>
          </w:r>
          <w:r>
            <w:fldChar w:fldCharType="begin"/>
          </w:r>
          <w:r>
            <w:instrText xml:space="preserve"> PAGEREF _Toc8191 \h </w:instrText>
          </w:r>
          <w:r>
            <w:fldChar w:fldCharType="separate"/>
          </w:r>
          <w:r>
            <w:t>24</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_Toc17983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5.2审批部门审批决定</w:t>
          </w:r>
          <w:r>
            <w:tab/>
          </w:r>
          <w:r>
            <w:fldChar w:fldCharType="begin"/>
          </w:r>
          <w:r>
            <w:instrText xml:space="preserve"> PAGEREF _Toc17983 \h </w:instrText>
          </w:r>
          <w:r>
            <w:fldChar w:fldCharType="separate"/>
          </w:r>
          <w:r>
            <w:t>26</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_Toc10737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6、验收执行标准</w:t>
          </w:r>
          <w:r>
            <w:tab/>
          </w:r>
          <w:r>
            <w:fldChar w:fldCharType="begin"/>
          </w:r>
          <w:r>
            <w:instrText xml:space="preserve"> PAGEREF _Toc10737 \h </w:instrText>
          </w:r>
          <w:r>
            <w:fldChar w:fldCharType="separate"/>
          </w:r>
          <w:r>
            <w:t>29</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_Toc9269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7、验收监测内容</w:t>
          </w:r>
          <w:r>
            <w:tab/>
          </w:r>
          <w:r>
            <w:fldChar w:fldCharType="begin"/>
          </w:r>
          <w:r>
            <w:instrText xml:space="preserve"> PAGEREF _Toc9269 \h </w:instrText>
          </w:r>
          <w:r>
            <w:fldChar w:fldCharType="separate"/>
          </w:r>
          <w:r>
            <w:t>30</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_Toc2895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7.1 环境保护设施调试效果</w:t>
          </w:r>
          <w:r>
            <w:tab/>
          </w:r>
          <w:r>
            <w:fldChar w:fldCharType="begin"/>
          </w:r>
          <w:r>
            <w:instrText xml:space="preserve"> PAGEREF _Toc2895 \h </w:instrText>
          </w:r>
          <w:r>
            <w:fldChar w:fldCharType="separate"/>
          </w:r>
          <w:r>
            <w:t>30</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_Toc17023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7.2环境质量监测</w:t>
          </w:r>
          <w:r>
            <w:tab/>
          </w:r>
          <w:r>
            <w:fldChar w:fldCharType="begin"/>
          </w:r>
          <w:r>
            <w:instrText xml:space="preserve"> PAGEREF _Toc17023 \h </w:instrText>
          </w:r>
          <w:r>
            <w:fldChar w:fldCharType="separate"/>
          </w:r>
          <w:r>
            <w:t>31</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_Toc19685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8、质量保证及质量控制</w:t>
          </w:r>
          <w:r>
            <w:tab/>
          </w:r>
          <w:r>
            <w:fldChar w:fldCharType="begin"/>
          </w:r>
          <w:r>
            <w:instrText xml:space="preserve"> PAGEREF _Toc19685 \h </w:instrText>
          </w:r>
          <w:r>
            <w:fldChar w:fldCharType="separate"/>
          </w:r>
          <w:r>
            <w:t>32</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_Toc32133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8.1监测分析方法及监测仪器</w:t>
          </w:r>
          <w:r>
            <w:tab/>
          </w:r>
          <w:r>
            <w:fldChar w:fldCharType="begin"/>
          </w:r>
          <w:r>
            <w:instrText xml:space="preserve"> PAGEREF _Toc32133 \h </w:instrText>
          </w:r>
          <w:r>
            <w:fldChar w:fldCharType="separate"/>
          </w:r>
          <w:r>
            <w:t>32</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_Toc7451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8.2人员资质</w:t>
          </w:r>
          <w:r>
            <w:tab/>
          </w:r>
          <w:r>
            <w:fldChar w:fldCharType="begin"/>
          </w:r>
          <w:r>
            <w:instrText xml:space="preserve"> PAGEREF _Toc7451 \h </w:instrText>
          </w:r>
          <w:r>
            <w:fldChar w:fldCharType="separate"/>
          </w:r>
          <w:r>
            <w:t>32</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_Toc1833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8.3水质监测分析过程中的质量保证和质量控制</w:t>
          </w:r>
          <w:r>
            <w:tab/>
          </w:r>
          <w:r>
            <w:fldChar w:fldCharType="begin"/>
          </w:r>
          <w:r>
            <w:instrText xml:space="preserve"> PAGEREF _Toc1833 \h </w:instrText>
          </w:r>
          <w:r>
            <w:fldChar w:fldCharType="separate"/>
          </w:r>
          <w:r>
            <w:t>32</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_Toc5889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8.4气体监测分析过程中的质量保证和质量控制</w:t>
          </w:r>
          <w:r>
            <w:tab/>
          </w:r>
          <w:r>
            <w:fldChar w:fldCharType="begin"/>
          </w:r>
          <w:r>
            <w:instrText xml:space="preserve"> PAGEREF _Toc5889 \h </w:instrText>
          </w:r>
          <w:r>
            <w:fldChar w:fldCharType="separate"/>
          </w:r>
          <w:r>
            <w:t>32</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_Toc17442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8.5噪声监测分析过程中的质量保证和质量控制</w:t>
          </w:r>
          <w:r>
            <w:tab/>
          </w:r>
          <w:r>
            <w:fldChar w:fldCharType="begin"/>
          </w:r>
          <w:r>
            <w:instrText xml:space="preserve"> PAGEREF _Toc17442 \h </w:instrText>
          </w:r>
          <w:r>
            <w:fldChar w:fldCharType="separate"/>
          </w:r>
          <w:r>
            <w:t>32</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_Toc4784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8.6固体废物监测分析过程中的质量保证和质量控制</w:t>
          </w:r>
          <w:r>
            <w:tab/>
          </w:r>
          <w:r>
            <w:fldChar w:fldCharType="begin"/>
          </w:r>
          <w:r>
            <w:instrText xml:space="preserve"> PAGEREF _Toc4784 \h </w:instrText>
          </w:r>
          <w:r>
            <w:fldChar w:fldCharType="separate"/>
          </w:r>
          <w:r>
            <w:t>33</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_Toc8548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9、验收监测结果</w:t>
          </w:r>
          <w:r>
            <w:tab/>
          </w:r>
          <w:r>
            <w:fldChar w:fldCharType="begin"/>
          </w:r>
          <w:r>
            <w:instrText xml:space="preserve"> PAGEREF _Toc8548 \h </w:instrText>
          </w:r>
          <w:r>
            <w:fldChar w:fldCharType="separate"/>
          </w:r>
          <w:r>
            <w:t>34</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_Toc20899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9.1生产工况</w:t>
          </w:r>
          <w:r>
            <w:tab/>
          </w:r>
          <w:r>
            <w:fldChar w:fldCharType="begin"/>
          </w:r>
          <w:r>
            <w:instrText xml:space="preserve"> PAGEREF _Toc20899 \h </w:instrText>
          </w:r>
          <w:r>
            <w:fldChar w:fldCharType="separate"/>
          </w:r>
          <w:r>
            <w:t>34</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_Toc2434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9.2环保设施调试运行效果</w:t>
          </w:r>
          <w:r>
            <w:tab/>
          </w:r>
          <w:r>
            <w:fldChar w:fldCharType="begin"/>
          </w:r>
          <w:r>
            <w:instrText xml:space="preserve"> PAGEREF _Toc2434 \h </w:instrText>
          </w:r>
          <w:r>
            <w:fldChar w:fldCharType="separate"/>
          </w:r>
          <w:r>
            <w:t>34</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_Toc12029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9.</w:t>
          </w:r>
          <w:r>
            <w:rPr>
              <w:rFonts w:hint="eastAsia" w:ascii="Times New Roman" w:hAnsi="Times New Roman" w:eastAsia="宋体" w:cs="Times New Roman"/>
              <w:szCs w:val="32"/>
              <w:lang w:val="en-US" w:eastAsia="zh-CN"/>
            </w:rPr>
            <w:t>3</w:t>
          </w:r>
          <w:r>
            <w:rPr>
              <w:rFonts w:hint="default" w:ascii="Times New Roman" w:hAnsi="Times New Roman" w:eastAsia="宋体" w:cs="Times New Roman"/>
              <w:szCs w:val="32"/>
            </w:rPr>
            <w:t>工程建设对环境的影响</w:t>
          </w:r>
          <w:r>
            <w:tab/>
          </w:r>
          <w:r>
            <w:fldChar w:fldCharType="begin"/>
          </w:r>
          <w:r>
            <w:instrText xml:space="preserve"> PAGEREF _Toc12029 \h </w:instrText>
          </w:r>
          <w:r>
            <w:fldChar w:fldCharType="separate"/>
          </w:r>
          <w:r>
            <w:t>37</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_Toc8818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10、验收监测结论</w:t>
          </w:r>
          <w:r>
            <w:tab/>
          </w:r>
          <w:r>
            <w:fldChar w:fldCharType="begin"/>
          </w:r>
          <w:r>
            <w:instrText xml:space="preserve"> PAGEREF _Toc8818 \h </w:instrText>
          </w:r>
          <w:r>
            <w:fldChar w:fldCharType="separate"/>
          </w:r>
          <w:r>
            <w:t>38</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_Toc31444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10.1环境保护设施调试效果</w:t>
          </w:r>
          <w:r>
            <w:tab/>
          </w:r>
          <w:r>
            <w:fldChar w:fldCharType="begin"/>
          </w:r>
          <w:r>
            <w:instrText xml:space="preserve"> PAGEREF _Toc31444 \h </w:instrText>
          </w:r>
          <w:r>
            <w:fldChar w:fldCharType="separate"/>
          </w:r>
          <w:r>
            <w:t>38</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_Toc32281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10.2建议</w:t>
          </w:r>
          <w:r>
            <w:tab/>
          </w:r>
          <w:r>
            <w:fldChar w:fldCharType="begin"/>
          </w:r>
          <w:r>
            <w:instrText xml:space="preserve"> PAGEREF _Toc32281 \h </w:instrText>
          </w:r>
          <w:r>
            <w:fldChar w:fldCharType="separate"/>
          </w:r>
          <w:r>
            <w:t>38</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_Toc8440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11、建设项目竣工环境保护 “ 三同时 ”验收登记表</w:t>
          </w:r>
          <w:r>
            <w:tab/>
          </w:r>
          <w:r>
            <w:fldChar w:fldCharType="begin"/>
          </w:r>
          <w:r>
            <w:instrText xml:space="preserve"> PAGEREF _Toc8440 \h </w:instrText>
          </w:r>
          <w:r>
            <w:fldChar w:fldCharType="separate"/>
          </w:r>
          <w:r>
            <w:t>39</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_Toc31878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4"/>
              <w:highlight w:val="none"/>
            </w:rPr>
            <w:t>附件1：</w:t>
          </w:r>
          <w:r>
            <w:rPr>
              <w:rFonts w:hint="default" w:ascii="Times New Roman" w:hAnsi="Times New Roman" w:eastAsia="宋体" w:cs="Times New Roman"/>
              <w:szCs w:val="24"/>
              <w:highlight w:val="none"/>
              <w:lang w:val="en-US" w:eastAsia="zh-CN"/>
            </w:rPr>
            <w:t>营业执照</w:t>
          </w:r>
          <w:r>
            <w:tab/>
          </w:r>
          <w:r>
            <w:fldChar w:fldCharType="begin"/>
          </w:r>
          <w:r>
            <w:instrText xml:space="preserve"> PAGEREF _Toc31878 \h </w:instrText>
          </w:r>
          <w:r>
            <w:fldChar w:fldCharType="separate"/>
          </w:r>
          <w:r>
            <w:t>40</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_Toc32462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4"/>
            </w:rPr>
            <w:t>附件2：环评批复</w:t>
          </w:r>
          <w:r>
            <w:tab/>
          </w:r>
          <w:r>
            <w:fldChar w:fldCharType="begin"/>
          </w:r>
          <w:r>
            <w:instrText xml:space="preserve"> PAGEREF _Toc32462 \h </w:instrText>
          </w:r>
          <w:r>
            <w:fldChar w:fldCharType="separate"/>
          </w:r>
          <w:r>
            <w:t>41</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_Toc21709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4"/>
              <w:lang w:val="en-US" w:eastAsia="zh-CN"/>
            </w:rPr>
            <w:t>附件</w:t>
          </w:r>
          <w:r>
            <w:rPr>
              <w:rFonts w:hint="eastAsia" w:ascii="Times New Roman" w:hAnsi="Times New Roman" w:eastAsia="宋体" w:cs="Times New Roman"/>
              <w:szCs w:val="24"/>
              <w:lang w:val="en-US" w:eastAsia="zh-CN"/>
            </w:rPr>
            <w:t>3：</w:t>
          </w:r>
          <w:r>
            <w:rPr>
              <w:rFonts w:hint="default" w:ascii="Times New Roman" w:hAnsi="Times New Roman" w:eastAsia="宋体" w:cs="Times New Roman"/>
              <w:szCs w:val="24"/>
              <w:lang w:val="en-US" w:eastAsia="zh-CN"/>
            </w:rPr>
            <w:t>排污许可证</w:t>
          </w:r>
          <w:r>
            <w:tab/>
          </w:r>
          <w:r>
            <w:fldChar w:fldCharType="begin"/>
          </w:r>
          <w:r>
            <w:instrText xml:space="preserve"> PAGEREF _Toc21709 \h </w:instrText>
          </w:r>
          <w:r>
            <w:fldChar w:fldCharType="separate"/>
          </w:r>
          <w:r>
            <w:t>45</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_Toc10557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lang w:val="en-US" w:eastAsia="zh-CN"/>
            </w:rPr>
            <w:t>附件</w:t>
          </w:r>
          <w:r>
            <w:rPr>
              <w:rFonts w:hint="eastAsia" w:ascii="Times New Roman" w:hAnsi="Times New Roman" w:eastAsia="宋体" w:cs="Times New Roman"/>
              <w:szCs w:val="21"/>
              <w:lang w:val="en-US" w:eastAsia="zh-CN"/>
            </w:rPr>
            <w:t>4</w:t>
          </w:r>
          <w:r>
            <w:rPr>
              <w:rFonts w:hint="default" w:ascii="Times New Roman" w:hAnsi="Times New Roman" w:eastAsia="宋体" w:cs="Times New Roman"/>
              <w:szCs w:val="21"/>
              <w:lang w:val="en-US" w:eastAsia="zh-CN"/>
            </w:rPr>
            <w:t>：监测报告</w:t>
          </w:r>
          <w:r>
            <w:tab/>
          </w:r>
          <w:r>
            <w:fldChar w:fldCharType="begin"/>
          </w:r>
          <w:r>
            <w:instrText xml:space="preserve"> PAGEREF _Toc10557 \h </w:instrText>
          </w:r>
          <w:r>
            <w:fldChar w:fldCharType="separate"/>
          </w:r>
          <w:r>
            <w:t>46</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_Toc8662 </w:instrText>
          </w:r>
          <w:r>
            <w:rPr>
              <w:rFonts w:hint="default" w:ascii="Times New Roman" w:hAnsi="Times New Roman" w:eastAsia="宋体" w:cs="Times New Roman"/>
            </w:rPr>
            <w:fldChar w:fldCharType="separate"/>
          </w:r>
          <w:r>
            <w:rPr>
              <w:rFonts w:hint="default" w:ascii="Times New Roman" w:hAnsi="Times New Roman" w:eastAsia="宋体" w:cs="Times New Roman"/>
              <w:bCs/>
              <w:szCs w:val="24"/>
              <w:lang w:val="en-US" w:eastAsia="zh-CN"/>
            </w:rPr>
            <w:t>附件5：</w:t>
          </w:r>
          <w:r>
            <w:rPr>
              <w:rFonts w:hint="eastAsia" w:ascii="Times New Roman" w:hAnsi="Times New Roman" w:eastAsia="宋体" w:cs="Times New Roman"/>
              <w:bCs/>
              <w:szCs w:val="24"/>
              <w:lang w:val="en-US" w:eastAsia="zh-CN"/>
            </w:rPr>
            <w:t>应急预案备案表</w:t>
          </w:r>
          <w:r>
            <w:tab/>
          </w:r>
          <w:r>
            <w:fldChar w:fldCharType="begin"/>
          </w:r>
          <w:r>
            <w:instrText xml:space="preserve"> PAGEREF _Toc8662 \h </w:instrText>
          </w:r>
          <w:r>
            <w:fldChar w:fldCharType="separate"/>
          </w:r>
          <w:r>
            <w:t>57</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_Toc10940 </w:instrText>
          </w:r>
          <w:r>
            <w:rPr>
              <w:rFonts w:hint="default" w:ascii="Times New Roman" w:hAnsi="Times New Roman" w:eastAsia="宋体" w:cs="Times New Roman"/>
            </w:rPr>
            <w:fldChar w:fldCharType="separate"/>
          </w:r>
          <w:r>
            <w:rPr>
              <w:rFonts w:hint="eastAsia" w:ascii="Times New Roman" w:hAnsi="Times New Roman" w:eastAsia="宋体" w:cs="Times New Roman"/>
              <w:bCs/>
              <w:szCs w:val="24"/>
              <w:lang w:val="en-US" w:eastAsia="zh-CN"/>
            </w:rPr>
            <w:t>附件6：排污许可证登记回执</w:t>
          </w:r>
          <w:r>
            <w:tab/>
          </w:r>
          <w:r>
            <w:fldChar w:fldCharType="begin"/>
          </w:r>
          <w:r>
            <w:instrText xml:space="preserve"> PAGEREF _Toc10940 \h </w:instrText>
          </w:r>
          <w:r>
            <w:fldChar w:fldCharType="separate"/>
          </w:r>
          <w:r>
            <w:t>59</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_Toc31401 </w:instrText>
          </w:r>
          <w:r>
            <w:rPr>
              <w:rFonts w:hint="default" w:ascii="Times New Roman" w:hAnsi="Times New Roman" w:eastAsia="宋体" w:cs="Times New Roman"/>
            </w:rPr>
            <w:fldChar w:fldCharType="separate"/>
          </w:r>
          <w:r>
            <w:rPr>
              <w:rFonts w:hint="default" w:ascii="Times New Roman" w:hAnsi="Times New Roman" w:eastAsia="宋体" w:cs="Times New Roman"/>
              <w:bCs/>
              <w:szCs w:val="24"/>
              <w:lang w:val="en-US" w:eastAsia="zh-CN"/>
            </w:rPr>
            <w:t>附件</w:t>
          </w:r>
          <w:r>
            <w:rPr>
              <w:rFonts w:hint="eastAsia" w:ascii="Times New Roman" w:hAnsi="Times New Roman" w:eastAsia="宋体" w:cs="Times New Roman"/>
              <w:bCs/>
              <w:szCs w:val="24"/>
              <w:lang w:val="en-US" w:eastAsia="zh-CN"/>
            </w:rPr>
            <w:t>7</w:t>
          </w:r>
          <w:r>
            <w:rPr>
              <w:rFonts w:hint="default" w:ascii="Times New Roman" w:hAnsi="Times New Roman" w:eastAsia="宋体" w:cs="Times New Roman"/>
              <w:bCs/>
              <w:szCs w:val="24"/>
              <w:lang w:val="en-US" w:eastAsia="zh-CN"/>
            </w:rPr>
            <w:t>：</w:t>
          </w:r>
          <w:r>
            <w:rPr>
              <w:rFonts w:hint="eastAsia" w:ascii="Times New Roman" w:hAnsi="Times New Roman" w:eastAsia="宋体" w:cs="Times New Roman"/>
              <w:bCs/>
              <w:szCs w:val="24"/>
              <w:lang w:val="en-US" w:eastAsia="zh-CN"/>
            </w:rPr>
            <w:t>环保验收公示</w:t>
          </w:r>
          <w:r>
            <w:tab/>
          </w:r>
          <w:r>
            <w:fldChar w:fldCharType="begin"/>
          </w:r>
          <w:r>
            <w:instrText xml:space="preserve"> PAGEREF _Toc31401 \h </w:instrText>
          </w:r>
          <w:r>
            <w:fldChar w:fldCharType="separate"/>
          </w:r>
          <w:r>
            <w:t>60</w:t>
          </w:r>
          <w:r>
            <w:fldChar w:fldCharType="end"/>
          </w:r>
          <w:r>
            <w:rPr>
              <w:rFonts w:hint="default" w:ascii="Times New Roman" w:hAnsi="Times New Roman" w:eastAsia="宋体" w:cs="Times New Roman"/>
            </w:rPr>
            <w:fldChar w:fldCharType="end"/>
          </w:r>
        </w:p>
        <w:p>
          <w:pPr>
            <w:pStyle w:val="25"/>
            <w:tabs>
              <w:tab w:val="right" w:leader="dot" w:pos="8610"/>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fldChar w:fldCharType="end"/>
          </w:r>
        </w:p>
      </w:sdtContent>
    </w:sdt>
    <w:p>
      <w:pPr>
        <w:spacing w:line="360" w:lineRule="auto"/>
        <w:rPr>
          <w:rFonts w:hint="default" w:ascii="Times New Roman" w:hAnsi="Times New Roman" w:eastAsia="宋体" w:cs="Times New Roman"/>
          <w:sz w:val="28"/>
          <w:szCs w:val="28"/>
        </w:rPr>
        <w:sectPr>
          <w:pgSz w:w="11906" w:h="16838"/>
          <w:pgMar w:top="1440" w:right="1489"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7"/>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0" w:name="_Toc30821"/>
      <w:r>
        <w:rPr>
          <w:rFonts w:hint="default" w:ascii="Times New Roman" w:hAnsi="Times New Roman" w:eastAsia="宋体" w:cs="Times New Roman"/>
          <w:b/>
          <w:sz w:val="32"/>
          <w:szCs w:val="32"/>
        </w:rPr>
        <w:t>1、验收项目概况</w:t>
      </w:r>
      <w:bookmarkEnd w:id="0"/>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1" w:name="_Toc1629"/>
      <w:r>
        <w:rPr>
          <w:rFonts w:hint="default" w:ascii="Times New Roman" w:hAnsi="Times New Roman" w:eastAsia="宋体" w:cs="Times New Roman"/>
          <w:b/>
          <w:sz w:val="28"/>
          <w:szCs w:val="32"/>
        </w:rPr>
        <w:t>1.1验收项目基本情况</w:t>
      </w:r>
      <w:bookmarkEnd w:id="1"/>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项目名称：</w:t>
      </w:r>
      <w:r>
        <w:rPr>
          <w:rFonts w:hint="default" w:ascii="Times New Roman" w:hAnsi="Times New Roman" w:eastAsia="宋体" w:cs="Times New Roman"/>
          <w:color w:val="000000"/>
          <w:sz w:val="24"/>
          <w:szCs w:val="28"/>
          <w:lang w:eastAsia="zh-CN"/>
        </w:rPr>
        <w:t>山东大树达孚特膳食品有限公司供热方式技改项目</w:t>
      </w:r>
    </w:p>
    <w:p>
      <w:pPr>
        <w:spacing w:line="360" w:lineRule="auto"/>
        <w:ind w:firstLine="480" w:firstLineChars="200"/>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color w:val="000000"/>
          <w:sz w:val="24"/>
          <w:szCs w:val="28"/>
        </w:rPr>
        <w:t>建设单位：</w:t>
      </w:r>
      <w:r>
        <w:rPr>
          <w:rFonts w:hint="default" w:ascii="Times New Roman" w:hAnsi="Times New Roman" w:eastAsia="宋体" w:cs="Times New Roman"/>
          <w:color w:val="000000"/>
          <w:sz w:val="24"/>
          <w:szCs w:val="28"/>
          <w:lang w:eastAsia="zh-CN"/>
        </w:rPr>
        <w:t>山东大树达孚特膳食品有限公司</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lang w:val="en-US" w:eastAsia="zh-CN"/>
        </w:rPr>
        <w:t>建设地点：山东大树达孚特膳食品有限公司院内</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lang w:val="en-US" w:eastAsia="zh-CN"/>
        </w:rPr>
        <w:t>建设性质：技改</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rPr>
        <w:t>建设内容：</w:t>
      </w:r>
      <w:r>
        <w:rPr>
          <w:rFonts w:hint="default" w:ascii="Times New Roman" w:hAnsi="Times New Roman" w:eastAsia="宋体" w:cs="Times New Roman"/>
          <w:color w:val="000000"/>
          <w:sz w:val="24"/>
          <w:szCs w:val="28"/>
          <w:lang w:val="en-US" w:eastAsia="zh-CN"/>
        </w:rPr>
        <w:t>主要建设1号植脂末生产线喷雾干燥工序天然气空气自燃加热燃烧器、2号植脂末生产线喷雾干燥工序天然气空气自燃加热燃烧器、3号植脂末生产线喷雾干燥工序天然气空气自燃加热燃烧器。</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rPr>
        <w:t>生产规模：</w:t>
      </w:r>
      <w:r>
        <w:rPr>
          <w:rFonts w:hint="default" w:ascii="Times New Roman" w:hAnsi="Times New Roman" w:eastAsia="宋体" w:cs="Times New Roman"/>
          <w:color w:val="000000"/>
          <w:sz w:val="24"/>
          <w:szCs w:val="28"/>
          <w:lang w:val="en-US" w:eastAsia="zh-CN"/>
        </w:rPr>
        <w:t>年</w:t>
      </w:r>
      <w:r>
        <w:rPr>
          <w:rFonts w:hint="eastAsia" w:ascii="Times New Roman" w:hAnsi="Times New Roman" w:eastAsia="宋体" w:cs="Times New Roman"/>
          <w:color w:val="000000"/>
          <w:sz w:val="24"/>
          <w:szCs w:val="28"/>
          <w:lang w:val="en-US" w:eastAsia="zh-CN"/>
        </w:rPr>
        <w:t>产</w:t>
      </w:r>
      <w:r>
        <w:rPr>
          <w:rFonts w:hint="default" w:ascii="Times New Roman" w:hAnsi="Times New Roman" w:eastAsia="宋体" w:cs="Times New Roman"/>
          <w:color w:val="000000"/>
          <w:sz w:val="24"/>
          <w:szCs w:val="28"/>
          <w:lang w:val="en-US" w:eastAsia="zh-CN"/>
        </w:rPr>
        <w:t>8万吨植脂末。</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项目投资：</w:t>
      </w:r>
      <w:r>
        <w:rPr>
          <w:rFonts w:hint="default" w:ascii="Times New Roman" w:hAnsi="Times New Roman" w:eastAsia="宋体" w:cs="Times New Roman"/>
          <w:color w:val="000000"/>
          <w:sz w:val="24"/>
          <w:szCs w:val="28"/>
          <w:lang w:val="en-US" w:eastAsia="zh-CN"/>
        </w:rPr>
        <w:t>项目总投资2000万元，环保投资200万元</w:t>
      </w:r>
      <w:r>
        <w:rPr>
          <w:rFonts w:hint="default" w:ascii="Times New Roman" w:hAnsi="Times New Roman" w:eastAsia="宋体" w:cs="Times New Roman"/>
          <w:color w:val="000000"/>
          <w:sz w:val="24"/>
          <w:szCs w:val="28"/>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lang w:val="en-US" w:eastAsia="zh-CN"/>
        </w:rPr>
        <w:t>竣工投产时间：2023年</w:t>
      </w:r>
      <w:r>
        <w:rPr>
          <w:rFonts w:hint="eastAsia" w:ascii="Times New Roman" w:hAnsi="Times New Roman" w:eastAsia="宋体" w:cs="Times New Roman"/>
          <w:color w:val="000000"/>
          <w:sz w:val="24"/>
          <w:szCs w:val="28"/>
          <w:lang w:val="en-US" w:eastAsia="zh-CN"/>
        </w:rPr>
        <w:t>03</w:t>
      </w:r>
      <w:r>
        <w:rPr>
          <w:rFonts w:hint="default" w:ascii="Times New Roman" w:hAnsi="Times New Roman" w:eastAsia="宋体" w:cs="Times New Roman"/>
          <w:color w:val="000000"/>
          <w:sz w:val="24"/>
          <w:szCs w:val="28"/>
          <w:lang w:val="en-US" w:eastAsia="zh-CN"/>
        </w:rPr>
        <w:t>月</w:t>
      </w:r>
    </w:p>
    <w:p>
      <w:pPr>
        <w:spacing w:line="360" w:lineRule="auto"/>
        <w:ind w:firstLine="480" w:firstLineChars="200"/>
        <w:jc w:val="left"/>
        <w:rPr>
          <w:rFonts w:hint="default" w:ascii="Times New Roman" w:hAnsi="Times New Roman" w:eastAsia="宋体" w:cs="Times New Roman"/>
          <w:color w:val="000000" w:themeColor="text1"/>
          <w:sz w:val="24"/>
          <w:szCs w:val="28"/>
          <w:lang w:val="en-US" w:eastAsia="zh-CN"/>
          <w14:textFill>
            <w14:solidFill>
              <w14:schemeClr w14:val="tx1"/>
            </w14:solidFill>
          </w14:textFill>
        </w:rPr>
      </w:pPr>
      <w:r>
        <w:rPr>
          <w:rFonts w:hint="default" w:ascii="Times New Roman" w:hAnsi="Times New Roman" w:eastAsia="宋体" w:cs="Times New Roman"/>
          <w:color w:val="000000" w:themeColor="text1"/>
          <w:sz w:val="24"/>
          <w:szCs w:val="28"/>
          <w:lang w:val="en-US" w:eastAsia="zh-CN"/>
          <w14:textFill>
            <w14:solidFill>
              <w14:schemeClr w14:val="tx1"/>
            </w14:solidFill>
          </w14:textFill>
        </w:rPr>
        <w:t>环评情况：</w:t>
      </w:r>
      <w:r>
        <w:rPr>
          <w:rFonts w:hint="default" w:ascii="Times New Roman" w:hAnsi="Times New Roman" w:eastAsia="宋体" w:cs="Times New Roman"/>
          <w:sz w:val="24"/>
          <w:lang w:val="en-US" w:eastAsia="zh-CN"/>
        </w:rPr>
        <w:t>2011年3月菏泽大树生物工程科技有限公司委托菏泽市环境保护科学研究所编写了《关于菏泽大树生物工程科技有限公司10万吨/年植脂末项目（一期）环境影响报告表》，2011年4月12日取得菏泽市环境保护局《关于菏泽大树生物工程科技有限公司10万吨/年植脂末项目（一期）》环境影响报告表的批复菏环报告表菏环报告表【2011】66号（批复文件见附件）。批复中项目供热使用3吨燃煤蒸汽锅炉，根据市场发展需要改新上20吨锅炉，2012年6月15日获得菏泽市环境保护局牡丹区分局《关于菏泽大树生物工程科技有限公司“新上20t/h蒸汽锅炉一台项目”环境影响报告表审批意见》菏环牡审【2012】36号（文件见附件7），2014年3月5日菏泽市环境保护局对菏泽大树生物工程科技有限公司10万吨/年植脂末项目（一期）进行验收并通过验收（验收文件号为菏环牡验【2014】06号），</w:t>
      </w:r>
      <w:r>
        <w:rPr>
          <w:rFonts w:hint="default" w:ascii="Times New Roman" w:hAnsi="Times New Roman" w:eastAsia="宋体" w:cs="Times New Roman"/>
          <w:kern w:val="0"/>
          <w:sz w:val="24"/>
          <w:szCs w:val="20"/>
          <w:lang w:val="en-US" w:eastAsia="zh-CN" w:bidi="ar-SA"/>
        </w:rPr>
        <w:t>2016年</w:t>
      </w:r>
      <w:r>
        <w:rPr>
          <w:rFonts w:hint="default" w:ascii="Times New Roman" w:hAnsi="Times New Roman" w:eastAsia="宋体" w:cs="Times New Roman"/>
          <w:sz w:val="24"/>
          <w:lang w:val="en-US" w:eastAsia="zh-CN"/>
        </w:rPr>
        <w:t>山东大树达孚特膳食品有限公司对本项目的20吨燃煤蒸汽锅炉进行淘汰，</w:t>
      </w:r>
      <w:r>
        <w:rPr>
          <w:rFonts w:hint="default" w:ascii="Times New Roman" w:hAnsi="Times New Roman" w:eastAsia="宋体" w:cs="Times New Roman"/>
          <w:kern w:val="2"/>
          <w:sz w:val="24"/>
          <w:szCs w:val="24"/>
          <w:u w:val="none"/>
          <w:lang w:val="en-US" w:eastAsia="zh-CN" w:bidi="ar-SA"/>
        </w:rPr>
        <w:t>购置菏泽民生热力有限公司热蒸汽供热，由于产品质量升级对热能的需要量变大，并且菏泽民生热力有限公司蒸汽供热压力不稳定，</w:t>
      </w:r>
      <w:r>
        <w:rPr>
          <w:rFonts w:hint="default" w:ascii="Times New Roman" w:hAnsi="Times New Roman" w:eastAsia="宋体" w:cs="Times New Roman"/>
          <w:color w:val="000000"/>
          <w:sz w:val="24"/>
          <w:szCs w:val="28"/>
          <w:lang w:val="en-US" w:eastAsia="zh-CN"/>
        </w:rPr>
        <w:t>山东大树达孚特膳食品有限公司对</w:t>
      </w:r>
      <w:r>
        <w:rPr>
          <w:rFonts w:hint="default" w:ascii="Times New Roman" w:hAnsi="Times New Roman" w:eastAsia="宋体" w:cs="Times New Roman"/>
          <w:color w:val="000000"/>
          <w:sz w:val="24"/>
          <w:szCs w:val="28"/>
          <w:lang w:eastAsia="zh-CN"/>
        </w:rPr>
        <w:t>供热方式</w:t>
      </w:r>
      <w:r>
        <w:rPr>
          <w:rFonts w:hint="default" w:ascii="Times New Roman" w:hAnsi="Times New Roman" w:eastAsia="宋体" w:cs="Times New Roman"/>
          <w:color w:val="000000"/>
          <w:sz w:val="24"/>
          <w:szCs w:val="28"/>
          <w:lang w:val="en-US" w:eastAsia="zh-CN"/>
        </w:rPr>
        <w:t>进行了技改，山东大树达孚特膳食品有限公司委托山东国润环境科技有限公司编制完成了《山东大树达孚特膳食品有限公司供热方式技改项目环境影响报告表》，2023年9月14日取得菏泽市鲁西新区行政审批服务局《关于山东大树达孚特膳食品有限公司供热方式技改项目环境影响报告表的批复》菏新行审环【2023】20号，目前企业已</w:t>
      </w:r>
      <w:r>
        <w:rPr>
          <w:rFonts w:hint="eastAsia" w:ascii="Times New Roman" w:hAnsi="Times New Roman" w:eastAsia="宋体" w:cs="Times New Roman"/>
          <w:color w:val="000000"/>
          <w:sz w:val="24"/>
          <w:szCs w:val="28"/>
          <w:lang w:val="en-US" w:eastAsia="zh-CN"/>
        </w:rPr>
        <w:t>进行</w:t>
      </w:r>
      <w:r>
        <w:rPr>
          <w:rFonts w:hint="default" w:ascii="Times New Roman" w:hAnsi="Times New Roman" w:eastAsia="宋体" w:cs="Times New Roman"/>
          <w:color w:val="000000"/>
          <w:sz w:val="24"/>
          <w:szCs w:val="28"/>
          <w:lang w:val="en-US" w:eastAsia="zh-CN"/>
        </w:rPr>
        <w:t>排污许可</w:t>
      </w:r>
      <w:r>
        <w:rPr>
          <w:rFonts w:hint="eastAsia" w:ascii="Times New Roman" w:hAnsi="Times New Roman" w:eastAsia="宋体" w:cs="Times New Roman"/>
          <w:color w:val="000000"/>
          <w:sz w:val="24"/>
          <w:szCs w:val="28"/>
          <w:lang w:val="en-US" w:eastAsia="zh-CN"/>
        </w:rPr>
        <w:t>证登记</w:t>
      </w:r>
      <w:r>
        <w:rPr>
          <w:rFonts w:hint="default" w:ascii="Times New Roman" w:hAnsi="Times New Roman" w:eastAsia="宋体" w:cs="Times New Roman"/>
          <w:color w:val="000000"/>
          <w:sz w:val="24"/>
          <w:szCs w:val="28"/>
          <w:lang w:val="en-US" w:eastAsia="zh-CN"/>
        </w:rPr>
        <w:t>，排污许可证编号91371700MA3CM82H7Q001X。</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lang w:val="en-US" w:eastAsia="zh-CN"/>
        </w:rPr>
        <w:t>山东大树达孚特膳食品有限公司供热方式技改项目</w:t>
      </w:r>
      <w:r>
        <w:rPr>
          <w:rFonts w:hint="eastAsia" w:ascii="Times New Roman" w:hAnsi="Times New Roman" w:eastAsia="宋体" w:cs="Times New Roman"/>
          <w:color w:val="000000"/>
          <w:sz w:val="24"/>
          <w:szCs w:val="28"/>
          <w:lang w:val="en-US" w:eastAsia="zh-CN"/>
        </w:rPr>
        <w:t>，2024年03月01日建设完成竣工，并在</w:t>
      </w:r>
      <w:r>
        <w:rPr>
          <w:rFonts w:hint="default" w:ascii="Times New Roman" w:hAnsi="Times New Roman" w:eastAsia="宋体" w:cs="Times New Roman"/>
          <w:color w:val="000000"/>
          <w:sz w:val="24"/>
          <w:szCs w:val="28"/>
          <w:lang w:val="en-US" w:eastAsia="zh-CN"/>
        </w:rPr>
        <w:t>山东大树达孚特膳食品有限公司</w:t>
      </w:r>
      <w:r>
        <w:rPr>
          <w:rFonts w:hint="eastAsia" w:ascii="Times New Roman" w:hAnsi="Times New Roman" w:eastAsia="宋体" w:cs="Times New Roman"/>
          <w:color w:val="000000"/>
          <w:sz w:val="24"/>
          <w:szCs w:val="28"/>
          <w:lang w:val="en-US" w:eastAsia="zh-CN"/>
        </w:rPr>
        <w:t>官方网站进行了“山东大树达孚特膳食品有限公司供热方式技改项目环保设施竣工公示”。</w:t>
      </w:r>
      <w:r>
        <w:rPr>
          <w:rFonts w:hint="default" w:ascii="Times New Roman" w:hAnsi="Times New Roman" w:eastAsia="宋体" w:cs="Times New Roman"/>
          <w:color w:val="000000"/>
          <w:sz w:val="24"/>
          <w:szCs w:val="28"/>
        </w:rPr>
        <w:t>受</w:t>
      </w:r>
      <w:r>
        <w:rPr>
          <w:rFonts w:hint="default" w:ascii="Times New Roman" w:hAnsi="Times New Roman" w:eastAsia="宋体" w:cs="Times New Roman"/>
          <w:color w:val="000000"/>
          <w:sz w:val="24"/>
          <w:szCs w:val="28"/>
          <w:lang w:eastAsia="zh-CN"/>
        </w:rPr>
        <w:t>山东大树达孚特膳食品有限公司</w:t>
      </w:r>
      <w:r>
        <w:rPr>
          <w:rFonts w:hint="default" w:ascii="Times New Roman" w:hAnsi="Times New Roman" w:eastAsia="宋体" w:cs="Times New Roman"/>
          <w:color w:val="000000" w:themeColor="text1"/>
          <w:sz w:val="24"/>
          <w:szCs w:val="28"/>
          <w14:textFill>
            <w14:solidFill>
              <w14:schemeClr w14:val="tx1"/>
            </w14:solidFill>
          </w14:textFill>
        </w:rPr>
        <w:t>的委托</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山东汇成检测科技</w:t>
      </w:r>
      <w:r>
        <w:rPr>
          <w:rFonts w:hint="default" w:ascii="Times New Roman" w:hAnsi="Times New Roman" w:eastAsia="宋体" w:cs="Times New Roman"/>
          <w:color w:val="000000" w:themeColor="text1"/>
          <w:sz w:val="24"/>
          <w:szCs w:val="28"/>
          <w:lang w:eastAsia="zh-CN"/>
          <w14:textFill>
            <w14:solidFill>
              <w14:schemeClr w14:val="tx1"/>
            </w14:solidFill>
          </w14:textFill>
        </w:rPr>
        <w:t>有限公司</w:t>
      </w:r>
      <w:r>
        <w:rPr>
          <w:rFonts w:hint="default" w:ascii="Times New Roman" w:hAnsi="Times New Roman" w:eastAsia="宋体" w:cs="Times New Roman"/>
          <w:color w:val="000000"/>
          <w:sz w:val="24"/>
          <w:szCs w:val="28"/>
          <w:lang w:eastAsia="zh-CN"/>
        </w:rPr>
        <w:t>承担该</w:t>
      </w:r>
      <w:r>
        <w:rPr>
          <w:rFonts w:hint="default" w:ascii="Times New Roman" w:hAnsi="Times New Roman" w:eastAsia="宋体" w:cs="Times New Roman"/>
          <w:color w:val="000000"/>
          <w:sz w:val="24"/>
          <w:szCs w:val="28"/>
        </w:rPr>
        <w:t>项目的竣工环保验收工作</w:t>
      </w:r>
      <w:r>
        <w:rPr>
          <w:rFonts w:hint="eastAsia" w:ascii="Times New Roman" w:hAnsi="Times New Roman" w:eastAsia="宋体" w:cs="Times New Roman"/>
          <w:color w:val="000000"/>
          <w:sz w:val="24"/>
          <w:szCs w:val="28"/>
          <w:lang w:eastAsia="zh-CN"/>
        </w:rPr>
        <w:t>，</w:t>
      </w:r>
      <w:r>
        <w:rPr>
          <w:rFonts w:hint="eastAsia" w:ascii="Times New Roman" w:hAnsi="Times New Roman" w:eastAsia="宋体" w:cs="Times New Roman"/>
          <w:color w:val="000000"/>
          <w:sz w:val="24"/>
          <w:szCs w:val="28"/>
          <w:lang w:val="en-US" w:eastAsia="zh-CN"/>
        </w:rPr>
        <w:t>2024年03月05日在</w:t>
      </w:r>
      <w:r>
        <w:rPr>
          <w:rFonts w:hint="default" w:ascii="Times New Roman" w:hAnsi="Times New Roman" w:eastAsia="宋体" w:cs="Times New Roman"/>
          <w:color w:val="000000"/>
          <w:sz w:val="24"/>
          <w:szCs w:val="28"/>
          <w:lang w:val="en-US" w:eastAsia="zh-CN"/>
        </w:rPr>
        <w:t>山东大树达孚特膳食品有限公司</w:t>
      </w:r>
      <w:r>
        <w:rPr>
          <w:rFonts w:hint="eastAsia" w:ascii="Times New Roman" w:hAnsi="Times New Roman" w:eastAsia="宋体" w:cs="Times New Roman"/>
          <w:color w:val="000000"/>
          <w:sz w:val="24"/>
          <w:szCs w:val="28"/>
          <w:lang w:val="en-US" w:eastAsia="zh-CN"/>
        </w:rPr>
        <w:t>官方网站进行了“山东大树达孚特膳食品有限公司供热方式技改项目环保设施调试公示”</w:t>
      </w:r>
      <w:r>
        <w:rPr>
          <w:rFonts w:hint="default" w:ascii="Times New Roman" w:hAnsi="Times New Roman" w:eastAsia="宋体" w:cs="Times New Roman"/>
          <w:color w:val="000000"/>
          <w:sz w:val="24"/>
          <w:szCs w:val="28"/>
        </w:rPr>
        <w:t>。根据国家有关法律法规的要</w:t>
      </w:r>
      <w:r>
        <w:rPr>
          <w:rFonts w:hint="default" w:ascii="Times New Roman" w:hAnsi="Times New Roman" w:eastAsia="宋体" w:cs="Times New Roman"/>
          <w:color w:val="000000" w:themeColor="text1"/>
          <w:sz w:val="24"/>
          <w:szCs w:val="28"/>
          <w14:textFill>
            <w14:solidFill>
              <w14:schemeClr w14:val="tx1"/>
            </w14:solidFill>
          </w14:textFill>
        </w:rPr>
        <w:t>求，20</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8"/>
          <w14:textFill>
            <w14:solidFill>
              <w14:schemeClr w14:val="tx1"/>
            </w14:solidFill>
          </w14:textFill>
        </w:rPr>
        <w:t>年</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03</w:t>
      </w:r>
      <w:r>
        <w:rPr>
          <w:rFonts w:hint="default" w:ascii="Times New Roman" w:hAnsi="Times New Roman" w:eastAsia="宋体" w:cs="Times New Roman"/>
          <w:color w:val="000000" w:themeColor="text1"/>
          <w:sz w:val="24"/>
          <w:szCs w:val="28"/>
          <w14:textFill>
            <w14:solidFill>
              <w14:schemeClr w14:val="tx1"/>
            </w14:solidFill>
          </w14:textFill>
        </w:rPr>
        <w:t>月</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06</w:t>
      </w:r>
      <w:r>
        <w:rPr>
          <w:rFonts w:hint="default" w:ascii="Times New Roman" w:hAnsi="Times New Roman" w:eastAsia="宋体" w:cs="Times New Roman"/>
          <w:color w:val="000000" w:themeColor="text1"/>
          <w:sz w:val="24"/>
          <w:szCs w:val="28"/>
          <w14:textFill>
            <w14:solidFill>
              <w14:schemeClr w14:val="tx1"/>
            </w14:solidFill>
          </w14:textFill>
        </w:rPr>
        <w:t>日，</w:t>
      </w:r>
      <w:r>
        <w:rPr>
          <w:rFonts w:hint="default" w:ascii="Times New Roman" w:hAnsi="Times New Roman" w:eastAsia="宋体" w:cs="Times New Roman"/>
          <w:color w:val="000000" w:themeColor="text1"/>
          <w:sz w:val="24"/>
          <w:szCs w:val="28"/>
          <w:lang w:eastAsia="zh-CN"/>
          <w14:textFill>
            <w14:solidFill>
              <w14:schemeClr w14:val="tx1"/>
            </w14:solidFill>
          </w14:textFill>
        </w:rPr>
        <w:t>山东汇成检测科技有限</w:t>
      </w:r>
      <w:r>
        <w:rPr>
          <w:rFonts w:hint="default" w:ascii="Times New Roman" w:hAnsi="Times New Roman" w:eastAsia="宋体" w:cs="Times New Roman"/>
          <w:color w:val="000000"/>
          <w:sz w:val="24"/>
          <w:szCs w:val="28"/>
          <w:lang w:eastAsia="zh-CN"/>
        </w:rPr>
        <w:t>公司</w:t>
      </w:r>
      <w:r>
        <w:rPr>
          <w:rFonts w:hint="default" w:ascii="Times New Roman" w:hAnsi="Times New Roman" w:eastAsia="宋体" w:cs="Times New Roman"/>
          <w:color w:val="000000"/>
          <w:sz w:val="24"/>
          <w:szCs w:val="28"/>
        </w:rPr>
        <w:t>安排专业技术人员对项目区域进行了现场勘察和资料收集，查阅有关文件和技术资料，查看污染物治理及排放、环保措施的落实情况，在此基础上编制</w:t>
      </w:r>
      <w:r>
        <w:rPr>
          <w:rFonts w:hint="default" w:ascii="Times New Roman" w:hAnsi="Times New Roman" w:eastAsia="宋体" w:cs="Times New Roman"/>
          <w:color w:val="000000"/>
          <w:sz w:val="24"/>
          <w:szCs w:val="28"/>
          <w:lang w:eastAsia="zh-CN"/>
        </w:rPr>
        <w:t>《山东大树达孚特膳食品有限公司</w:t>
      </w:r>
      <w:r>
        <w:rPr>
          <w:rFonts w:hint="default" w:ascii="Times New Roman" w:hAnsi="Times New Roman" w:eastAsia="宋体" w:cs="Times New Roman"/>
          <w:color w:val="000000"/>
          <w:sz w:val="24"/>
          <w:szCs w:val="28"/>
          <w:lang w:val="en-US" w:eastAsia="zh-CN"/>
        </w:rPr>
        <w:t>供热技改项目</w:t>
      </w:r>
      <w:r>
        <w:rPr>
          <w:rFonts w:hint="default" w:ascii="Times New Roman" w:hAnsi="Times New Roman" w:eastAsia="宋体" w:cs="Times New Roman"/>
          <w:color w:val="000000"/>
          <w:sz w:val="24"/>
          <w:szCs w:val="28"/>
          <w:lang w:eastAsia="zh-CN"/>
        </w:rPr>
        <w:t>验收监测方案》，确定竣工验收监测内容。</w:t>
      </w:r>
      <w:r>
        <w:rPr>
          <w:rFonts w:hint="default" w:ascii="Times New Roman" w:hAnsi="Times New Roman" w:eastAsia="宋体" w:cs="Times New Roman"/>
          <w:color w:val="000000" w:themeColor="text1"/>
          <w:sz w:val="24"/>
          <w:szCs w:val="28"/>
          <w:lang w:eastAsia="zh-CN"/>
          <w14:textFill>
            <w14:solidFill>
              <w14:schemeClr w14:val="tx1"/>
            </w14:solidFill>
          </w14:textFill>
        </w:rPr>
        <w:t>并于202</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8"/>
          <w:lang w:eastAsia="zh-CN"/>
          <w14:textFill>
            <w14:solidFill>
              <w14:schemeClr w14:val="tx1"/>
            </w14:solidFill>
          </w14:textFill>
        </w:rPr>
        <w:t>年</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03</w:t>
      </w:r>
      <w:r>
        <w:rPr>
          <w:rFonts w:hint="default" w:ascii="Times New Roman" w:hAnsi="Times New Roman" w:eastAsia="宋体" w:cs="Times New Roman"/>
          <w:color w:val="000000" w:themeColor="text1"/>
          <w:sz w:val="24"/>
          <w:szCs w:val="28"/>
          <w:lang w:eastAsia="zh-CN"/>
          <w14:textFill>
            <w14:solidFill>
              <w14:schemeClr w14:val="tx1"/>
            </w14:solidFill>
          </w14:textFill>
        </w:rPr>
        <w:t>月</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8"/>
          <w:lang w:eastAsia="zh-CN"/>
          <w14:textFill>
            <w14:solidFill>
              <w14:schemeClr w14:val="tx1"/>
            </w14:solidFill>
          </w14:textFill>
        </w:rPr>
        <w:t>日和</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2024年03</w:t>
      </w:r>
      <w:r>
        <w:rPr>
          <w:rFonts w:hint="default" w:ascii="Times New Roman" w:hAnsi="Times New Roman" w:eastAsia="宋体" w:cs="Times New Roman"/>
          <w:color w:val="000000" w:themeColor="text1"/>
          <w:sz w:val="24"/>
          <w:szCs w:val="28"/>
          <w:lang w:eastAsia="zh-CN"/>
          <w14:textFill>
            <w14:solidFill>
              <w14:schemeClr w14:val="tx1"/>
            </w14:solidFill>
          </w14:textFill>
        </w:rPr>
        <w:t>月</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8"/>
          <w:lang w:eastAsia="zh-CN"/>
          <w14:textFill>
            <w14:solidFill>
              <w14:schemeClr w14:val="tx1"/>
            </w14:solidFill>
          </w14:textFill>
        </w:rPr>
        <w:t>日依据验收监测方案确定的内容进行现场监测且对照</w:t>
      </w:r>
      <w:r>
        <w:rPr>
          <w:rFonts w:hint="default" w:ascii="Times New Roman" w:hAnsi="Times New Roman" w:eastAsia="宋体" w:cs="Times New Roman"/>
          <w:color w:val="000000"/>
          <w:sz w:val="24"/>
          <w:szCs w:val="28"/>
          <w:lang w:eastAsia="zh-CN"/>
        </w:rPr>
        <w:t>该项目的环境影响报告表和环评批复进行了环境管理</w:t>
      </w:r>
      <w:r>
        <w:rPr>
          <w:rFonts w:hint="default" w:ascii="Times New Roman" w:hAnsi="Times New Roman" w:eastAsia="宋体" w:cs="Times New Roman"/>
          <w:color w:val="000000"/>
          <w:sz w:val="24"/>
          <w:szCs w:val="28"/>
        </w:rPr>
        <w:t>检查，</w:t>
      </w:r>
      <w:r>
        <w:rPr>
          <w:rFonts w:hint="default" w:ascii="Times New Roman" w:hAnsi="Times New Roman" w:eastAsia="宋体" w:cs="Times New Roman"/>
          <w:color w:val="000000"/>
          <w:sz w:val="24"/>
          <w:szCs w:val="28"/>
          <w:lang w:eastAsia="zh-CN"/>
        </w:rPr>
        <w:t>山东大树达孚特膳食品有限公司</w:t>
      </w:r>
      <w:r>
        <w:rPr>
          <w:rFonts w:hint="default" w:ascii="Times New Roman" w:hAnsi="Times New Roman" w:eastAsia="宋体" w:cs="Times New Roman"/>
          <w:color w:val="000000"/>
          <w:sz w:val="24"/>
          <w:szCs w:val="28"/>
        </w:rPr>
        <w:t>根据验收监测结果和现场检查情况编制了《</w:t>
      </w:r>
      <w:r>
        <w:rPr>
          <w:rFonts w:hint="default" w:ascii="Times New Roman" w:hAnsi="Times New Roman" w:eastAsia="宋体" w:cs="Times New Roman"/>
          <w:color w:val="000000"/>
          <w:sz w:val="24"/>
          <w:szCs w:val="28"/>
          <w:lang w:eastAsia="zh-CN"/>
        </w:rPr>
        <w:t>山东大树达孚特膳食品有限公司</w:t>
      </w:r>
      <w:r>
        <w:rPr>
          <w:rFonts w:hint="eastAsia" w:ascii="Times New Roman" w:hAnsi="Times New Roman" w:eastAsia="宋体" w:cs="Times New Roman"/>
          <w:color w:val="000000"/>
          <w:sz w:val="24"/>
          <w:szCs w:val="28"/>
          <w:lang w:val="en-US" w:eastAsia="zh-CN"/>
        </w:rPr>
        <w:t>供热技改项目</w:t>
      </w:r>
      <w:r>
        <w:rPr>
          <w:rFonts w:hint="default" w:ascii="Times New Roman" w:hAnsi="Times New Roman" w:eastAsia="宋体" w:cs="Times New Roman"/>
          <w:color w:val="000000"/>
          <w:sz w:val="24"/>
          <w:szCs w:val="28"/>
        </w:rPr>
        <w:t>竣工环境保护验收报告》。</w:t>
      </w:r>
      <w:r>
        <w:rPr>
          <w:rFonts w:hint="default" w:ascii="Times New Roman" w:hAnsi="Times New Roman" w:eastAsia="宋体" w:cs="Times New Roman"/>
          <w:color w:val="0000FF"/>
          <w:sz w:val="24"/>
          <w:szCs w:val="28"/>
          <w:lang w:eastAsia="zh-CN"/>
        </w:rPr>
        <w:t>于202</w:t>
      </w:r>
      <w:r>
        <w:rPr>
          <w:rFonts w:hint="default" w:ascii="Times New Roman" w:hAnsi="Times New Roman" w:eastAsia="宋体" w:cs="Times New Roman"/>
          <w:color w:val="0000FF"/>
          <w:sz w:val="24"/>
          <w:szCs w:val="28"/>
          <w:lang w:val="en-US" w:eastAsia="zh-CN"/>
        </w:rPr>
        <w:t>4</w:t>
      </w:r>
      <w:r>
        <w:rPr>
          <w:rFonts w:hint="default" w:ascii="Times New Roman" w:hAnsi="Times New Roman" w:eastAsia="宋体" w:cs="Times New Roman"/>
          <w:color w:val="0000FF"/>
          <w:sz w:val="24"/>
          <w:szCs w:val="28"/>
          <w:lang w:eastAsia="zh-CN"/>
        </w:rPr>
        <w:t>年</w:t>
      </w:r>
      <w:r>
        <w:rPr>
          <w:rFonts w:hint="default" w:ascii="Times New Roman" w:hAnsi="Times New Roman" w:eastAsia="宋体" w:cs="Times New Roman"/>
          <w:color w:val="0000FF"/>
          <w:sz w:val="24"/>
          <w:szCs w:val="28"/>
          <w:lang w:val="en-US" w:eastAsia="zh-CN"/>
        </w:rPr>
        <w:t>03</w:t>
      </w:r>
      <w:r>
        <w:rPr>
          <w:rFonts w:hint="default" w:ascii="Times New Roman" w:hAnsi="Times New Roman" w:eastAsia="宋体" w:cs="Times New Roman"/>
          <w:color w:val="0000FF"/>
          <w:sz w:val="24"/>
          <w:szCs w:val="28"/>
          <w:lang w:eastAsia="zh-CN"/>
        </w:rPr>
        <w:t>月</w:t>
      </w:r>
      <w:r>
        <w:rPr>
          <w:rFonts w:hint="default" w:ascii="Times New Roman" w:hAnsi="Times New Roman" w:eastAsia="宋体" w:cs="Times New Roman"/>
          <w:color w:val="0000FF"/>
          <w:sz w:val="24"/>
          <w:szCs w:val="28"/>
          <w:lang w:val="en-US" w:eastAsia="zh-CN"/>
        </w:rPr>
        <w:t>2</w:t>
      </w:r>
      <w:r>
        <w:rPr>
          <w:rFonts w:hint="eastAsia" w:ascii="Times New Roman" w:hAnsi="Times New Roman" w:eastAsia="宋体" w:cs="Times New Roman"/>
          <w:color w:val="0000FF"/>
          <w:sz w:val="24"/>
          <w:szCs w:val="28"/>
          <w:lang w:val="en-US" w:eastAsia="zh-CN"/>
        </w:rPr>
        <w:t>4</w:t>
      </w:r>
      <w:r>
        <w:rPr>
          <w:rFonts w:hint="default" w:ascii="Times New Roman" w:hAnsi="Times New Roman" w:eastAsia="宋体" w:cs="Times New Roman"/>
          <w:color w:val="0000FF"/>
          <w:sz w:val="24"/>
          <w:szCs w:val="28"/>
          <w:lang w:eastAsia="zh-CN"/>
        </w:rPr>
        <w:t>日</w:t>
      </w:r>
      <w:r>
        <w:rPr>
          <w:rFonts w:hint="default" w:ascii="Times New Roman" w:hAnsi="Times New Roman" w:eastAsia="宋体" w:cs="Times New Roman"/>
          <w:color w:val="000000" w:themeColor="text1"/>
          <w:sz w:val="24"/>
          <w:szCs w:val="28"/>
          <w:lang w:eastAsia="zh-CN"/>
          <w14:textFill>
            <w14:solidFill>
              <w14:schemeClr w14:val="tx1"/>
            </w14:solidFill>
          </w14:textFill>
        </w:rPr>
        <w:t>，山东大树达孚特膳食品有限公司</w:t>
      </w:r>
      <w:r>
        <w:rPr>
          <w:rFonts w:hint="default" w:ascii="Times New Roman" w:hAnsi="Times New Roman" w:eastAsia="宋体" w:cs="Times New Roman"/>
          <w:color w:val="000000"/>
          <w:sz w:val="24"/>
          <w:szCs w:val="28"/>
        </w:rPr>
        <w:t>邀请专家共同组织成立验收工作组，对</w:t>
      </w:r>
      <w:r>
        <w:rPr>
          <w:rFonts w:hint="default" w:ascii="Times New Roman" w:hAnsi="Times New Roman" w:eastAsia="宋体" w:cs="Times New Roman"/>
          <w:color w:val="000000"/>
          <w:sz w:val="24"/>
          <w:szCs w:val="28"/>
          <w:lang w:eastAsia="zh-CN"/>
        </w:rPr>
        <w:t>“山东大树达孚特膳食品有限公司</w:t>
      </w:r>
      <w:r>
        <w:rPr>
          <w:rFonts w:hint="default" w:ascii="Times New Roman" w:hAnsi="Times New Roman" w:eastAsia="宋体" w:cs="Times New Roman"/>
          <w:color w:val="000000"/>
          <w:sz w:val="24"/>
          <w:szCs w:val="28"/>
          <w:lang w:val="en-US" w:eastAsia="zh-CN"/>
        </w:rPr>
        <w:t>供热方式技改项目</w:t>
      </w:r>
      <w:r>
        <w:rPr>
          <w:rFonts w:hint="default" w:ascii="Times New Roman" w:hAnsi="Times New Roman" w:eastAsia="宋体" w:cs="Times New Roman"/>
          <w:color w:val="000000"/>
          <w:sz w:val="24"/>
          <w:szCs w:val="28"/>
          <w:lang w:eastAsia="zh-CN"/>
        </w:rPr>
        <w:t>”</w:t>
      </w:r>
      <w:r>
        <w:rPr>
          <w:rFonts w:hint="default" w:ascii="Times New Roman" w:hAnsi="Times New Roman" w:eastAsia="宋体" w:cs="Times New Roman"/>
          <w:color w:val="000000"/>
          <w:sz w:val="24"/>
          <w:szCs w:val="28"/>
        </w:rPr>
        <w:t>进行竣工环境保护验收并同意通过。在报告的编制及完善过程中，参阅了大量的相关资料，同时，得到了环保行政主管部门众位领导和专家技术人员的大力支持，在此一并表示衷心的感谢！</w:t>
      </w:r>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2" w:name="_Toc19194"/>
      <w:r>
        <w:rPr>
          <w:rFonts w:hint="default" w:ascii="Times New Roman" w:hAnsi="Times New Roman" w:eastAsia="宋体" w:cs="Times New Roman"/>
          <w:b/>
          <w:sz w:val="28"/>
          <w:szCs w:val="32"/>
        </w:rPr>
        <w:t>1.2验收内容及目的</w:t>
      </w:r>
      <w:bookmarkEnd w:id="2"/>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1.2.1验收内容</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核查项目在设计、施工和试运营阶段对设计文件、环评报告、环评批复及环评变更报告中所提出的环保措施的落实情况。</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核查项目实际建设内容、实际生产能力、产品内容及原辅料的使用情况。</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核查项目各类污染物实际产生情况及采取的污染控制措施，分析各项污染控制措施实施的有效性；通过现场检查和实地监测，核查项目污染物达标排放情况及污染物排放总量的落实情况。</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核查项目环境风险防范措施和应急预案的制定和执行情况，核查环保管理制定和实施情况，相应的环保机构、人员和监测设备的配备情况。</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核查项目周边敏感保护目标分布及受影响情况；核查卫生防护距离内是否有新建环境敏感建筑物。</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1.2.2验收范围</w:t>
      </w:r>
    </w:p>
    <w:p>
      <w:pPr>
        <w:spacing w:line="360" w:lineRule="auto"/>
        <w:ind w:firstLine="480" w:firstLineChars="200"/>
        <w:rPr>
          <w:rFonts w:hint="default" w:ascii="Times New Roman" w:hAnsi="Times New Roman" w:eastAsia="宋体" w:cs="Times New Roman"/>
          <w:color w:val="000000"/>
          <w:sz w:val="24"/>
          <w:szCs w:val="28"/>
          <w:lang w:val="en-US"/>
        </w:rPr>
      </w:pPr>
      <w:r>
        <w:rPr>
          <w:rFonts w:hint="default" w:ascii="Times New Roman" w:hAnsi="Times New Roman" w:eastAsia="宋体" w:cs="Times New Roman"/>
          <w:color w:val="000000"/>
          <w:sz w:val="24"/>
          <w:szCs w:val="28"/>
        </w:rPr>
        <w:t>本次验收范围为</w:t>
      </w:r>
      <w:r>
        <w:rPr>
          <w:rFonts w:hint="default" w:ascii="Times New Roman" w:hAnsi="Times New Roman" w:eastAsia="宋体" w:cs="Times New Roman"/>
          <w:color w:val="000000"/>
          <w:sz w:val="24"/>
          <w:szCs w:val="28"/>
          <w:lang w:eastAsia="zh-CN"/>
        </w:rPr>
        <w:t>山东大树达孚特膳食品有限公司供热方式技改项目</w:t>
      </w:r>
      <w:r>
        <w:rPr>
          <w:rFonts w:hint="default" w:ascii="Times New Roman" w:hAnsi="Times New Roman" w:eastAsia="宋体" w:cs="Times New Roman"/>
          <w:color w:val="000000"/>
          <w:sz w:val="24"/>
          <w:szCs w:val="28"/>
        </w:rPr>
        <w:t>建设</w:t>
      </w:r>
      <w:r>
        <w:rPr>
          <w:rFonts w:hint="default" w:ascii="Times New Roman" w:hAnsi="Times New Roman" w:eastAsia="宋体" w:cs="Times New Roman"/>
          <w:color w:val="000000"/>
          <w:sz w:val="24"/>
          <w:szCs w:val="28"/>
          <w:lang w:eastAsia="zh-CN"/>
        </w:rPr>
        <w:t>的</w:t>
      </w:r>
      <w:r>
        <w:rPr>
          <w:rFonts w:hint="default" w:ascii="Times New Roman" w:hAnsi="Times New Roman" w:eastAsia="宋体" w:cs="Times New Roman"/>
          <w:color w:val="000000"/>
          <w:sz w:val="24"/>
          <w:szCs w:val="28"/>
          <w:lang w:val="en-US" w:eastAsia="zh-CN"/>
        </w:rPr>
        <w:t>1号植脂末生产线喷雾干燥工序天然气空气自燃加热燃烧器、2号植脂末生产线喷雾干燥工序天然气空气自燃加热燃烧器、3号植脂末生产线喷雾干燥工序天然气空气自燃加热燃烧器</w:t>
      </w:r>
      <w:r>
        <w:rPr>
          <w:rFonts w:hint="default" w:ascii="Times New Roman" w:hAnsi="Times New Roman" w:eastAsia="宋体" w:cs="Times New Roman"/>
          <w:sz w:val="24"/>
          <w:szCs w:val="24"/>
        </w:rPr>
        <w:t>等。</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1.2.3验收目的</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本次验收的主要目的是通过对项目污染物排放达标情况、环保设施运行情况、污染物治理效果、环境风险及环境管理调查，综合分析、评价得出结论，以验收报告的形式为建设项目竣工环境保护验收及验收后的日常监督管理提供技术依据。</w:t>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br w:type="page"/>
      </w:r>
    </w:p>
    <w:p>
      <w:pPr>
        <w:pStyle w:val="47"/>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3" w:name="_Toc9473"/>
      <w:r>
        <w:rPr>
          <w:rFonts w:hint="default" w:ascii="Times New Roman" w:hAnsi="Times New Roman" w:eastAsia="宋体" w:cs="Times New Roman"/>
          <w:b/>
          <w:sz w:val="32"/>
          <w:szCs w:val="32"/>
        </w:rPr>
        <w:t>2、验收依据</w:t>
      </w:r>
      <w:bookmarkEnd w:id="3"/>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4" w:name="_Toc29635"/>
      <w:bookmarkStart w:id="5" w:name="_Toc1285"/>
      <w:bookmarkStart w:id="6" w:name="_Toc502136283"/>
      <w:r>
        <w:rPr>
          <w:rFonts w:hint="default" w:ascii="Times New Roman" w:hAnsi="Times New Roman" w:eastAsia="宋体" w:cs="Times New Roman"/>
          <w:b/>
          <w:sz w:val="28"/>
          <w:szCs w:val="32"/>
        </w:rPr>
        <w:t>2.1</w:t>
      </w:r>
      <w:bookmarkEnd w:id="4"/>
      <w:bookmarkStart w:id="7" w:name="_Toc501815002"/>
      <w:bookmarkStart w:id="8" w:name="_Toc502061656"/>
      <w:r>
        <w:rPr>
          <w:rFonts w:hint="default" w:ascii="Times New Roman" w:hAnsi="Times New Roman" w:eastAsia="宋体" w:cs="Times New Roman"/>
          <w:b/>
          <w:sz w:val="28"/>
          <w:szCs w:val="32"/>
        </w:rPr>
        <w:t>法律</w:t>
      </w:r>
      <w:bookmarkEnd w:id="7"/>
      <w:bookmarkEnd w:id="8"/>
      <w:r>
        <w:rPr>
          <w:rFonts w:hint="default" w:ascii="Times New Roman" w:hAnsi="Times New Roman" w:eastAsia="宋体" w:cs="Times New Roman"/>
          <w:b/>
          <w:sz w:val="28"/>
          <w:szCs w:val="32"/>
        </w:rPr>
        <w:t>依据</w:t>
      </w:r>
      <w:bookmarkEnd w:id="5"/>
      <w:bookmarkEnd w:id="6"/>
    </w:p>
    <w:p>
      <w:pPr>
        <w:spacing w:line="360" w:lineRule="auto"/>
        <w:ind w:firstLine="480" w:firstLineChars="200"/>
        <w:rPr>
          <w:rFonts w:hint="default" w:ascii="Times New Roman" w:hAnsi="Times New Roman" w:eastAsia="宋体" w:cs="Times New Roman"/>
          <w:color w:val="000000"/>
          <w:sz w:val="24"/>
          <w:szCs w:val="28"/>
        </w:rPr>
      </w:pPr>
      <w:bookmarkStart w:id="9" w:name="_Toc502136284"/>
      <w:r>
        <w:rPr>
          <w:rFonts w:hint="default" w:ascii="Times New Roman" w:hAnsi="Times New Roman" w:eastAsia="宋体" w:cs="Times New Roman"/>
          <w:color w:val="000000"/>
          <w:sz w:val="24"/>
          <w:szCs w:val="28"/>
        </w:rPr>
        <w:t>1、《中华人民共和国环境保护法》，（2015年1月1日起施行）；</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2、《中华人民共和国环境影响评价法》，（2018年12月29日，修订）；</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 xml:space="preserve">3、《中华人民共和国水污染防治法》（2018 </w:t>
      </w:r>
      <w:r>
        <w:rPr>
          <w:rFonts w:hint="default" w:ascii="Times New Roman" w:hAnsi="Times New Roman" w:eastAsia="宋体" w:cs="Times New Roman"/>
          <w:color w:val="000000"/>
          <w:sz w:val="24"/>
          <w:szCs w:val="28"/>
          <w:lang w:val="en-US" w:eastAsia="zh-CN"/>
        </w:rPr>
        <w:t>年</w:t>
      </w:r>
      <w:r>
        <w:rPr>
          <w:rFonts w:hint="default" w:ascii="Times New Roman" w:hAnsi="Times New Roman" w:eastAsia="宋体" w:cs="Times New Roman"/>
          <w:color w:val="000000"/>
          <w:sz w:val="24"/>
          <w:szCs w:val="28"/>
        </w:rPr>
        <w:t>1月1日起施行）；</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4、《中华人民共和国大气污染防治法》，（2018年10月26日，修订）；</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5、《中华人民共和国环境噪声污染防治法》，（</w:t>
      </w:r>
      <w:r>
        <w:rPr>
          <w:rFonts w:hint="default" w:ascii="Times New Roman" w:hAnsi="Times New Roman" w:eastAsia="宋体" w:cs="Times New Roman"/>
          <w:color w:val="000000"/>
          <w:sz w:val="24"/>
          <w:szCs w:val="28"/>
          <w:lang w:val="en-US" w:eastAsia="zh-CN"/>
        </w:rPr>
        <w:t>2022年06月06日，实施</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6、《中华人民共和国固体废物污染环境防治法》，（2020年</w:t>
      </w:r>
      <w:r>
        <w:rPr>
          <w:rFonts w:hint="default" w:ascii="Times New Roman" w:hAnsi="Times New Roman" w:eastAsia="宋体" w:cs="Times New Roman"/>
          <w:color w:val="000000"/>
          <w:sz w:val="24"/>
          <w:szCs w:val="28"/>
          <w:lang w:val="en-US" w:eastAsia="zh-CN"/>
        </w:rPr>
        <w:t>09</w:t>
      </w:r>
      <w:r>
        <w:rPr>
          <w:rFonts w:hint="default" w:ascii="Times New Roman" w:hAnsi="Times New Roman" w:eastAsia="宋体" w:cs="Times New Roman"/>
          <w:color w:val="000000"/>
          <w:sz w:val="24"/>
          <w:szCs w:val="28"/>
        </w:rPr>
        <w:t>月</w:t>
      </w:r>
      <w:r>
        <w:rPr>
          <w:rFonts w:hint="default" w:ascii="Times New Roman" w:hAnsi="Times New Roman" w:eastAsia="宋体" w:cs="Times New Roman"/>
          <w:color w:val="000000"/>
          <w:sz w:val="24"/>
          <w:szCs w:val="28"/>
          <w:lang w:val="en-US" w:eastAsia="zh-CN"/>
        </w:rPr>
        <w:t>01</w:t>
      </w:r>
      <w:r>
        <w:rPr>
          <w:rFonts w:hint="default" w:ascii="Times New Roman" w:hAnsi="Times New Roman" w:eastAsia="宋体" w:cs="Times New Roman"/>
          <w:color w:val="000000"/>
          <w:sz w:val="24"/>
          <w:szCs w:val="28"/>
        </w:rPr>
        <w:t>日，</w:t>
      </w:r>
      <w:r>
        <w:rPr>
          <w:rFonts w:hint="default" w:ascii="Times New Roman" w:hAnsi="Times New Roman" w:eastAsia="宋体" w:cs="Times New Roman"/>
          <w:color w:val="000000"/>
          <w:sz w:val="24"/>
          <w:szCs w:val="28"/>
          <w:lang w:val="en-US" w:eastAsia="zh-CN"/>
        </w:rPr>
        <w:t>施行</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7、《建设项目环境保护管理条例》，（2017 年</w:t>
      </w:r>
      <w:r>
        <w:rPr>
          <w:rFonts w:hint="default" w:ascii="Times New Roman" w:hAnsi="Times New Roman" w:eastAsia="宋体" w:cs="Times New Roman"/>
          <w:color w:val="000000"/>
          <w:sz w:val="24"/>
          <w:szCs w:val="28"/>
          <w:lang w:val="en-US" w:eastAsia="zh-CN"/>
        </w:rPr>
        <w:t>07</w:t>
      </w:r>
      <w:r>
        <w:rPr>
          <w:rFonts w:hint="default" w:ascii="Times New Roman" w:hAnsi="Times New Roman" w:eastAsia="宋体" w:cs="Times New Roman"/>
          <w:color w:val="000000"/>
          <w:sz w:val="24"/>
          <w:szCs w:val="28"/>
        </w:rPr>
        <w:t>月</w:t>
      </w:r>
      <w:r>
        <w:rPr>
          <w:rFonts w:hint="default" w:ascii="Times New Roman" w:hAnsi="Times New Roman" w:eastAsia="宋体" w:cs="Times New Roman"/>
          <w:color w:val="000000"/>
          <w:sz w:val="24"/>
          <w:szCs w:val="28"/>
          <w:lang w:val="en-US" w:eastAsia="zh-CN"/>
        </w:rPr>
        <w:t>16</w:t>
      </w:r>
      <w:r>
        <w:rPr>
          <w:rFonts w:hint="default" w:ascii="Times New Roman" w:hAnsi="Times New Roman" w:eastAsia="宋体" w:cs="Times New Roman"/>
          <w:color w:val="000000"/>
          <w:sz w:val="24"/>
          <w:szCs w:val="28"/>
        </w:rPr>
        <w:t>日起施行）；</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8、《建设项目环境影响评价分类管理名录》（2021年版）；</w:t>
      </w:r>
    </w:p>
    <w:p>
      <w:pPr>
        <w:pStyle w:val="47"/>
        <w:spacing w:line="360" w:lineRule="auto"/>
        <w:ind w:firstLine="0" w:firstLineChars="0"/>
        <w:jc w:val="left"/>
        <w:outlineLvl w:val="1"/>
        <w:rPr>
          <w:rFonts w:hint="default" w:ascii="Times New Roman" w:hAnsi="Times New Roman" w:eastAsia="宋体" w:cs="Times New Roman"/>
          <w:color w:val="000000"/>
          <w:sz w:val="24"/>
          <w:szCs w:val="28"/>
        </w:rPr>
      </w:pPr>
      <w:bookmarkStart w:id="10" w:name="_Toc10659"/>
      <w:r>
        <w:rPr>
          <w:rFonts w:hint="default" w:ascii="Times New Roman" w:hAnsi="Times New Roman" w:eastAsia="宋体" w:cs="Times New Roman"/>
          <w:b/>
          <w:sz w:val="28"/>
          <w:szCs w:val="32"/>
        </w:rPr>
        <w:t>2.2 验收技术规范</w:t>
      </w:r>
      <w:bookmarkEnd w:id="10"/>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1、《环境影响评价技术导则 总纲》（HJ 2.1-2016）；</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2、《环境影响评价技术导则 大气环境》（HJ 2.2-2018）；</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3、《环境影响评价技术导则 地表水环境》（HJ 2.3-2018）；</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4、《环境影响评价技术导则 地下水环境》（HJ 610-2016）；</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5、《环境影响评价技术导则 声环境》（HJ 2.4-</w:t>
      </w:r>
      <w:r>
        <w:rPr>
          <w:rFonts w:hint="default" w:ascii="Times New Roman" w:hAnsi="Times New Roman" w:eastAsia="宋体" w:cs="Times New Roman"/>
          <w:color w:val="000000"/>
          <w:sz w:val="24"/>
          <w:szCs w:val="28"/>
          <w:lang w:val="en-US" w:eastAsia="zh-CN"/>
        </w:rPr>
        <w:t>2021</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6、《环境影响评价技术导则 生态影响》（HJ 19-20</w:t>
      </w:r>
      <w:r>
        <w:rPr>
          <w:rFonts w:hint="default" w:ascii="Times New Roman" w:hAnsi="Times New Roman" w:eastAsia="宋体" w:cs="Times New Roman"/>
          <w:color w:val="000000"/>
          <w:sz w:val="24"/>
          <w:szCs w:val="28"/>
          <w:lang w:val="en-US" w:eastAsia="zh-CN"/>
        </w:rPr>
        <w:t>22</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7、《环境空气质量标准》（GB3095-2012）；</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8、《声环境质量标准》（GB3096-2008）；</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9、《地下水质量标准》（GB/14848-2017）；</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10、《地表水环境质量标准》（GB3838-2002）；</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11、《工业企业厂界环境噪声排放标准》（GB12348-2008）；</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12、《一般工业固体废物贮存、处置场污染控制标准》（GB18599-20</w:t>
      </w:r>
      <w:r>
        <w:rPr>
          <w:rFonts w:hint="default" w:ascii="Times New Roman" w:hAnsi="Times New Roman" w:eastAsia="宋体" w:cs="Times New Roman"/>
          <w:color w:val="000000"/>
          <w:sz w:val="24"/>
          <w:szCs w:val="28"/>
          <w:lang w:val="en-US" w:eastAsia="zh-CN"/>
        </w:rPr>
        <w:t>20</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13、《危险废物贮存污染控制标准》(GB18597-20</w:t>
      </w:r>
      <w:r>
        <w:rPr>
          <w:rFonts w:hint="default" w:ascii="Times New Roman" w:hAnsi="Times New Roman" w:eastAsia="宋体" w:cs="Times New Roman"/>
          <w:color w:val="000000"/>
          <w:sz w:val="24"/>
          <w:szCs w:val="28"/>
          <w:lang w:val="en-US" w:eastAsia="zh-CN"/>
        </w:rPr>
        <w:t>23</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14、《生活垃圾填埋场污染控制标准》（GB16899-2008）；</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15、《关于规范建设单位自主开展建设项目竣工环境保护验收的通知（征求意见稿）》（环境保护部）；</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16、《建设项目竣工环境保护验收技术指南 污染影响类》（环境生态部）；</w:t>
      </w:r>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11" w:name="_Toc247"/>
      <w:r>
        <w:rPr>
          <w:rFonts w:hint="default" w:ascii="Times New Roman" w:hAnsi="Times New Roman" w:eastAsia="宋体" w:cs="Times New Roman"/>
          <w:b/>
          <w:sz w:val="28"/>
          <w:szCs w:val="32"/>
        </w:rPr>
        <w:t>2.2其他法规、条例</w:t>
      </w:r>
      <w:bookmarkEnd w:id="9"/>
      <w:bookmarkEnd w:id="11"/>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1、《建设项目环境保护管理条例》（国务院令第682号）；</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2、《建设项目环境影响评价文件审批及建设单位自主开展环境保护设施验收工作指引（试行）》</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3、《建设项目竣工环境保护验收暂行办法》（国环规环评（2017）4号）；</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4、原国家环境保护总局环发［2000］38号《关于建设项目环境保护设施竣工验收监测管理有关问题的通知》；</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5、原山东省环境保护局鲁环发〔2007〕147号《关于印发《建设项目环评审批的具体操作程序》和《建设项目竣工环境保护验收的具体操作程序》的通知》；</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6、山东省环境保护厅鲁环发[2012]509转发《关于切实加强风险防范严格影响评价管理》的通知；</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7、《建设项目竣工环境保护验收技术指南污染影响类》（生态环境部公告2018年第9号）；</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8、菏泽市环境保护局菏环发[2016]26号《关于严格环评审批和“三同时”验收加强国土资源执法监管建立共同责任机制的通知》（2016.05.30）；</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rPr>
        <w:t>9、</w:t>
      </w:r>
      <w:r>
        <w:rPr>
          <w:rFonts w:hint="default" w:ascii="Times New Roman" w:hAnsi="Times New Roman" w:eastAsia="宋体" w:cs="Times New Roman"/>
          <w:color w:val="000000"/>
          <w:sz w:val="24"/>
          <w:szCs w:val="28"/>
          <w:lang w:val="en-US" w:eastAsia="zh-CN"/>
        </w:rPr>
        <w:t>生态环境部办公厅关于印发《污染影响类建设项目重大变动清单（试行）》的通知；</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lang w:val="en-US" w:eastAsia="zh-CN"/>
        </w:rPr>
        <w:t>10、</w:t>
      </w:r>
      <w:r>
        <w:rPr>
          <w:rFonts w:hint="default" w:ascii="Times New Roman" w:hAnsi="Times New Roman" w:eastAsia="宋体" w:cs="Times New Roman"/>
          <w:color w:val="000000"/>
          <w:sz w:val="24"/>
          <w:szCs w:val="28"/>
        </w:rPr>
        <w:t>环境保护部《关于印发环评管理中部分行业建设项目重大变动清单的通知》(环办〔2015〕52号)重大变更清单。</w:t>
      </w:r>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12" w:name="_Toc502136285"/>
      <w:bookmarkStart w:id="13" w:name="_Toc12767"/>
      <w:r>
        <w:rPr>
          <w:rFonts w:hint="default" w:ascii="Times New Roman" w:hAnsi="Times New Roman" w:eastAsia="宋体" w:cs="Times New Roman"/>
          <w:b/>
          <w:sz w:val="28"/>
          <w:szCs w:val="32"/>
        </w:rPr>
        <w:t>2.3技术文件依据</w:t>
      </w:r>
      <w:bookmarkEnd w:id="12"/>
      <w:bookmarkEnd w:id="13"/>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1、山东省环保厅鲁环函[2012]493号《山东省环境保护厅关于加强建设项目竣工环境保护验收等有关环境监管问题的通知》，2012年；</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2、山东省环保厅鲁环发[2013]4号《山东省环境保护厅关于进一步加强环境安全应急管理工作的通知》，2012年1月；</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3、山东省环保厅鲁环评函[2013]138号《山东省环境保护厅关于加强建设项目特征污染物监管和绿色生态屏障建设的通知》，2013年；</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w:t>
      </w:r>
      <w:r>
        <w:rPr>
          <w:rFonts w:hint="default" w:ascii="Times New Roman" w:hAnsi="Times New Roman" w:eastAsia="宋体" w:cs="Times New Roman"/>
          <w:color w:val="000000"/>
          <w:sz w:val="24"/>
          <w:szCs w:val="28"/>
          <w:lang w:eastAsia="zh-CN"/>
        </w:rPr>
        <w:t>山东大树达孚特膳食品有限公司供热方式技改项目</w:t>
      </w:r>
      <w:r>
        <w:rPr>
          <w:rFonts w:hint="default" w:ascii="Times New Roman" w:hAnsi="Times New Roman" w:eastAsia="宋体" w:cs="Times New Roman"/>
          <w:color w:val="000000"/>
          <w:sz w:val="24"/>
          <w:szCs w:val="28"/>
        </w:rPr>
        <w:t>环境影响报告表》（</w:t>
      </w:r>
      <w:r>
        <w:rPr>
          <w:rFonts w:hint="default" w:ascii="Times New Roman" w:hAnsi="Times New Roman" w:eastAsia="宋体" w:cs="Times New Roman"/>
          <w:color w:val="000000"/>
          <w:sz w:val="24"/>
          <w:szCs w:val="28"/>
          <w:lang w:val="en-US" w:eastAsia="zh-CN"/>
        </w:rPr>
        <w:t>山东国润环境科技有限公司编制</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themeColor="text1"/>
          <w:sz w:val="24"/>
          <w:szCs w:val="28"/>
          <w14:textFill>
            <w14:solidFill>
              <w14:schemeClr w14:val="tx1"/>
            </w14:solidFill>
          </w14:textFill>
        </w:rPr>
      </w:pPr>
      <w:r>
        <w:rPr>
          <w:rFonts w:hint="default" w:ascii="Times New Roman" w:hAnsi="Times New Roman" w:eastAsia="宋体" w:cs="Times New Roman"/>
          <w:color w:val="000000" w:themeColor="text1"/>
          <w:sz w:val="24"/>
          <w:szCs w:val="28"/>
          <w14:textFill>
            <w14:solidFill>
              <w14:schemeClr w14:val="tx1"/>
            </w14:solidFill>
          </w14:textFill>
        </w:rPr>
        <w:t>5、《关于</w:t>
      </w:r>
      <w:r>
        <w:rPr>
          <w:rFonts w:hint="default" w:ascii="Times New Roman" w:hAnsi="Times New Roman" w:eastAsia="宋体" w:cs="Times New Roman"/>
          <w:color w:val="000000" w:themeColor="text1"/>
          <w:sz w:val="24"/>
          <w:szCs w:val="28"/>
          <w:lang w:eastAsia="zh-CN"/>
          <w14:textFill>
            <w14:solidFill>
              <w14:schemeClr w14:val="tx1"/>
            </w14:solidFill>
          </w14:textFill>
        </w:rPr>
        <w:t>山东大树达孚特膳食品有限公司</w:t>
      </w:r>
      <w:r>
        <w:rPr>
          <w:rFonts w:hint="default" w:ascii="Times New Roman" w:hAnsi="Times New Roman" w:eastAsia="宋体" w:cs="Times New Roman"/>
          <w:color w:val="000000"/>
          <w:sz w:val="24"/>
          <w:szCs w:val="28"/>
          <w:lang w:eastAsia="zh-CN"/>
        </w:rPr>
        <w:t>供热方式技改项目</w:t>
      </w:r>
      <w:r>
        <w:rPr>
          <w:rFonts w:hint="default" w:ascii="Times New Roman" w:hAnsi="Times New Roman" w:eastAsia="宋体" w:cs="Times New Roman"/>
          <w:color w:val="000000" w:themeColor="text1"/>
          <w:sz w:val="24"/>
          <w:szCs w:val="28"/>
          <w14:textFill>
            <w14:solidFill>
              <w14:schemeClr w14:val="tx1"/>
            </w14:solidFill>
          </w14:textFill>
        </w:rPr>
        <w:t>环境影响报告表的批复》（</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菏新行审环【2023】20号</w:t>
      </w:r>
      <w:r>
        <w:rPr>
          <w:rFonts w:hint="default" w:ascii="Times New Roman" w:hAnsi="Times New Roman" w:eastAsia="宋体" w:cs="Times New Roman"/>
          <w:color w:val="000000"/>
          <w:sz w:val="24"/>
          <w:szCs w:val="28"/>
        </w:rPr>
        <w:t>，</w:t>
      </w:r>
      <w:r>
        <w:rPr>
          <w:rFonts w:hint="default" w:ascii="Times New Roman" w:hAnsi="Times New Roman" w:eastAsia="宋体" w:cs="Times New Roman"/>
          <w:color w:val="000000"/>
          <w:sz w:val="24"/>
          <w:szCs w:val="28"/>
          <w:lang w:val="en-US" w:eastAsia="zh-CN"/>
        </w:rPr>
        <w:t>2023</w:t>
      </w:r>
      <w:r>
        <w:rPr>
          <w:rFonts w:hint="default" w:ascii="Times New Roman" w:hAnsi="Times New Roman" w:eastAsia="宋体" w:cs="Times New Roman"/>
          <w:color w:val="000000"/>
          <w:sz w:val="24"/>
          <w:szCs w:val="28"/>
        </w:rPr>
        <w:t>年</w:t>
      </w:r>
      <w:r>
        <w:rPr>
          <w:rFonts w:hint="default" w:ascii="Times New Roman" w:hAnsi="Times New Roman" w:eastAsia="宋体" w:cs="Times New Roman"/>
          <w:color w:val="000000"/>
          <w:sz w:val="24"/>
          <w:szCs w:val="28"/>
          <w:lang w:val="en-US" w:eastAsia="zh-CN"/>
        </w:rPr>
        <w:t>9</w:t>
      </w:r>
      <w:r>
        <w:rPr>
          <w:rFonts w:hint="default" w:ascii="Times New Roman" w:hAnsi="Times New Roman" w:eastAsia="宋体" w:cs="Times New Roman"/>
          <w:color w:val="000000"/>
          <w:sz w:val="24"/>
          <w:szCs w:val="28"/>
        </w:rPr>
        <w:t>月</w:t>
      </w:r>
      <w:r>
        <w:rPr>
          <w:rFonts w:hint="default" w:ascii="Times New Roman" w:hAnsi="Times New Roman" w:eastAsia="宋体" w:cs="Times New Roman"/>
          <w:color w:val="000000"/>
          <w:sz w:val="24"/>
          <w:szCs w:val="28"/>
          <w:lang w:val="en-US" w:eastAsia="zh-CN"/>
        </w:rPr>
        <w:t>14  日</w:t>
      </w:r>
      <w:r>
        <w:rPr>
          <w:rFonts w:hint="default" w:ascii="Times New Roman" w:hAnsi="Times New Roman" w:eastAsia="宋体" w:cs="Times New Roman"/>
          <w:color w:val="000000" w:themeColor="text1"/>
          <w:sz w:val="24"/>
          <w:szCs w:val="28"/>
          <w14:textFill>
            <w14:solidFill>
              <w14:schemeClr w14:val="tx1"/>
            </w14:solidFill>
          </w14:textFill>
        </w:rPr>
        <w:t>）；</w:t>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6、《</w:t>
      </w:r>
      <w:r>
        <w:rPr>
          <w:rFonts w:hint="default" w:ascii="Times New Roman" w:hAnsi="Times New Roman" w:eastAsia="宋体" w:cs="Times New Roman"/>
          <w:sz w:val="24"/>
          <w:szCs w:val="28"/>
          <w:lang w:eastAsia="zh-CN"/>
        </w:rPr>
        <w:t>山东大树达孚特膳食品有限公司</w:t>
      </w:r>
      <w:r>
        <w:rPr>
          <w:rFonts w:hint="default" w:ascii="Times New Roman" w:hAnsi="Times New Roman" w:eastAsia="宋体" w:cs="Times New Roman"/>
          <w:sz w:val="24"/>
          <w:szCs w:val="28"/>
        </w:rPr>
        <w:t>环评项目验收监测方案》；</w:t>
      </w:r>
    </w:p>
    <w:p>
      <w:pPr>
        <w:spacing w:line="360" w:lineRule="auto"/>
        <w:ind w:firstLine="480" w:firstLineChars="200"/>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color w:val="000000"/>
          <w:sz w:val="24"/>
          <w:szCs w:val="28"/>
        </w:rPr>
        <w:t>7、《</w:t>
      </w:r>
      <w:r>
        <w:rPr>
          <w:rFonts w:hint="default" w:ascii="Times New Roman" w:hAnsi="Times New Roman" w:eastAsia="宋体" w:cs="Times New Roman"/>
          <w:color w:val="000000"/>
          <w:sz w:val="24"/>
          <w:szCs w:val="28"/>
          <w:lang w:eastAsia="zh-CN"/>
        </w:rPr>
        <w:t>山东大树达孚特膳食品有限公司</w:t>
      </w:r>
      <w:r>
        <w:rPr>
          <w:rFonts w:hint="default" w:ascii="Times New Roman" w:hAnsi="Times New Roman" w:eastAsia="宋体" w:cs="Times New Roman"/>
          <w:color w:val="000000"/>
          <w:sz w:val="24"/>
          <w:szCs w:val="28"/>
        </w:rPr>
        <w:t>检测报</w:t>
      </w:r>
      <w:r>
        <w:rPr>
          <w:rFonts w:hint="default" w:ascii="Times New Roman" w:hAnsi="Times New Roman" w:eastAsia="宋体" w:cs="Times New Roman"/>
          <w:color w:val="000000"/>
          <w:sz w:val="24"/>
          <w:szCs w:val="28"/>
          <w:lang w:eastAsia="zh-CN"/>
        </w:rPr>
        <w:t>告》（HC24030801</w:t>
      </w:r>
      <w:r>
        <w:rPr>
          <w:rFonts w:hint="default" w:ascii="Times New Roman" w:hAnsi="Times New Roman" w:eastAsia="宋体" w:cs="Times New Roman"/>
          <w:color w:val="000000"/>
          <w:sz w:val="24"/>
          <w:szCs w:val="28"/>
          <w:lang w:val="en-US" w:eastAsia="zh-CN"/>
        </w:rPr>
        <w:t>，山东汇成检测科技有限公司</w:t>
      </w:r>
      <w:r>
        <w:rPr>
          <w:rFonts w:hint="default" w:ascii="Times New Roman" w:hAnsi="Times New Roman" w:eastAsia="宋体" w:cs="Times New Roman"/>
          <w:color w:val="000000"/>
          <w:sz w:val="24"/>
          <w:szCs w:val="28"/>
          <w:lang w:eastAsia="zh-CN"/>
        </w:rPr>
        <w:t>）。</w:t>
      </w:r>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14" w:name="_Toc10028"/>
      <w:bookmarkStart w:id="15" w:name="_Toc502136286"/>
      <w:bookmarkStart w:id="16" w:name="_Toc502061658"/>
      <w:bookmarkStart w:id="17" w:name="_Toc501815004"/>
      <w:r>
        <w:rPr>
          <w:rFonts w:hint="default" w:ascii="Times New Roman" w:hAnsi="Times New Roman" w:eastAsia="宋体" w:cs="Times New Roman"/>
          <w:b/>
          <w:sz w:val="28"/>
          <w:szCs w:val="32"/>
        </w:rPr>
        <w:t>2.4验收监测评价标准</w:t>
      </w:r>
      <w:bookmarkEnd w:id="14"/>
      <w:bookmarkEnd w:id="15"/>
      <w:bookmarkEnd w:id="16"/>
      <w:bookmarkEnd w:id="17"/>
    </w:p>
    <w:p>
      <w:pPr>
        <w:numPr>
          <w:ilvl w:val="0"/>
          <w:numId w:val="2"/>
        </w:numPr>
        <w:spacing w:line="360" w:lineRule="auto"/>
        <w:ind w:firstLine="470" w:firstLineChars="196"/>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0"/>
        </w:rPr>
        <w:t>该项目</w:t>
      </w:r>
      <w:r>
        <w:rPr>
          <w:rFonts w:hint="default" w:ascii="Times New Roman" w:hAnsi="Times New Roman" w:eastAsia="宋体" w:cs="Times New Roman"/>
          <w:sz w:val="24"/>
          <w:szCs w:val="20"/>
          <w:lang w:val="en-US" w:eastAsia="zh-CN"/>
        </w:rPr>
        <w:t>排放的颗粒物、SO</w:t>
      </w:r>
      <w:r>
        <w:rPr>
          <w:rFonts w:hint="default" w:ascii="Times New Roman" w:hAnsi="Times New Roman" w:eastAsia="宋体" w:cs="Times New Roman"/>
          <w:sz w:val="24"/>
          <w:szCs w:val="20"/>
          <w:vertAlign w:val="subscript"/>
          <w:lang w:val="en-US" w:eastAsia="zh-CN"/>
        </w:rPr>
        <w:t>2</w:t>
      </w:r>
      <w:r>
        <w:rPr>
          <w:rFonts w:hint="default" w:ascii="Times New Roman" w:hAnsi="Times New Roman" w:eastAsia="宋体" w:cs="Times New Roman"/>
          <w:sz w:val="24"/>
          <w:szCs w:val="20"/>
          <w:lang w:val="en-US" w:eastAsia="zh-CN"/>
        </w:rPr>
        <w:t>、NO</w:t>
      </w:r>
      <w:r>
        <w:rPr>
          <w:rFonts w:hint="default" w:ascii="Times New Roman" w:hAnsi="Times New Roman" w:eastAsia="宋体" w:cs="Times New Roman"/>
          <w:sz w:val="24"/>
          <w:szCs w:val="20"/>
          <w:vertAlign w:val="subscript"/>
          <w:lang w:val="en-US" w:eastAsia="zh-CN"/>
        </w:rPr>
        <w:t>X</w:t>
      </w:r>
      <w:r>
        <w:rPr>
          <w:rFonts w:hint="default" w:ascii="Times New Roman" w:hAnsi="Times New Roman" w:eastAsia="宋体" w:cs="Times New Roman"/>
          <w:sz w:val="24"/>
          <w:szCs w:val="20"/>
          <w:vertAlign w:val="baseline"/>
          <w:lang w:val="en-US" w:eastAsia="zh-CN"/>
        </w:rPr>
        <w:t>排放须满足山东省《区域性大气污染物综合排放标准》（DB37/2376-2019）中表1重点控制区限值要求，排放速率须满足《大气污染物综合排放标准》（GB16297-1996）表2中二级标准要求。</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2、厂界噪声执行《工业企业厂界环境噪声排放标准》（GB12348-2008）</w:t>
      </w:r>
      <w:r>
        <w:rPr>
          <w:rFonts w:hint="default" w:ascii="Times New Roman" w:hAnsi="Times New Roman" w:eastAsia="宋体" w:cs="Times New Roman"/>
          <w:color w:val="000000"/>
          <w:sz w:val="24"/>
          <w:szCs w:val="28"/>
          <w:lang w:val="en-US" w:eastAsia="zh-CN"/>
        </w:rPr>
        <w:t>2</w:t>
      </w:r>
      <w:r>
        <w:rPr>
          <w:rFonts w:hint="default" w:ascii="Times New Roman" w:hAnsi="Times New Roman" w:eastAsia="宋体" w:cs="Times New Roman"/>
          <w:color w:val="000000"/>
          <w:sz w:val="24"/>
          <w:szCs w:val="28"/>
        </w:rPr>
        <w:t>类标准要求。</w:t>
      </w:r>
    </w:p>
    <w:p>
      <w:pPr>
        <w:numPr>
          <w:ilvl w:val="0"/>
          <w:numId w:val="0"/>
        </w:numPr>
        <w:spacing w:line="360" w:lineRule="auto"/>
        <w:ind w:firstLine="480" w:firstLineChars="200"/>
        <w:rPr>
          <w:rFonts w:hint="default" w:ascii="Times New Roman" w:hAnsi="Times New Roman" w:eastAsia="宋体" w:cs="Times New Roman"/>
          <w:sz w:val="24"/>
          <w:szCs w:val="20"/>
          <w:lang w:val="en-US" w:eastAsia="zh-CN"/>
        </w:rPr>
      </w:pPr>
      <w:r>
        <w:rPr>
          <w:rFonts w:hint="default" w:ascii="Times New Roman" w:hAnsi="Times New Roman" w:eastAsia="宋体" w:cs="Times New Roman"/>
          <w:sz w:val="24"/>
          <w:szCs w:val="20"/>
          <w:lang w:val="en-US" w:eastAsia="zh-CN"/>
        </w:rPr>
        <w:t>3、一般固体废物暂存应符合《中华人民共和国固体废物污染环境防治法》相关要求，采取防扬散、防流失、防渗漏或者其他防止污染环境的措施，不得擅自倾倒、堆放、丢失、遗撒；一般固体废物管理过程中还应执行《一般工业固体废物管理台账制定指南（试行）》（公告2021年第82号）要求。危险固体废物执行《危险废物贮存污染控制标准》（GB18597-2023）中的要求。</w:t>
      </w:r>
    </w:p>
    <w:p>
      <w:pPr>
        <w:widowControl/>
        <w:jc w:val="left"/>
        <w:rPr>
          <w:rFonts w:hint="default" w:ascii="Times New Roman" w:hAnsi="Times New Roman" w:eastAsia="宋体" w:cs="Times New Roman"/>
          <w:b/>
          <w:sz w:val="24"/>
          <w:szCs w:val="28"/>
        </w:rPr>
      </w:pPr>
      <w:r>
        <w:rPr>
          <w:rFonts w:hint="default" w:ascii="Times New Roman" w:hAnsi="Times New Roman" w:eastAsia="宋体" w:cs="Times New Roman"/>
          <w:b/>
          <w:sz w:val="24"/>
          <w:szCs w:val="28"/>
        </w:rPr>
        <w:br w:type="page"/>
      </w:r>
    </w:p>
    <w:p>
      <w:pPr>
        <w:pStyle w:val="47"/>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18" w:name="_Toc26917"/>
      <w:r>
        <w:rPr>
          <w:rFonts w:hint="default" w:ascii="Times New Roman" w:hAnsi="Times New Roman" w:eastAsia="宋体" w:cs="Times New Roman"/>
          <w:b/>
          <w:sz w:val="32"/>
          <w:szCs w:val="32"/>
        </w:rPr>
        <w:t>3、工程建设情况</w:t>
      </w:r>
      <w:bookmarkEnd w:id="18"/>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19" w:name="_Toc20429"/>
      <w:r>
        <w:rPr>
          <w:rFonts w:hint="default" w:ascii="Times New Roman" w:hAnsi="Times New Roman" w:eastAsia="宋体" w:cs="Times New Roman"/>
          <w:b/>
          <w:sz w:val="28"/>
          <w:szCs w:val="32"/>
        </w:rPr>
        <w:t>3.1地理位置及平面布置</w:t>
      </w:r>
      <w:bookmarkEnd w:id="19"/>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color w:val="000000"/>
          <w:sz w:val="24"/>
          <w:szCs w:val="28"/>
          <w:lang w:eastAsia="zh-CN"/>
        </w:rPr>
        <w:t>山东大树达孚特膳食品有限公司供热方式技改项目</w:t>
      </w:r>
      <w:r>
        <w:rPr>
          <w:rFonts w:hint="default" w:ascii="Times New Roman" w:hAnsi="Times New Roman" w:eastAsia="宋体" w:cs="Times New Roman"/>
          <w:color w:val="000000"/>
          <w:sz w:val="24"/>
          <w:szCs w:val="28"/>
        </w:rPr>
        <w:t>位于</w:t>
      </w:r>
      <w:r>
        <w:rPr>
          <w:rFonts w:hint="default" w:ascii="Times New Roman" w:hAnsi="Times New Roman" w:eastAsia="宋体" w:cs="Times New Roman"/>
          <w:color w:val="000000"/>
          <w:sz w:val="24"/>
          <w:szCs w:val="28"/>
          <w:lang w:val="en-US" w:eastAsia="zh-CN"/>
        </w:rPr>
        <w:t>菏泽市鲁西新区吕陵镇黄河路东段</w:t>
      </w:r>
      <w:r>
        <w:rPr>
          <w:rFonts w:hint="default" w:ascii="Times New Roman" w:hAnsi="Times New Roman" w:eastAsia="宋体" w:cs="Times New Roman"/>
          <w:color w:val="000000"/>
          <w:sz w:val="24"/>
          <w:szCs w:val="28"/>
          <w:lang w:eastAsia="zh-CN"/>
        </w:rPr>
        <w:t>山东大树达孚特膳食品有限公司</w:t>
      </w:r>
      <w:r>
        <w:rPr>
          <w:rFonts w:hint="default" w:ascii="Times New Roman" w:hAnsi="Times New Roman" w:eastAsia="宋体" w:cs="Times New Roman"/>
          <w:color w:val="000000"/>
          <w:sz w:val="24"/>
          <w:szCs w:val="28"/>
          <w:lang w:val="en-US" w:eastAsia="zh-CN"/>
        </w:rPr>
        <w:t>内</w:t>
      </w:r>
      <w:r>
        <w:rPr>
          <w:rFonts w:hint="default" w:ascii="Times New Roman" w:hAnsi="Times New Roman" w:eastAsia="宋体" w:cs="Times New Roman"/>
          <w:sz w:val="24"/>
          <w:szCs w:val="20"/>
        </w:rPr>
        <w:t>。</w:t>
      </w:r>
    </w:p>
    <w:p>
      <w:pPr>
        <w:adjustRightInd w:val="0"/>
        <w:snapToGrid w:val="0"/>
        <w:spacing w:line="360" w:lineRule="auto"/>
        <w:ind w:firstLine="480" w:firstLineChars="200"/>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color w:val="000000"/>
          <w:sz w:val="24"/>
          <w:szCs w:val="28"/>
        </w:rPr>
        <w:t>项目具体地理位置见图3-1，厂区平面布置见图3</w:t>
      </w:r>
      <w:r>
        <w:rPr>
          <w:rFonts w:hint="default" w:ascii="Times New Roman" w:hAnsi="Times New Roman" w:eastAsia="宋体" w:cs="Times New Roman"/>
          <w:color w:val="000000"/>
          <w:sz w:val="24"/>
          <w:szCs w:val="28"/>
          <w:lang w:val="en-US" w:eastAsia="zh-CN"/>
        </w:rPr>
        <w:t>-2</w:t>
      </w:r>
      <w:r>
        <w:rPr>
          <w:rFonts w:hint="default" w:ascii="Times New Roman" w:hAnsi="Times New Roman" w:eastAsia="宋体" w:cs="Times New Roman"/>
          <w:color w:val="000000"/>
          <w:sz w:val="24"/>
          <w:szCs w:val="28"/>
        </w:rPr>
        <w:t>。</w:t>
      </w:r>
    </w:p>
    <w:p>
      <w:pPr>
        <w:spacing w:line="360" w:lineRule="auto"/>
        <w:jc w:val="center"/>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lang w:eastAsia="zh-CN"/>
        </w:rPr>
        <w:drawing>
          <wp:anchor distT="0" distB="0" distL="114300" distR="114300" simplePos="0" relativeHeight="251687936" behindDoc="0" locked="0" layoutInCell="1" allowOverlap="1">
            <wp:simplePos x="0" y="0"/>
            <wp:positionH relativeFrom="column">
              <wp:posOffset>4738370</wp:posOffset>
            </wp:positionH>
            <wp:positionV relativeFrom="paragraph">
              <wp:posOffset>50165</wp:posOffset>
            </wp:positionV>
            <wp:extent cx="720725" cy="720725"/>
            <wp:effectExtent l="0" t="0" r="3175" b="3175"/>
            <wp:wrapNone/>
            <wp:docPr id="38" name="图片 38" descr="定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定陶"/>
                    <pic:cNvPicPr>
                      <a:picLocks noChangeAspect="1"/>
                    </pic:cNvPicPr>
                  </pic:nvPicPr>
                  <pic:blipFill>
                    <a:blip r:embed="rId15"/>
                    <a:stretch>
                      <a:fillRect/>
                    </a:stretch>
                  </pic:blipFill>
                  <pic:spPr>
                    <a:xfrm>
                      <a:off x="0" y="0"/>
                      <a:ext cx="720725" cy="720725"/>
                    </a:xfrm>
                    <a:prstGeom prst="rect">
                      <a:avLst/>
                    </a:prstGeom>
                  </pic:spPr>
                </pic:pic>
              </a:graphicData>
            </a:graphic>
          </wp:anchor>
        </w:drawing>
      </w:r>
      <w:r>
        <w:rPr>
          <w:rFonts w:hint="default" w:ascii="Times New Roman" w:hAnsi="Times New Roman" w:eastAsia="宋体" w:cs="Times New Roman"/>
          <w:sz w:val="21"/>
        </w:rPr>
        <mc:AlternateContent>
          <mc:Choice Requires="wps">
            <w:drawing>
              <wp:anchor distT="0" distB="0" distL="114300" distR="114300" simplePos="0" relativeHeight="251676672" behindDoc="0" locked="0" layoutInCell="1" allowOverlap="1">
                <wp:simplePos x="0" y="0"/>
                <wp:positionH relativeFrom="column">
                  <wp:posOffset>2959735</wp:posOffset>
                </wp:positionH>
                <wp:positionV relativeFrom="paragraph">
                  <wp:posOffset>941070</wp:posOffset>
                </wp:positionV>
                <wp:extent cx="1028065" cy="278765"/>
                <wp:effectExtent l="222885" t="6350" r="6350" b="514985"/>
                <wp:wrapNone/>
                <wp:docPr id="68" name="矩形标注 68"/>
                <wp:cNvGraphicFramePr/>
                <a:graphic xmlns:a="http://schemas.openxmlformats.org/drawingml/2006/main">
                  <a:graphicData uri="http://schemas.microsoft.com/office/word/2010/wordprocessingShape">
                    <wps:wsp>
                      <wps:cNvSpPr/>
                      <wps:spPr>
                        <a:xfrm>
                          <a:off x="4138930" y="3881755"/>
                          <a:ext cx="1028065" cy="278765"/>
                        </a:xfrm>
                        <a:prstGeom prst="wedgeRectCallout">
                          <a:avLst>
                            <a:gd name="adj1" fmla="val -68406"/>
                            <a:gd name="adj2" fmla="val 220711"/>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3.05pt;margin-top:74.1pt;height:21.95pt;width:80.95pt;z-index:251676672;v-text-anchor:middle;mso-width-relative:page;mso-height-relative:page;" filled="f" stroked="t" coordsize="21600,21600" o:gfxdata="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TrqAJtkA&#10;AAALAQAADwAAAAAAAAABACAAAAAiAAAAZHJzL2Rvd25yZXYueG1sUEsBAhQAFAAAAAgAh07iQAod&#10;aLDJAgAAawUAAA4AAAAAAAAAAQAgAAAAKAEAAGRycy9lMm9Eb2MueG1sUEsFBgAAAAAGAAYAWQEA&#10;AGMGAAAAAA==&#10;" adj="-3976,58474">
                <v:fill on="f" focussize="0,0"/>
                <v:stroke weight="1pt" color="#2E75B6 [24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项目所在位置</w:t>
                      </w:r>
                    </w:p>
                  </w:txbxContent>
                </v:textbox>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75648" behindDoc="0" locked="0" layoutInCell="1" allowOverlap="1">
                <wp:simplePos x="0" y="0"/>
                <wp:positionH relativeFrom="column">
                  <wp:posOffset>2729865</wp:posOffset>
                </wp:positionH>
                <wp:positionV relativeFrom="paragraph">
                  <wp:posOffset>1634490</wp:posOffset>
                </wp:positionV>
                <wp:extent cx="76200" cy="76200"/>
                <wp:effectExtent l="6350" t="6350" r="12700" b="12700"/>
                <wp:wrapNone/>
                <wp:docPr id="67" name="矩形 67"/>
                <wp:cNvGraphicFramePr/>
                <a:graphic xmlns:a="http://schemas.openxmlformats.org/drawingml/2006/main">
                  <a:graphicData uri="http://schemas.microsoft.com/office/word/2010/wordprocessingShape">
                    <wps:wsp>
                      <wps:cNvSpPr/>
                      <wps:spPr>
                        <a:xfrm>
                          <a:off x="3919220" y="4699635"/>
                          <a:ext cx="76200" cy="76200"/>
                        </a:xfrm>
                        <a:prstGeom prst="rect">
                          <a:avLst/>
                        </a:prstGeom>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4.95pt;margin-top:128.7pt;height:6pt;width:6pt;z-index:251675648;v-text-anchor:middle;mso-width-relative:page;mso-height-relative:page;" fillcolor="#5B9BD5 [3204]" filled="t" stroked="t" coordsize="21600,21600" o:gfxdata="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DfPYbXAAAACwEAAA8AAAAAAAAAAQAgAAAA&#10;IgAAAGRycy9kb3ducmV2LnhtbFBLAQIUABQAAAAIAIdO4kAXAIovfgIAAP8EAAAOAAAAAAAAAAEA&#10;IAAAACYBAABkcnMvZTJvRG9jLnhtbFBLBQYAAAAABgAGAFkBAAAWBgAAAAA=&#10;">
                <v:fill on="t" focussize="0,0"/>
                <v:stroke weight="1pt" color="#FF0000 [2404]" miterlimit="8" joinstyle="miter"/>
                <v:imagedata o:title=""/>
                <o:lock v:ext="edit" aspectratio="f"/>
              </v:rect>
            </w:pict>
          </mc:Fallback>
        </mc:AlternateContent>
      </w:r>
      <w:r>
        <w:rPr>
          <w:rFonts w:hint="default" w:ascii="Times New Roman" w:hAnsi="Times New Roman" w:eastAsia="宋体" w:cs="Times New Roman"/>
        </w:rPr>
        <w:drawing>
          <wp:inline distT="0" distB="0" distL="114300" distR="114300">
            <wp:extent cx="5457190" cy="4046855"/>
            <wp:effectExtent l="9525" t="9525" r="19685" b="2032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6"/>
                    <a:stretch>
                      <a:fillRect/>
                    </a:stretch>
                  </pic:blipFill>
                  <pic:spPr>
                    <a:xfrm>
                      <a:off x="0" y="0"/>
                      <a:ext cx="5457190" cy="4046855"/>
                    </a:xfrm>
                    <a:prstGeom prst="rect">
                      <a:avLst/>
                    </a:prstGeom>
                    <a:noFill/>
                    <a:ln>
                      <a:solidFill>
                        <a:schemeClr val="tx1"/>
                      </a:solidFill>
                    </a:ln>
                  </pic:spPr>
                </pic:pic>
              </a:graphicData>
            </a:graphic>
          </wp:inline>
        </w:drawing>
      </w:r>
    </w:p>
    <w:p>
      <w:pPr>
        <w:pStyle w:val="11"/>
        <w:spacing w:after="0" w:line="360" w:lineRule="auto"/>
        <w:ind w:left="0"/>
        <w:jc w:val="center"/>
        <w:rPr>
          <w:rFonts w:hint="default" w:ascii="Times New Roman" w:hAnsi="Times New Roman" w:eastAsia="宋体" w:cs="Times New Roman"/>
          <w:b/>
          <w:sz w:val="22"/>
          <w:szCs w:val="24"/>
          <w:lang w:eastAsia="zh-CN"/>
        </w:rPr>
      </w:pPr>
      <w:r>
        <w:rPr>
          <w:rFonts w:hint="default" w:ascii="Times New Roman" w:hAnsi="Times New Roman" w:eastAsia="宋体" w:cs="Times New Roman"/>
          <w:b/>
          <w:sz w:val="22"/>
          <w:szCs w:val="24"/>
        </w:rPr>
        <w:t>图3-1  项目地理位置图</w:t>
      </w:r>
      <w:r>
        <w:rPr>
          <w:rFonts w:hint="default" w:ascii="Times New Roman" w:hAnsi="Times New Roman" w:eastAsia="宋体" w:cs="Times New Roman"/>
          <w:b/>
          <w:sz w:val="22"/>
          <w:szCs w:val="24"/>
          <w:lang w:eastAsia="zh-CN"/>
        </w:rPr>
        <w:t>（</w:t>
      </w:r>
      <w:r>
        <w:rPr>
          <w:rFonts w:hint="default" w:ascii="Times New Roman" w:hAnsi="Times New Roman" w:eastAsia="宋体" w:cs="Times New Roman"/>
          <w:b/>
          <w:sz w:val="22"/>
          <w:szCs w:val="24"/>
          <w:lang w:val="en-US" w:eastAsia="zh-CN"/>
        </w:rPr>
        <w:t>1：</w:t>
      </w:r>
      <w:r>
        <w:rPr>
          <w:rFonts w:hint="eastAsia" w:cs="Times New Roman"/>
          <w:b/>
          <w:sz w:val="22"/>
          <w:szCs w:val="24"/>
          <w:lang w:val="en-US" w:eastAsia="zh-CN"/>
        </w:rPr>
        <w:t>10</w:t>
      </w:r>
      <w:bookmarkStart w:id="89" w:name="_GoBack"/>
      <w:bookmarkEnd w:id="89"/>
      <w:r>
        <w:rPr>
          <w:rFonts w:hint="default" w:ascii="Times New Roman" w:hAnsi="Times New Roman" w:eastAsia="宋体" w:cs="Times New Roman"/>
          <w:b/>
          <w:sz w:val="22"/>
          <w:szCs w:val="24"/>
          <w:lang w:val="en-US" w:eastAsia="zh-CN"/>
        </w:rPr>
        <w:t>0000</w:t>
      </w:r>
      <w:r>
        <w:rPr>
          <w:rFonts w:hint="default" w:ascii="Times New Roman" w:hAnsi="Times New Roman" w:eastAsia="宋体" w:cs="Times New Roman"/>
          <w:b/>
          <w:sz w:val="22"/>
          <w:szCs w:val="24"/>
          <w:lang w:eastAsia="zh-CN"/>
        </w:rPr>
        <w:t>）</w:t>
      </w:r>
    </w:p>
    <w:p>
      <w:pPr>
        <w:pStyle w:val="11"/>
        <w:spacing w:after="0" w:line="360" w:lineRule="auto"/>
        <w:ind w:left="0"/>
        <w:rPr>
          <w:rFonts w:hint="default" w:ascii="Times New Roman" w:hAnsi="Times New Roman" w:eastAsia="宋体" w:cs="Times New Roman"/>
          <w:sz w:val="21"/>
        </w:rPr>
      </w:pPr>
      <w:r>
        <w:rPr>
          <w:rFonts w:hint="default" w:ascii="Times New Roman" w:hAnsi="Times New Roman" w:eastAsia="宋体" w:cs="Times New Roman"/>
        </w:rPr>
        <w:drawing>
          <wp:inline distT="0" distB="0" distL="114300" distR="114300">
            <wp:extent cx="5469255" cy="6125210"/>
            <wp:effectExtent l="9525" t="9525" r="26670" b="1841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7"/>
                    <a:stretch>
                      <a:fillRect/>
                    </a:stretch>
                  </pic:blipFill>
                  <pic:spPr>
                    <a:xfrm>
                      <a:off x="0" y="0"/>
                      <a:ext cx="5469255" cy="6125210"/>
                    </a:xfrm>
                    <a:prstGeom prst="rect">
                      <a:avLst/>
                    </a:prstGeom>
                    <a:noFill/>
                    <a:ln>
                      <a:solidFill>
                        <a:schemeClr val="tx1"/>
                      </a:solidFill>
                    </a:ln>
                  </pic:spPr>
                </pic:pic>
              </a:graphicData>
            </a:graphic>
          </wp:inline>
        </w:drawing>
      </w:r>
      <w:r>
        <w:rPr>
          <w:rFonts w:hint="default" w:ascii="Times New Roman" w:hAnsi="Times New Roman" w:eastAsia="宋体" w:cs="Times New Roman"/>
          <w:sz w:val="21"/>
        </w:rPr>
        <mc:AlternateContent>
          <mc:Choice Requires="wps">
            <w:drawing>
              <wp:anchor distT="0" distB="0" distL="114300" distR="114300" simplePos="0" relativeHeight="251674624" behindDoc="0" locked="0" layoutInCell="1" allowOverlap="1">
                <wp:simplePos x="0" y="0"/>
                <wp:positionH relativeFrom="column">
                  <wp:posOffset>896620</wp:posOffset>
                </wp:positionH>
                <wp:positionV relativeFrom="paragraph">
                  <wp:posOffset>6157595</wp:posOffset>
                </wp:positionV>
                <wp:extent cx="0" cy="138430"/>
                <wp:effectExtent l="4445" t="0" r="14605" b="13970"/>
                <wp:wrapNone/>
                <wp:docPr id="63" name="直接连接符 63"/>
                <wp:cNvGraphicFramePr/>
                <a:graphic xmlns:a="http://schemas.openxmlformats.org/drawingml/2006/main">
                  <a:graphicData uri="http://schemas.microsoft.com/office/word/2010/wordprocessingShape">
                    <wps:wsp>
                      <wps:cNvCnPr/>
                      <wps:spPr>
                        <a:xfrm>
                          <a:off x="1247140" y="5646420"/>
                          <a:ext cx="0" cy="138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0.6pt;margin-top:484.85pt;height:10.9pt;width:0pt;z-index:251674624;mso-width-relative:page;mso-height-relative:page;" filled="f" stroked="t" coordsize="21600,21600" o:gfxdata="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DqI1wAAAAsBAAAPAAAAAAAAAAEAIAAAACIAAABkcnMvZG93bnJldi54bWxQSwECFAAUAAAA&#10;CACHTuJAta/NNO8BAAC+AwAADgAAAAAAAAABACAAAAAmAQAAZHJzL2Uyb0RvYy54bWxQSwUGAAAA&#10;AAYABgBZAQAAhwUAAAAA&#10;">
                <v:fill on="f" focussize="0,0"/>
                <v:stroke weight="0.5pt" color="#000000 [3200]" miterlimit="8" joinstyle="miter"/>
                <v:imagedata o:title=""/>
                <o:lock v:ext="edit" aspectratio="f"/>
              </v:line>
            </w:pict>
          </mc:Fallback>
        </mc:AlternateContent>
      </w:r>
    </w:p>
    <w:p>
      <w:pPr>
        <w:pStyle w:val="11"/>
        <w:spacing w:after="0" w:line="360" w:lineRule="auto"/>
        <w:ind w:left="0"/>
        <w:jc w:val="center"/>
        <w:rPr>
          <w:rFonts w:hint="default" w:ascii="Times New Roman" w:hAnsi="Times New Roman" w:eastAsia="宋体" w:cs="Times New Roman"/>
          <w:b/>
          <w:sz w:val="22"/>
          <w:szCs w:val="24"/>
          <w:lang w:eastAsia="zh-CN"/>
        </w:rPr>
      </w:pPr>
      <w:r>
        <w:rPr>
          <w:rFonts w:hint="default" w:ascii="Times New Roman" w:hAnsi="Times New Roman" w:eastAsia="宋体" w:cs="Times New Roman"/>
          <w:b/>
          <w:sz w:val="22"/>
          <w:szCs w:val="24"/>
        </w:rPr>
        <w:t>图3</w:t>
      </w:r>
      <w:r>
        <w:rPr>
          <w:rFonts w:hint="default" w:ascii="Times New Roman" w:hAnsi="Times New Roman" w:eastAsia="宋体" w:cs="Times New Roman"/>
          <w:b/>
          <w:sz w:val="22"/>
          <w:szCs w:val="24"/>
          <w:lang w:val="en-US" w:eastAsia="zh-CN"/>
        </w:rPr>
        <w:t>-2</w:t>
      </w:r>
      <w:r>
        <w:rPr>
          <w:rFonts w:hint="default" w:ascii="Times New Roman" w:hAnsi="Times New Roman" w:eastAsia="宋体" w:cs="Times New Roman"/>
          <w:b/>
          <w:sz w:val="22"/>
          <w:szCs w:val="24"/>
        </w:rPr>
        <w:t xml:space="preserve">  厂区平面布置简图</w:t>
      </w:r>
      <w:r>
        <w:rPr>
          <w:rFonts w:hint="default" w:ascii="Times New Roman" w:hAnsi="Times New Roman" w:eastAsia="宋体" w:cs="Times New Roman"/>
          <w:b/>
          <w:sz w:val="22"/>
          <w:szCs w:val="24"/>
          <w:lang w:eastAsia="zh-CN"/>
        </w:rPr>
        <w:t>（</w:t>
      </w:r>
      <w:r>
        <w:rPr>
          <w:rFonts w:hint="default" w:ascii="Times New Roman" w:hAnsi="Times New Roman" w:eastAsia="宋体" w:cs="Times New Roman"/>
          <w:b/>
          <w:sz w:val="22"/>
          <w:szCs w:val="24"/>
          <w:lang w:val="en-US" w:eastAsia="zh-CN"/>
        </w:rPr>
        <w:t>1:</w:t>
      </w:r>
      <w:r>
        <w:rPr>
          <w:rFonts w:hint="eastAsia" w:cs="Times New Roman"/>
          <w:b/>
          <w:sz w:val="22"/>
          <w:szCs w:val="24"/>
          <w:lang w:val="en-US" w:eastAsia="zh-CN"/>
        </w:rPr>
        <w:t>1</w:t>
      </w:r>
      <w:r>
        <w:rPr>
          <w:rFonts w:hint="default" w:ascii="Times New Roman" w:hAnsi="Times New Roman" w:eastAsia="宋体" w:cs="Times New Roman"/>
          <w:b/>
          <w:sz w:val="22"/>
          <w:szCs w:val="24"/>
          <w:lang w:val="en-US" w:eastAsia="zh-CN"/>
        </w:rPr>
        <w:t>000</w:t>
      </w:r>
      <w:r>
        <w:rPr>
          <w:rFonts w:hint="default" w:ascii="Times New Roman" w:hAnsi="Times New Roman" w:eastAsia="宋体" w:cs="Times New Roman"/>
          <w:b/>
          <w:sz w:val="22"/>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rPr>
        <w:t>在项目</w:t>
      </w:r>
      <w:r>
        <w:rPr>
          <w:rFonts w:hint="default" w:ascii="Times New Roman" w:hAnsi="Times New Roman" w:eastAsia="宋体" w:cs="Times New Roman"/>
          <w:color w:val="000000"/>
          <w:sz w:val="24"/>
          <w:szCs w:val="28"/>
          <w:lang w:val="en-US" w:eastAsia="zh-CN"/>
        </w:rPr>
        <w:t>500m</w:t>
      </w:r>
      <w:r>
        <w:rPr>
          <w:rFonts w:hint="default" w:ascii="Times New Roman" w:hAnsi="Times New Roman" w:eastAsia="宋体" w:cs="Times New Roman"/>
          <w:color w:val="000000"/>
          <w:sz w:val="24"/>
          <w:szCs w:val="28"/>
        </w:rPr>
        <w:t>范围内，</w:t>
      </w:r>
      <w:r>
        <w:rPr>
          <w:rFonts w:hint="default" w:ascii="Times New Roman" w:hAnsi="Times New Roman" w:eastAsia="宋体" w:cs="Times New Roman"/>
          <w:sz w:val="24"/>
        </w:rPr>
        <w:t>距离项目边界最近的敏感</w:t>
      </w:r>
      <w:r>
        <w:rPr>
          <w:rFonts w:hint="default" w:ascii="Times New Roman" w:hAnsi="Times New Roman" w:eastAsia="宋体" w:cs="Times New Roman"/>
          <w:sz w:val="24"/>
          <w:szCs w:val="24"/>
        </w:rPr>
        <w:t>点为项目厂区</w:t>
      </w:r>
      <w:r>
        <w:rPr>
          <w:rFonts w:hint="default" w:ascii="Times New Roman" w:hAnsi="Times New Roman" w:eastAsia="宋体" w:cs="Times New Roman"/>
          <w:sz w:val="24"/>
          <w:szCs w:val="24"/>
          <w:lang w:val="en-US" w:eastAsia="zh-CN"/>
        </w:rPr>
        <w:t>南侧</w:t>
      </w:r>
      <w:r>
        <w:rPr>
          <w:rFonts w:hint="default" w:ascii="Times New Roman" w:hAnsi="Times New Roman" w:eastAsia="宋体" w:cs="Times New Roman"/>
          <w:sz w:val="24"/>
          <w:szCs w:val="24"/>
        </w:rPr>
        <w:t>的</w:t>
      </w:r>
      <w:r>
        <w:rPr>
          <w:rFonts w:hint="default" w:ascii="Times New Roman" w:hAnsi="Times New Roman" w:eastAsia="宋体" w:cs="Times New Roman"/>
          <w:sz w:val="24"/>
          <w:szCs w:val="24"/>
          <w:lang w:val="en-US" w:eastAsia="zh-CN"/>
        </w:rPr>
        <w:t>别墅区</w:t>
      </w:r>
      <w:r>
        <w:rPr>
          <w:rFonts w:hint="default" w:ascii="Times New Roman" w:hAnsi="Times New Roman" w:eastAsia="宋体" w:cs="Times New Roman"/>
          <w:sz w:val="24"/>
        </w:rPr>
        <w:t>。</w:t>
      </w:r>
      <w:r>
        <w:rPr>
          <w:rFonts w:hint="default" w:ascii="Times New Roman" w:hAnsi="Times New Roman" w:eastAsia="宋体" w:cs="Times New Roman"/>
          <w:color w:val="000000"/>
          <w:sz w:val="24"/>
          <w:szCs w:val="28"/>
        </w:rPr>
        <w:t>项目周边敏感目标分布情况见表3-1及图3-3。</w:t>
      </w:r>
      <w:r>
        <w:rPr>
          <w:rFonts w:hint="default" w:ascii="Times New Roman" w:hAnsi="Times New Roman" w:eastAsia="宋体" w:cs="Times New Roman"/>
          <w:color w:val="000000"/>
          <w:sz w:val="24"/>
          <w:szCs w:val="28"/>
          <w:lang w:val="en-US" w:eastAsia="zh-CN"/>
        </w:rPr>
        <w:t xml:space="preserve"> </w:t>
      </w:r>
    </w:p>
    <w:p>
      <w:pPr>
        <w:pStyle w:val="11"/>
        <w:spacing w:after="0" w:line="360" w:lineRule="auto"/>
        <w:ind w:left="0"/>
        <w:jc w:val="center"/>
        <w:rPr>
          <w:rFonts w:hint="default" w:ascii="Times New Roman" w:hAnsi="Times New Roman" w:eastAsia="宋体" w:cs="Times New Roman"/>
          <w:b/>
          <w:sz w:val="22"/>
          <w:szCs w:val="24"/>
        </w:rPr>
      </w:pPr>
      <w:r>
        <w:rPr>
          <w:rFonts w:hint="default" w:ascii="Times New Roman" w:hAnsi="Times New Roman" w:eastAsia="宋体" w:cs="Times New Roman"/>
          <w:b/>
          <w:sz w:val="22"/>
          <w:szCs w:val="24"/>
        </w:rPr>
        <w:t>表3-1 项目敏感目标一览表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601"/>
        <w:gridCol w:w="1234"/>
        <w:gridCol w:w="3944"/>
        <w:gridCol w:w="2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97" w:type="pct"/>
            <w:tcBorders>
              <w:tl2br w:val="nil"/>
              <w:tr2bl w:val="nil"/>
            </w:tcBorders>
            <w:noWrap w:val="0"/>
            <w:vAlign w:val="center"/>
          </w:tcPr>
          <w:p>
            <w:pPr>
              <w:pStyle w:val="7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保护目标名称</w:t>
            </w:r>
          </w:p>
        </w:tc>
        <w:tc>
          <w:tcPr>
            <w:tcW w:w="340" w:type="pct"/>
            <w:tcBorders>
              <w:tl2br w:val="nil"/>
              <w:tr2bl w:val="nil"/>
            </w:tcBorders>
            <w:noWrap w:val="0"/>
            <w:vAlign w:val="center"/>
          </w:tcPr>
          <w:p>
            <w:pPr>
              <w:pStyle w:val="7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方位</w:t>
            </w:r>
          </w:p>
        </w:tc>
        <w:tc>
          <w:tcPr>
            <w:tcW w:w="698" w:type="pct"/>
            <w:tcBorders>
              <w:tl2br w:val="nil"/>
              <w:tr2bl w:val="nil"/>
            </w:tcBorders>
            <w:noWrap w:val="0"/>
            <w:vAlign w:val="center"/>
          </w:tcPr>
          <w:p>
            <w:pPr>
              <w:pStyle w:val="7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距离</w:t>
            </w:r>
            <w:r>
              <w:rPr>
                <w:rFonts w:hint="default" w:ascii="Times New Roman" w:hAnsi="Times New Roman" w:eastAsia="宋体" w:cs="Times New Roman"/>
                <w:color w:val="auto"/>
                <w:szCs w:val="21"/>
                <w:lang w:eastAsia="zh-CN"/>
              </w:rPr>
              <w:t>厂界</w:t>
            </w:r>
            <w:r>
              <w:rPr>
                <w:rFonts w:hint="default" w:ascii="Times New Roman" w:hAnsi="Times New Roman" w:eastAsia="宋体" w:cs="Times New Roman"/>
                <w:color w:val="auto"/>
                <w:szCs w:val="21"/>
              </w:rPr>
              <w:t>（m）</w:t>
            </w:r>
          </w:p>
        </w:tc>
        <w:tc>
          <w:tcPr>
            <w:tcW w:w="2231" w:type="pct"/>
            <w:tcBorders>
              <w:tl2br w:val="nil"/>
              <w:tr2bl w:val="nil"/>
            </w:tcBorders>
            <w:noWrap w:val="0"/>
            <w:vAlign w:val="center"/>
          </w:tcPr>
          <w:p>
            <w:pPr>
              <w:pStyle w:val="7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保护目标说明</w:t>
            </w:r>
          </w:p>
        </w:tc>
        <w:tc>
          <w:tcPr>
            <w:tcW w:w="1132" w:type="pct"/>
            <w:tcBorders>
              <w:tl2br w:val="nil"/>
              <w:tr2bl w:val="nil"/>
            </w:tcBorders>
            <w:noWrap w:val="0"/>
            <w:vAlign w:val="center"/>
          </w:tcPr>
          <w:p>
            <w:pPr>
              <w:pStyle w:val="72"/>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7" w:type="pct"/>
            <w:tcBorders>
              <w:tl2br w:val="nil"/>
              <w:tr2bl w:val="nil"/>
            </w:tcBorders>
            <w:noWrap w:val="0"/>
            <w:vAlign w:val="center"/>
          </w:tcPr>
          <w:p>
            <w:pPr>
              <w:pStyle w:val="73"/>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新庄</w:t>
            </w:r>
          </w:p>
        </w:tc>
        <w:tc>
          <w:tcPr>
            <w:tcW w:w="340" w:type="pct"/>
            <w:tcBorders>
              <w:tl2br w:val="nil"/>
              <w:tr2bl w:val="nil"/>
            </w:tcBorders>
            <w:noWrap w:val="0"/>
            <w:vAlign w:val="center"/>
          </w:tcPr>
          <w:p>
            <w:pPr>
              <w:pStyle w:val="73"/>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NW</w:t>
            </w:r>
          </w:p>
        </w:tc>
        <w:tc>
          <w:tcPr>
            <w:tcW w:w="698" w:type="pct"/>
            <w:tcBorders>
              <w:tl2br w:val="nil"/>
              <w:tr2bl w:val="nil"/>
            </w:tcBorders>
            <w:noWrap w:val="0"/>
            <w:vAlign w:val="center"/>
          </w:tcPr>
          <w:p>
            <w:pPr>
              <w:pStyle w:val="73"/>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436</w:t>
            </w:r>
          </w:p>
        </w:tc>
        <w:tc>
          <w:tcPr>
            <w:tcW w:w="2231" w:type="pct"/>
            <w:vMerge w:val="restart"/>
            <w:tcBorders>
              <w:tl2br w:val="nil"/>
              <w:tr2bl w:val="nil"/>
            </w:tcBorders>
            <w:noWrap w:val="0"/>
            <w:vAlign w:val="center"/>
          </w:tcPr>
          <w:p>
            <w:pPr>
              <w:pStyle w:val="73"/>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shd w:val="clear" w:color="auto" w:fill="FFFFFF"/>
              </w:rPr>
              <w:t>《环境空气质量标准》（GB3095-2012）及其修改单中二级标准</w:t>
            </w:r>
          </w:p>
        </w:tc>
        <w:tc>
          <w:tcPr>
            <w:tcW w:w="1132" w:type="pct"/>
            <w:vMerge w:val="restart"/>
            <w:tcBorders>
              <w:tl2br w:val="nil"/>
              <w:tr2bl w:val="nil"/>
            </w:tcBorders>
            <w:noWrap w:val="0"/>
            <w:vAlign w:val="center"/>
          </w:tcPr>
          <w:p>
            <w:pPr>
              <w:pStyle w:val="73"/>
              <w:rPr>
                <w:rFonts w:hint="default" w:ascii="Times New Roman" w:hAnsi="Times New Roman" w:eastAsia="宋体" w:cs="Times New Roman"/>
                <w:color w:val="auto"/>
                <w:sz w:val="21"/>
                <w:szCs w:val="21"/>
                <w:shd w:val="clear" w:color="auto" w:fill="FFFFFF"/>
                <w:lang w:val="en-US" w:eastAsia="zh-CN"/>
              </w:rPr>
            </w:pPr>
            <w:r>
              <w:rPr>
                <w:rFonts w:hint="eastAsia" w:ascii="Times New Roman" w:hAnsi="Times New Roman" w:eastAsia="宋体" w:cs="Times New Roman"/>
                <w:color w:val="auto"/>
                <w:sz w:val="21"/>
                <w:szCs w:val="21"/>
                <w:shd w:val="clear" w:color="auto" w:fill="FFFFFF"/>
                <w:lang w:val="en-US" w:eastAsia="zh-CN"/>
              </w:rPr>
              <w:t>与环评阶段对比敏感目标未发生变化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7" w:type="pct"/>
            <w:tcBorders>
              <w:tl2br w:val="nil"/>
              <w:tr2bl w:val="nil"/>
            </w:tcBorders>
            <w:noWrap w:val="0"/>
            <w:vAlign w:val="center"/>
          </w:tcPr>
          <w:p>
            <w:pPr>
              <w:pStyle w:val="73"/>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别墅区</w:t>
            </w:r>
          </w:p>
        </w:tc>
        <w:tc>
          <w:tcPr>
            <w:tcW w:w="340" w:type="pct"/>
            <w:tcBorders>
              <w:tl2br w:val="nil"/>
              <w:tr2bl w:val="nil"/>
            </w:tcBorders>
            <w:noWrap w:val="0"/>
            <w:vAlign w:val="center"/>
          </w:tcPr>
          <w:p>
            <w:pPr>
              <w:pStyle w:val="73"/>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NW</w:t>
            </w:r>
          </w:p>
        </w:tc>
        <w:tc>
          <w:tcPr>
            <w:tcW w:w="698" w:type="pct"/>
            <w:tcBorders>
              <w:tl2br w:val="nil"/>
              <w:tr2bl w:val="nil"/>
            </w:tcBorders>
            <w:noWrap w:val="0"/>
            <w:vAlign w:val="center"/>
          </w:tcPr>
          <w:p>
            <w:pPr>
              <w:pStyle w:val="73"/>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395</w:t>
            </w:r>
          </w:p>
        </w:tc>
        <w:tc>
          <w:tcPr>
            <w:tcW w:w="2231" w:type="pct"/>
            <w:vMerge w:val="continue"/>
            <w:tcBorders>
              <w:tl2br w:val="nil"/>
              <w:tr2bl w:val="nil"/>
            </w:tcBorders>
            <w:noWrap w:val="0"/>
            <w:vAlign w:val="center"/>
          </w:tcPr>
          <w:p>
            <w:pPr>
              <w:pStyle w:val="73"/>
              <w:rPr>
                <w:rFonts w:hint="default" w:ascii="Times New Roman" w:hAnsi="Times New Roman" w:eastAsia="宋体" w:cs="Times New Roman"/>
                <w:color w:val="auto"/>
                <w:szCs w:val="21"/>
              </w:rPr>
            </w:pPr>
          </w:p>
        </w:tc>
        <w:tc>
          <w:tcPr>
            <w:tcW w:w="1132" w:type="pct"/>
            <w:vMerge w:val="continue"/>
            <w:tcBorders>
              <w:tl2br w:val="nil"/>
              <w:tr2bl w:val="nil"/>
            </w:tcBorders>
            <w:noWrap w:val="0"/>
            <w:vAlign w:val="center"/>
          </w:tcPr>
          <w:p>
            <w:pPr>
              <w:pStyle w:val="73"/>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7" w:type="pct"/>
            <w:tcBorders>
              <w:tl2br w:val="nil"/>
              <w:tr2bl w:val="nil"/>
            </w:tcBorders>
            <w:noWrap w:val="0"/>
            <w:vAlign w:val="center"/>
          </w:tcPr>
          <w:p>
            <w:pPr>
              <w:pStyle w:val="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项目周围地下水</w:t>
            </w:r>
          </w:p>
        </w:tc>
        <w:tc>
          <w:tcPr>
            <w:tcW w:w="340" w:type="pct"/>
            <w:tcBorders>
              <w:tl2br w:val="nil"/>
              <w:tr2bl w:val="nil"/>
            </w:tcBorders>
            <w:noWrap w:val="0"/>
            <w:vAlign w:val="center"/>
          </w:tcPr>
          <w:p>
            <w:pPr>
              <w:pStyle w:val="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698" w:type="pct"/>
            <w:tcBorders>
              <w:tl2br w:val="nil"/>
              <w:tr2bl w:val="nil"/>
            </w:tcBorders>
            <w:noWrap w:val="0"/>
            <w:vAlign w:val="center"/>
          </w:tcPr>
          <w:p>
            <w:pPr>
              <w:pStyle w:val="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231" w:type="pct"/>
            <w:tcBorders>
              <w:tl2br w:val="nil"/>
              <w:tr2bl w:val="nil"/>
            </w:tcBorders>
            <w:noWrap w:val="0"/>
            <w:vAlign w:val="center"/>
          </w:tcPr>
          <w:p>
            <w:pPr>
              <w:pStyle w:val="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《地下水质量标准》(GB/T14848-2017) Ⅲ类标准</w:t>
            </w:r>
          </w:p>
        </w:tc>
        <w:tc>
          <w:tcPr>
            <w:tcW w:w="1132" w:type="pct"/>
            <w:vMerge w:val="continue"/>
            <w:tcBorders>
              <w:tl2br w:val="nil"/>
              <w:tr2bl w:val="nil"/>
            </w:tcBorders>
            <w:noWrap w:val="0"/>
            <w:vAlign w:val="center"/>
          </w:tcPr>
          <w:p>
            <w:pPr>
              <w:pStyle w:val="73"/>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7" w:type="pct"/>
            <w:tcBorders>
              <w:tl2br w:val="nil"/>
              <w:tr2bl w:val="nil"/>
            </w:tcBorders>
            <w:noWrap w:val="0"/>
            <w:vAlign w:val="center"/>
          </w:tcPr>
          <w:p>
            <w:pPr>
              <w:pStyle w:val="7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340" w:type="pct"/>
            <w:tcBorders>
              <w:tl2br w:val="nil"/>
              <w:tr2bl w:val="nil"/>
            </w:tcBorders>
            <w:noWrap w:val="0"/>
            <w:vAlign w:val="center"/>
          </w:tcPr>
          <w:p>
            <w:pPr>
              <w:pStyle w:val="7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8" w:type="pct"/>
            <w:tcBorders>
              <w:tl2br w:val="nil"/>
              <w:tr2bl w:val="nil"/>
            </w:tcBorders>
            <w:noWrap w:val="0"/>
            <w:vAlign w:val="center"/>
          </w:tcPr>
          <w:p>
            <w:pPr>
              <w:pStyle w:val="74"/>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231" w:type="pct"/>
            <w:tcBorders>
              <w:tl2br w:val="nil"/>
              <w:tr2bl w:val="nil"/>
            </w:tcBorders>
            <w:noWrap w:val="0"/>
            <w:vAlign w:val="center"/>
          </w:tcPr>
          <w:p>
            <w:pPr>
              <w:pStyle w:val="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《声环境质量标准》</w:t>
            </w:r>
          </w:p>
          <w:p>
            <w:pPr>
              <w:pStyle w:val="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（GB3096-2008）</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类标准</w:t>
            </w:r>
          </w:p>
        </w:tc>
        <w:tc>
          <w:tcPr>
            <w:tcW w:w="1132" w:type="pct"/>
            <w:vMerge w:val="continue"/>
            <w:tcBorders>
              <w:tl2br w:val="nil"/>
              <w:tr2bl w:val="nil"/>
            </w:tcBorders>
            <w:noWrap w:val="0"/>
            <w:vAlign w:val="center"/>
          </w:tcPr>
          <w:p>
            <w:pPr>
              <w:pStyle w:val="73"/>
              <w:rPr>
                <w:rFonts w:hint="default" w:ascii="Times New Roman" w:hAnsi="Times New Roman" w:eastAsia="宋体" w:cs="Times New Roman"/>
                <w:color w:val="auto"/>
                <w:szCs w:val="21"/>
              </w:rPr>
            </w:pPr>
          </w:p>
        </w:tc>
      </w:tr>
    </w:tbl>
    <w:p>
      <w:pPr>
        <w:pStyle w:val="47"/>
        <w:spacing w:line="360" w:lineRule="auto"/>
        <w:ind w:firstLine="0" w:firstLineChars="0"/>
        <w:jc w:val="left"/>
        <w:outlineLvl w:val="9"/>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5471160" cy="3308350"/>
            <wp:effectExtent l="0" t="0" r="15240" b="635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pic:cNvPicPr>
                  </pic:nvPicPr>
                  <pic:blipFill>
                    <a:blip r:embed="rId18"/>
                    <a:stretch>
                      <a:fillRect/>
                    </a:stretch>
                  </pic:blipFill>
                  <pic:spPr>
                    <a:xfrm>
                      <a:off x="0" y="0"/>
                      <a:ext cx="5471160" cy="3308350"/>
                    </a:xfrm>
                    <a:prstGeom prst="rect">
                      <a:avLst/>
                    </a:prstGeom>
                    <a:noFill/>
                    <a:ln>
                      <a:noFill/>
                    </a:ln>
                  </pic:spPr>
                </pic:pic>
              </a:graphicData>
            </a:graphic>
          </wp:inline>
        </w:drawing>
      </w:r>
    </w:p>
    <w:p>
      <w:pPr>
        <w:pStyle w:val="47"/>
        <w:spacing w:line="360" w:lineRule="auto"/>
        <w:ind w:firstLine="0" w:firstLineChars="0"/>
        <w:jc w:val="center"/>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图3-3  项目周边敏感目标图（1:</w:t>
      </w:r>
      <w:r>
        <w:rPr>
          <w:rFonts w:hint="eastAsia"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lang w:val="en-US" w:eastAsia="zh-CN"/>
        </w:rPr>
        <w:t>0000）</w:t>
      </w:r>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20" w:name="_Toc8076"/>
      <w:r>
        <w:rPr>
          <w:rFonts w:hint="default" w:ascii="Times New Roman" w:hAnsi="Times New Roman" w:eastAsia="宋体" w:cs="Times New Roman"/>
          <w:b/>
          <w:sz w:val="28"/>
          <w:szCs w:val="32"/>
        </w:rPr>
        <w:t>3.2建设内容</w:t>
      </w:r>
      <w:bookmarkEnd w:id="20"/>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项目名称：</w:t>
      </w:r>
      <w:r>
        <w:rPr>
          <w:rFonts w:hint="default" w:ascii="Times New Roman" w:hAnsi="Times New Roman" w:eastAsia="宋体" w:cs="Times New Roman"/>
          <w:sz w:val="24"/>
          <w:lang w:eastAsia="zh-CN"/>
        </w:rPr>
        <w:t>山东大树达孚特膳食品有限公司供热方式技改项目</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生产规模：</w:t>
      </w:r>
      <w:r>
        <w:rPr>
          <w:rFonts w:hint="default" w:ascii="Times New Roman" w:hAnsi="Times New Roman" w:eastAsia="宋体" w:cs="Times New Roman"/>
          <w:kern w:val="0"/>
          <w:sz w:val="24"/>
          <w:szCs w:val="24"/>
        </w:rPr>
        <w:t>项目</w:t>
      </w:r>
      <w:r>
        <w:rPr>
          <w:rFonts w:hint="default" w:ascii="Times New Roman" w:hAnsi="Times New Roman" w:eastAsia="宋体" w:cs="Times New Roman"/>
          <w:kern w:val="0"/>
          <w:sz w:val="24"/>
          <w:szCs w:val="24"/>
          <w:lang w:val="en-US" w:eastAsia="zh-CN"/>
        </w:rPr>
        <w:t>实际</w:t>
      </w:r>
      <w:r>
        <w:rPr>
          <w:rFonts w:hint="default" w:ascii="Times New Roman" w:hAnsi="Times New Roman" w:eastAsia="宋体" w:cs="Times New Roman"/>
          <w:kern w:val="0"/>
          <w:sz w:val="24"/>
          <w:szCs w:val="24"/>
        </w:rPr>
        <w:t>总投资</w:t>
      </w:r>
      <w:r>
        <w:rPr>
          <w:rFonts w:hint="default" w:ascii="Times New Roman" w:hAnsi="Times New Roman" w:eastAsia="宋体" w:cs="Times New Roman"/>
          <w:kern w:val="0"/>
          <w:sz w:val="24"/>
          <w:szCs w:val="24"/>
          <w:lang w:val="en-US" w:eastAsia="zh-CN"/>
        </w:rPr>
        <w:t>2000</w:t>
      </w:r>
      <w:r>
        <w:rPr>
          <w:rFonts w:hint="default" w:ascii="Times New Roman" w:hAnsi="Times New Roman" w:eastAsia="宋体" w:cs="Times New Roman"/>
          <w:kern w:val="0"/>
          <w:sz w:val="24"/>
          <w:szCs w:val="24"/>
          <w:lang w:eastAsia="zh-CN"/>
        </w:rPr>
        <w:t>万</w:t>
      </w:r>
      <w:r>
        <w:rPr>
          <w:rFonts w:hint="default" w:ascii="Times New Roman" w:hAnsi="Times New Roman" w:eastAsia="宋体" w:cs="Times New Roman"/>
          <w:kern w:val="0"/>
          <w:sz w:val="24"/>
          <w:szCs w:val="24"/>
        </w:rPr>
        <w:t>元，</w:t>
      </w:r>
      <w:r>
        <w:rPr>
          <w:rFonts w:hint="default" w:ascii="Times New Roman" w:hAnsi="Times New Roman" w:eastAsia="宋体" w:cs="Times New Roman"/>
          <w:kern w:val="0"/>
          <w:sz w:val="24"/>
          <w:szCs w:val="24"/>
          <w:lang w:val="en-US" w:eastAsia="zh-CN"/>
        </w:rPr>
        <w:t>建设</w:t>
      </w:r>
      <w:r>
        <w:rPr>
          <w:rFonts w:hint="default" w:ascii="Times New Roman" w:hAnsi="Times New Roman" w:eastAsia="宋体" w:cs="Times New Roman"/>
          <w:sz w:val="24"/>
          <w:lang w:eastAsia="zh-CN"/>
        </w:rPr>
        <w:t>山东大树达孚特膳食品有限公司供热方式技改项目</w:t>
      </w:r>
      <w:r>
        <w:rPr>
          <w:rFonts w:hint="default" w:ascii="Times New Roman" w:hAnsi="Times New Roman" w:eastAsia="宋体" w:cs="Times New Roman"/>
          <w:kern w:val="0"/>
          <w:sz w:val="24"/>
          <w:szCs w:val="24"/>
        </w:rPr>
        <w:t>。</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建设地点：</w:t>
      </w:r>
      <w:r>
        <w:rPr>
          <w:rFonts w:hint="default" w:ascii="Times New Roman" w:hAnsi="Times New Roman" w:eastAsia="宋体" w:cs="Times New Roman"/>
          <w:sz w:val="24"/>
          <w:lang w:val="en-US" w:eastAsia="zh-CN"/>
        </w:rPr>
        <w:t>菏泽市鲁西新区吕陵镇黄河路东段</w:t>
      </w:r>
      <w:r>
        <w:rPr>
          <w:rFonts w:hint="default" w:ascii="Times New Roman" w:hAnsi="Times New Roman" w:eastAsia="宋体" w:cs="Times New Roman"/>
          <w:sz w:val="24"/>
          <w:lang w:eastAsia="zh-CN"/>
        </w:rPr>
        <w:t>山东大树达孚特膳食品有限公司</w:t>
      </w:r>
      <w:r>
        <w:rPr>
          <w:rFonts w:hint="default" w:ascii="Times New Roman" w:hAnsi="Times New Roman" w:eastAsia="宋体" w:cs="Times New Roman"/>
          <w:sz w:val="24"/>
          <w:lang w:val="en-US" w:eastAsia="zh-CN"/>
        </w:rPr>
        <w:t>内</w:t>
      </w:r>
      <w:r>
        <w:rPr>
          <w:rFonts w:hint="default" w:ascii="Times New Roman" w:hAnsi="Times New Roman" w:eastAsia="宋体" w:cs="Times New Roman"/>
          <w:sz w:val="24"/>
        </w:rPr>
        <w:t>。</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劳动定员及工作制度：</w:t>
      </w:r>
      <w:r>
        <w:rPr>
          <w:rFonts w:hint="default" w:ascii="Times New Roman" w:hAnsi="Times New Roman" w:eastAsia="宋体" w:cs="Times New Roman"/>
          <w:sz w:val="24"/>
          <w:lang w:val="en-US" w:eastAsia="zh-CN"/>
        </w:rPr>
        <w:t>本次技改项目不新增员工</w:t>
      </w:r>
      <w:r>
        <w:rPr>
          <w:rFonts w:hint="default" w:ascii="Times New Roman" w:hAnsi="Times New Roman" w:eastAsia="宋体" w:cs="Times New Roman"/>
          <w:sz w:val="24"/>
        </w:rPr>
        <w:t>，实行</w:t>
      </w:r>
      <w:r>
        <w:rPr>
          <w:rFonts w:hint="default" w:ascii="Times New Roman" w:hAnsi="Times New Roman" w:eastAsia="宋体" w:cs="Times New Roman"/>
          <w:sz w:val="24"/>
          <w:lang w:val="en-US" w:eastAsia="zh-CN"/>
        </w:rPr>
        <w:t>3班制</w:t>
      </w:r>
      <w:r>
        <w:rPr>
          <w:rFonts w:hint="default" w:ascii="Times New Roman" w:hAnsi="Times New Roman" w:eastAsia="宋体" w:cs="Times New Roman"/>
          <w:sz w:val="24"/>
        </w:rPr>
        <w:t>，每班工作8小时，年工作300天。</w:t>
      </w:r>
      <w:r>
        <w:rPr>
          <w:rFonts w:hint="default" w:ascii="Times New Roman" w:hAnsi="Times New Roman" w:eastAsia="宋体" w:cs="Times New Roman"/>
          <w:sz w:val="24"/>
          <w:lang w:val="en-US" w:eastAsia="zh-CN"/>
        </w:rPr>
        <w:t xml:space="preserve"> </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项目投资：该项目</w:t>
      </w:r>
      <w:r>
        <w:rPr>
          <w:rFonts w:hint="default" w:ascii="Times New Roman" w:hAnsi="Times New Roman" w:eastAsia="宋体" w:cs="Times New Roman"/>
          <w:sz w:val="24"/>
          <w:lang w:val="en-US" w:eastAsia="zh-CN"/>
        </w:rPr>
        <w:t>设计</w:t>
      </w:r>
      <w:r>
        <w:rPr>
          <w:rFonts w:hint="default" w:ascii="Times New Roman" w:hAnsi="Times New Roman" w:eastAsia="宋体" w:cs="Times New Roman"/>
          <w:sz w:val="24"/>
        </w:rPr>
        <w:t>总投资</w:t>
      </w:r>
      <w:r>
        <w:rPr>
          <w:rFonts w:hint="default" w:ascii="Times New Roman" w:hAnsi="Times New Roman" w:eastAsia="宋体" w:cs="Times New Roman"/>
          <w:sz w:val="24"/>
          <w:lang w:val="en-US" w:eastAsia="zh-CN"/>
        </w:rPr>
        <w:t>2000</w:t>
      </w:r>
      <w:r>
        <w:rPr>
          <w:rFonts w:hint="default" w:ascii="Times New Roman" w:hAnsi="Times New Roman" w:eastAsia="宋体" w:cs="Times New Roman"/>
          <w:sz w:val="24"/>
          <w:lang w:eastAsia="zh-CN"/>
        </w:rPr>
        <w:t>万</w:t>
      </w:r>
      <w:r>
        <w:rPr>
          <w:rFonts w:hint="default" w:ascii="Times New Roman" w:hAnsi="Times New Roman" w:eastAsia="宋体" w:cs="Times New Roman"/>
          <w:sz w:val="24"/>
        </w:rPr>
        <w:t>元，</w:t>
      </w:r>
      <w:r>
        <w:rPr>
          <w:rFonts w:hint="default" w:ascii="Times New Roman" w:hAnsi="Times New Roman" w:eastAsia="宋体" w:cs="Times New Roman"/>
          <w:sz w:val="24"/>
          <w:lang w:val="en-US" w:eastAsia="zh-CN"/>
        </w:rPr>
        <w:t>实际投资2000万元，</w:t>
      </w:r>
      <w:r>
        <w:rPr>
          <w:rFonts w:hint="default" w:ascii="Times New Roman" w:hAnsi="Times New Roman" w:eastAsia="宋体" w:cs="Times New Roman"/>
          <w:sz w:val="24"/>
        </w:rPr>
        <w:t>其中环保投资</w:t>
      </w:r>
      <w:r>
        <w:rPr>
          <w:rFonts w:hint="default" w:ascii="Times New Roman" w:hAnsi="Times New Roman" w:eastAsia="宋体" w:cs="Times New Roman"/>
          <w:sz w:val="24"/>
          <w:lang w:val="en-US" w:eastAsia="zh-CN"/>
        </w:rPr>
        <w:t>200</w:t>
      </w:r>
      <w:r>
        <w:rPr>
          <w:rFonts w:hint="default" w:ascii="Times New Roman" w:hAnsi="Times New Roman" w:eastAsia="宋体" w:cs="Times New Roman"/>
          <w:sz w:val="24"/>
          <w:lang w:eastAsia="zh-CN"/>
        </w:rPr>
        <w:t>万</w:t>
      </w:r>
      <w:r>
        <w:rPr>
          <w:rFonts w:hint="default" w:ascii="Times New Roman" w:hAnsi="Times New Roman" w:eastAsia="宋体" w:cs="Times New Roman"/>
          <w:sz w:val="24"/>
        </w:rPr>
        <w:t>元，占总投资的</w:t>
      </w:r>
      <w:r>
        <w:rPr>
          <w:rFonts w:hint="default" w:ascii="Times New Roman" w:hAnsi="Times New Roman" w:eastAsia="宋体" w:cs="Times New Roman"/>
          <w:sz w:val="24"/>
          <w:lang w:val="en-US" w:eastAsia="zh-CN"/>
        </w:rPr>
        <w:t>10</w:t>
      </w:r>
      <w:r>
        <w:rPr>
          <w:rFonts w:hint="default" w:ascii="Times New Roman" w:hAnsi="Times New Roman" w:eastAsia="宋体" w:cs="Times New Roman"/>
          <w:sz w:val="24"/>
        </w:rPr>
        <w:t>%。</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该项目主要包括主体工程</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公用工程、环保工程等</w:t>
      </w:r>
      <w:r>
        <w:rPr>
          <w:rFonts w:hint="default" w:ascii="Times New Roman" w:hAnsi="Times New Roman" w:eastAsia="宋体" w:cs="Times New Roman"/>
          <w:sz w:val="24"/>
        </w:rPr>
        <w:t>。项目组成见</w:t>
      </w:r>
      <w:r>
        <w:rPr>
          <w:rFonts w:hint="eastAsia" w:ascii="Times New Roman" w:hAnsi="Times New Roman" w:eastAsia="宋体" w:cs="Times New Roman"/>
          <w:sz w:val="24"/>
          <w:lang w:val="en-US" w:eastAsia="zh-CN"/>
        </w:rPr>
        <w:t>下表</w:t>
      </w:r>
      <w:r>
        <w:rPr>
          <w:rFonts w:hint="default" w:ascii="Times New Roman" w:hAnsi="Times New Roman" w:eastAsia="宋体" w:cs="Times New Roman"/>
          <w:sz w:val="24"/>
        </w:rPr>
        <w:t>。</w:t>
      </w:r>
    </w:p>
    <w:p>
      <w:pPr>
        <w:pStyle w:val="11"/>
        <w:spacing w:after="0" w:line="240" w:lineRule="auto"/>
        <w:ind w:left="0"/>
        <w:jc w:val="center"/>
        <w:rPr>
          <w:rFonts w:hint="default" w:ascii="Times New Roman" w:hAnsi="Times New Roman" w:eastAsia="宋体" w:cs="Times New Roman"/>
          <w:b/>
          <w:sz w:val="22"/>
          <w:szCs w:val="24"/>
          <w:lang w:eastAsia="zh-CN"/>
        </w:rPr>
      </w:pPr>
      <w:r>
        <w:rPr>
          <w:rFonts w:hint="default" w:ascii="Times New Roman" w:hAnsi="Times New Roman" w:eastAsia="宋体" w:cs="Times New Roman"/>
          <w:b/>
          <w:sz w:val="22"/>
          <w:szCs w:val="24"/>
        </w:rPr>
        <w:t>表3-2</w:t>
      </w:r>
      <w:r>
        <w:rPr>
          <w:rFonts w:hint="eastAsia" w:ascii="Times New Roman" w:hAnsi="Times New Roman" w:eastAsia="宋体" w:cs="Times New Roman"/>
          <w:b/>
          <w:sz w:val="22"/>
          <w:szCs w:val="24"/>
          <w:lang w:val="en-US" w:eastAsia="zh-CN"/>
        </w:rPr>
        <w:t>.1</w:t>
      </w:r>
      <w:r>
        <w:rPr>
          <w:rFonts w:hint="default" w:ascii="Times New Roman" w:hAnsi="Times New Roman" w:eastAsia="宋体" w:cs="Times New Roman"/>
          <w:b/>
          <w:sz w:val="22"/>
          <w:szCs w:val="24"/>
        </w:rPr>
        <w:t xml:space="preserve">  项目组成一览表</w:t>
      </w:r>
      <w:r>
        <w:rPr>
          <w:rFonts w:hint="default" w:ascii="Times New Roman" w:hAnsi="Times New Roman" w:eastAsia="宋体" w:cs="Times New Roman"/>
          <w:b/>
          <w:sz w:val="22"/>
          <w:szCs w:val="24"/>
          <w:lang w:eastAsia="zh-CN"/>
        </w:rPr>
        <w:t>（</w:t>
      </w:r>
      <w:r>
        <w:rPr>
          <w:rFonts w:hint="default" w:ascii="Times New Roman" w:hAnsi="Times New Roman" w:eastAsia="宋体" w:cs="Times New Roman"/>
          <w:b/>
          <w:sz w:val="22"/>
          <w:szCs w:val="24"/>
          <w:lang w:val="en-US" w:eastAsia="zh-CN"/>
        </w:rPr>
        <w:t>一期</w:t>
      </w:r>
      <w:r>
        <w:rPr>
          <w:rFonts w:hint="default" w:ascii="Times New Roman" w:hAnsi="Times New Roman" w:eastAsia="宋体" w:cs="Times New Roman"/>
          <w:b/>
          <w:sz w:val="22"/>
          <w:szCs w:val="24"/>
          <w:lang w:eastAsia="zh-CN"/>
        </w:rPr>
        <w:t>）</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764"/>
        <w:gridCol w:w="2787"/>
        <w:gridCol w:w="2787"/>
        <w:gridCol w:w="1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08" w:type="pct"/>
            <w:noWrap w:val="0"/>
            <w:vAlign w:val="center"/>
          </w:tcPr>
          <w:p>
            <w:pPr>
              <w:pStyle w:val="29"/>
              <w:adjustRightInd w:val="0"/>
              <w:snapToGrid w:val="0"/>
              <w:spacing w:after="0"/>
              <w:ind w:left="0" w:leftChars="0" w:firstLine="0" w:firstLineChars="0"/>
              <w:jc w:val="center"/>
              <w:rPr>
                <w:rFonts w:hint="default" w:ascii="Times New Roman" w:hAnsi="Times New Roman" w:eastAsia="宋体" w:cs="Times New Roman"/>
                <w:b/>
                <w:bCs/>
                <w:sz w:val="21"/>
                <w:szCs w:val="21"/>
                <w:lang w:val="en-US" w:eastAsia="zh-CN"/>
              </w:rPr>
            </w:pPr>
            <w:bookmarkStart w:id="21" w:name="_Toc504031145"/>
            <w:r>
              <w:rPr>
                <w:rFonts w:hint="default" w:ascii="Times New Roman" w:hAnsi="Times New Roman" w:eastAsia="宋体" w:cs="Times New Roman"/>
                <w:b/>
                <w:bCs/>
                <w:sz w:val="21"/>
                <w:szCs w:val="21"/>
                <w:lang w:val="en-US" w:eastAsia="zh-CN"/>
              </w:rPr>
              <w:t>类别</w:t>
            </w:r>
          </w:p>
        </w:tc>
        <w:tc>
          <w:tcPr>
            <w:tcW w:w="432" w:type="pct"/>
            <w:noWrap w:val="0"/>
            <w:vAlign w:val="center"/>
          </w:tcPr>
          <w:p>
            <w:pPr>
              <w:pStyle w:val="29"/>
              <w:adjustRightInd w:val="0"/>
              <w:snapToGrid w:val="0"/>
              <w:spacing w:after="0"/>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项目名称</w:t>
            </w:r>
          </w:p>
        </w:tc>
        <w:tc>
          <w:tcPr>
            <w:tcW w:w="1576" w:type="pct"/>
            <w:noWrap w:val="0"/>
            <w:vAlign w:val="center"/>
          </w:tcPr>
          <w:p>
            <w:pPr>
              <w:pStyle w:val="29"/>
              <w:adjustRightInd w:val="0"/>
              <w:snapToGrid w:val="0"/>
              <w:spacing w:after="0"/>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环评内容</w:t>
            </w:r>
          </w:p>
        </w:tc>
        <w:tc>
          <w:tcPr>
            <w:tcW w:w="1576" w:type="pct"/>
            <w:noWrap w:val="0"/>
            <w:vAlign w:val="center"/>
          </w:tcPr>
          <w:p>
            <w:pPr>
              <w:pStyle w:val="29"/>
              <w:adjustRightInd w:val="0"/>
              <w:snapToGrid w:val="0"/>
              <w:spacing w:after="0"/>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建设内容</w:t>
            </w:r>
          </w:p>
        </w:tc>
        <w:tc>
          <w:tcPr>
            <w:tcW w:w="1105" w:type="pct"/>
            <w:noWrap w:val="0"/>
            <w:vAlign w:val="center"/>
          </w:tcPr>
          <w:p>
            <w:pPr>
              <w:pStyle w:val="29"/>
              <w:adjustRightInd w:val="0"/>
              <w:snapToGrid w:val="0"/>
              <w:spacing w:after="0"/>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08" w:type="pct"/>
            <w:vMerge w:val="restart"/>
            <w:noWrap w:val="0"/>
            <w:vAlign w:val="center"/>
          </w:tcPr>
          <w:p>
            <w:pPr>
              <w:pStyle w:val="29"/>
              <w:adjustRightInd w:val="0"/>
              <w:snapToGrid w:val="0"/>
              <w:spacing w:after="0"/>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432" w:type="pct"/>
            <w:noWrap w:val="0"/>
            <w:vAlign w:val="center"/>
          </w:tcPr>
          <w:p>
            <w:pPr>
              <w:autoSpaceDE w:val="0"/>
              <w:autoSpaceDN w:val="0"/>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1号植脂末生产线供热</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kern w:val="2"/>
                <w:lang w:val="en-US" w:eastAsia="zh-CN"/>
              </w:rPr>
            </w:pPr>
            <w:r>
              <w:rPr>
                <w:rFonts w:hint="default" w:ascii="Times New Roman" w:hAnsi="Times New Roman" w:eastAsia="宋体" w:cs="Times New Roman"/>
                <w:kern w:val="2"/>
                <w:lang w:val="en-US" w:eastAsia="zh-CN"/>
              </w:rPr>
              <w:t>喷雾干燥工序</w:t>
            </w:r>
            <w:r>
              <w:rPr>
                <w:rFonts w:hint="default" w:ascii="Times New Roman" w:hAnsi="Times New Roman" w:eastAsia="宋体" w:cs="Times New Roman"/>
                <w:szCs w:val="21"/>
                <w:lang w:val="en-US" w:eastAsia="zh-CN"/>
              </w:rPr>
              <w:t>天然气空气直燃加热燃烧器燃烧天然气供热</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lang w:val="en-US" w:eastAsia="zh-CN"/>
              </w:rPr>
              <w:t>喷雾干燥工序</w:t>
            </w:r>
            <w:r>
              <w:rPr>
                <w:rFonts w:hint="default" w:ascii="Times New Roman" w:hAnsi="Times New Roman" w:eastAsia="宋体" w:cs="Times New Roman"/>
                <w:szCs w:val="21"/>
                <w:lang w:val="en-US" w:eastAsia="zh-CN"/>
              </w:rPr>
              <w:t>天然气空气直燃加热燃烧器燃烧天然气供热</w:t>
            </w:r>
          </w:p>
        </w:tc>
        <w:tc>
          <w:tcPr>
            <w:tcW w:w="1105" w:type="pct"/>
            <w:noWrap w:val="0"/>
            <w:vAlign w:val="center"/>
          </w:tcPr>
          <w:p>
            <w:pPr>
              <w:autoSpaceDE w:val="0"/>
              <w:autoSpaceDN w:val="0"/>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308" w:type="pct"/>
            <w:vMerge w:val="continue"/>
            <w:noWrap w:val="0"/>
            <w:vAlign w:val="center"/>
          </w:tcPr>
          <w:p>
            <w:pPr>
              <w:pStyle w:val="29"/>
              <w:adjustRightInd w:val="0"/>
              <w:snapToGrid w:val="0"/>
              <w:spacing w:after="0"/>
              <w:ind w:left="0" w:leftChars="0" w:firstLine="0" w:firstLineChars="0"/>
              <w:jc w:val="center"/>
              <w:rPr>
                <w:rFonts w:hint="default" w:ascii="Times New Roman" w:hAnsi="Times New Roman" w:eastAsia="宋体" w:cs="Times New Roman"/>
                <w:sz w:val="21"/>
                <w:szCs w:val="21"/>
                <w:lang w:val="en-US" w:eastAsia="zh-CN"/>
              </w:rPr>
            </w:pPr>
          </w:p>
        </w:tc>
        <w:tc>
          <w:tcPr>
            <w:tcW w:w="432" w:type="pct"/>
            <w:noWrap w:val="0"/>
            <w:vAlign w:val="center"/>
          </w:tcPr>
          <w:p>
            <w:pPr>
              <w:autoSpaceDE w:val="0"/>
              <w:autoSpaceDN w:val="0"/>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2号植脂末生产线供热</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kern w:val="2"/>
                <w:lang w:val="en-US" w:eastAsia="zh-CN"/>
              </w:rPr>
            </w:pPr>
            <w:r>
              <w:rPr>
                <w:rFonts w:hint="default" w:ascii="Times New Roman" w:hAnsi="Times New Roman" w:eastAsia="宋体" w:cs="Times New Roman"/>
                <w:kern w:val="2"/>
                <w:lang w:val="en-US" w:eastAsia="zh-CN"/>
              </w:rPr>
              <w:t>喷雾干燥工序</w:t>
            </w:r>
            <w:r>
              <w:rPr>
                <w:rFonts w:hint="default" w:ascii="Times New Roman" w:hAnsi="Times New Roman" w:eastAsia="宋体" w:cs="Times New Roman"/>
                <w:szCs w:val="21"/>
                <w:lang w:val="en-US" w:eastAsia="zh-CN"/>
              </w:rPr>
              <w:t>天然气空气直燃加热燃烧器燃烧天然气供热</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lang w:val="en-US" w:eastAsia="zh-CN"/>
              </w:rPr>
              <w:t>喷雾干燥工序</w:t>
            </w:r>
            <w:r>
              <w:rPr>
                <w:rFonts w:hint="default" w:ascii="Times New Roman" w:hAnsi="Times New Roman" w:eastAsia="宋体" w:cs="Times New Roman"/>
                <w:szCs w:val="21"/>
                <w:lang w:val="en-US" w:eastAsia="zh-CN"/>
              </w:rPr>
              <w:t>天然气空气直燃加热燃烧器燃烧天然气供热</w:t>
            </w:r>
          </w:p>
        </w:tc>
        <w:tc>
          <w:tcPr>
            <w:tcW w:w="1105" w:type="pct"/>
            <w:noWrap w:val="0"/>
            <w:vAlign w:val="center"/>
          </w:tcPr>
          <w:p>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08" w:type="pct"/>
            <w:vMerge w:val="continue"/>
            <w:noWrap w:val="0"/>
            <w:vAlign w:val="center"/>
          </w:tcPr>
          <w:p>
            <w:pPr>
              <w:pStyle w:val="29"/>
              <w:adjustRightInd w:val="0"/>
              <w:snapToGrid w:val="0"/>
              <w:spacing w:after="0"/>
              <w:ind w:left="0" w:leftChars="0" w:firstLine="0" w:firstLineChars="0"/>
              <w:jc w:val="center"/>
              <w:rPr>
                <w:rFonts w:hint="default" w:ascii="Times New Roman" w:hAnsi="Times New Roman" w:eastAsia="宋体" w:cs="Times New Roman"/>
                <w:sz w:val="21"/>
                <w:szCs w:val="21"/>
                <w:lang w:val="en-US" w:eastAsia="zh-CN"/>
              </w:rPr>
            </w:pPr>
          </w:p>
        </w:tc>
        <w:tc>
          <w:tcPr>
            <w:tcW w:w="432" w:type="pct"/>
            <w:noWrap w:val="0"/>
            <w:vAlign w:val="center"/>
          </w:tcPr>
          <w:p>
            <w:pPr>
              <w:autoSpaceDE w:val="0"/>
              <w:autoSpaceDN w:val="0"/>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3号植脂末生产线供热</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kern w:val="2"/>
                <w:lang w:val="en-US" w:eastAsia="zh-CN"/>
              </w:rPr>
            </w:pPr>
            <w:r>
              <w:rPr>
                <w:rFonts w:hint="default" w:ascii="Times New Roman" w:hAnsi="Times New Roman" w:eastAsia="宋体" w:cs="Times New Roman"/>
                <w:kern w:val="2"/>
                <w:lang w:val="en-US" w:eastAsia="zh-CN"/>
              </w:rPr>
              <w:t>喷雾干燥工序</w:t>
            </w:r>
            <w:r>
              <w:rPr>
                <w:rFonts w:hint="default" w:ascii="Times New Roman" w:hAnsi="Times New Roman" w:eastAsia="宋体" w:cs="Times New Roman"/>
                <w:szCs w:val="21"/>
                <w:lang w:val="en-US" w:eastAsia="zh-CN"/>
              </w:rPr>
              <w:t>天然气空气直燃加热燃烧器燃烧天然气供热</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lang w:val="en-US" w:eastAsia="zh-CN"/>
              </w:rPr>
              <w:t>喷雾干燥工序</w:t>
            </w:r>
            <w:r>
              <w:rPr>
                <w:rFonts w:hint="default" w:ascii="Times New Roman" w:hAnsi="Times New Roman" w:eastAsia="宋体" w:cs="Times New Roman"/>
                <w:szCs w:val="21"/>
                <w:lang w:val="en-US" w:eastAsia="zh-CN"/>
              </w:rPr>
              <w:t>天然气空气直燃加热燃烧器燃烧天然气供热</w:t>
            </w:r>
          </w:p>
        </w:tc>
        <w:tc>
          <w:tcPr>
            <w:tcW w:w="1105" w:type="pct"/>
            <w:noWrap w:val="0"/>
            <w:vAlign w:val="center"/>
          </w:tcPr>
          <w:p>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08" w:type="pct"/>
            <w:vMerge w:val="continue"/>
            <w:noWrap w:val="0"/>
            <w:vAlign w:val="center"/>
          </w:tcPr>
          <w:p>
            <w:pPr>
              <w:pStyle w:val="29"/>
              <w:adjustRightInd w:val="0"/>
              <w:snapToGrid w:val="0"/>
              <w:spacing w:after="0"/>
              <w:ind w:left="0" w:leftChars="0" w:firstLine="0" w:firstLineChars="0"/>
              <w:jc w:val="center"/>
              <w:rPr>
                <w:rFonts w:hint="default" w:ascii="Times New Roman" w:hAnsi="Times New Roman" w:eastAsia="宋体" w:cs="Times New Roman"/>
                <w:sz w:val="21"/>
                <w:szCs w:val="21"/>
                <w:lang w:val="en-US" w:eastAsia="zh-CN"/>
              </w:rPr>
            </w:pPr>
          </w:p>
        </w:tc>
        <w:tc>
          <w:tcPr>
            <w:tcW w:w="432" w:type="pct"/>
            <w:noWrap w:val="0"/>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给排水系统</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本次供热方式技改不新增员工，不涉及到水量的变化</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本次供热方式技改不新增员工，不涉及到水量的变化</w:t>
            </w:r>
          </w:p>
        </w:tc>
        <w:tc>
          <w:tcPr>
            <w:tcW w:w="1105" w:type="pct"/>
            <w:noWrap w:val="0"/>
            <w:vAlign w:val="center"/>
          </w:tcPr>
          <w:p>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308" w:type="pct"/>
            <w:vMerge w:val="continue"/>
            <w:noWrap w:val="0"/>
            <w:vAlign w:val="center"/>
          </w:tcPr>
          <w:p>
            <w:pPr>
              <w:pStyle w:val="29"/>
              <w:adjustRightInd w:val="0"/>
              <w:snapToGrid w:val="0"/>
              <w:spacing w:after="0"/>
              <w:ind w:left="0" w:leftChars="0" w:firstLine="0" w:firstLineChars="0"/>
              <w:jc w:val="center"/>
              <w:rPr>
                <w:rFonts w:hint="default" w:ascii="Times New Roman" w:hAnsi="Times New Roman" w:eastAsia="宋体" w:cs="Times New Roman"/>
                <w:sz w:val="21"/>
                <w:szCs w:val="21"/>
                <w:lang w:val="en-US" w:eastAsia="zh-CN"/>
              </w:rPr>
            </w:pPr>
          </w:p>
        </w:tc>
        <w:tc>
          <w:tcPr>
            <w:tcW w:w="432" w:type="pct"/>
            <w:noWrap w:val="0"/>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供电系统</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市政配套电网供电，年用电量</w:t>
            </w:r>
            <w:r>
              <w:rPr>
                <w:rFonts w:hint="default" w:ascii="Times New Roman" w:hAnsi="Times New Roman" w:eastAsia="宋体" w:cs="Times New Roman"/>
                <w:szCs w:val="21"/>
                <w:lang w:val="en-US" w:eastAsia="zh-CN"/>
              </w:rPr>
              <w:t>35</w:t>
            </w:r>
            <w:r>
              <w:rPr>
                <w:rFonts w:hint="default" w:ascii="Times New Roman" w:hAnsi="Times New Roman" w:eastAsia="宋体" w:cs="Times New Roman"/>
                <w:szCs w:val="21"/>
              </w:rPr>
              <w:t>万kw·h</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市政配套电网供电，年用电量</w:t>
            </w:r>
            <w:r>
              <w:rPr>
                <w:rFonts w:hint="default" w:ascii="Times New Roman" w:hAnsi="Times New Roman" w:eastAsia="宋体" w:cs="Times New Roman"/>
                <w:szCs w:val="21"/>
                <w:lang w:val="en-US" w:eastAsia="zh-CN"/>
              </w:rPr>
              <w:t>35</w:t>
            </w:r>
            <w:r>
              <w:rPr>
                <w:rFonts w:hint="default" w:ascii="Times New Roman" w:hAnsi="Times New Roman" w:eastAsia="宋体" w:cs="Times New Roman"/>
                <w:szCs w:val="21"/>
              </w:rPr>
              <w:t>万kw·h</w:t>
            </w:r>
          </w:p>
        </w:tc>
        <w:tc>
          <w:tcPr>
            <w:tcW w:w="1105" w:type="pct"/>
            <w:noWrap w:val="0"/>
            <w:vAlign w:val="center"/>
          </w:tcPr>
          <w:p>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8" w:type="pct"/>
            <w:vMerge w:val="restart"/>
            <w:noWrap w:val="0"/>
            <w:vAlign w:val="center"/>
          </w:tcPr>
          <w:p>
            <w:pPr>
              <w:pStyle w:val="29"/>
              <w:adjustRightInd w:val="0"/>
              <w:snapToGrid w:val="0"/>
              <w:spacing w:after="0"/>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w:t>
            </w:r>
          </w:p>
          <w:p>
            <w:pPr>
              <w:pStyle w:val="29"/>
              <w:adjustRightInd w:val="0"/>
              <w:snapToGrid w:val="0"/>
              <w:spacing w:after="0"/>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工程</w:t>
            </w:r>
          </w:p>
        </w:tc>
        <w:tc>
          <w:tcPr>
            <w:tcW w:w="432" w:type="pct"/>
            <w:noWrap w:val="0"/>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天然气空气直燃加热燃烧器燃烧天然气供热不涉及废水</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天然气空气直燃加热燃烧器燃烧天然气供热不涉及废水</w:t>
            </w:r>
          </w:p>
        </w:tc>
        <w:tc>
          <w:tcPr>
            <w:tcW w:w="1105" w:type="pct"/>
            <w:noWrap w:val="0"/>
            <w:vAlign w:val="center"/>
          </w:tcPr>
          <w:p>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308" w:type="pct"/>
            <w:vMerge w:val="continue"/>
            <w:noWrap w:val="0"/>
            <w:vAlign w:val="center"/>
          </w:tcPr>
          <w:p>
            <w:pPr>
              <w:pStyle w:val="29"/>
              <w:adjustRightInd w:val="0"/>
              <w:snapToGrid w:val="0"/>
              <w:spacing w:after="0"/>
              <w:ind w:left="0" w:leftChars="0" w:firstLine="0" w:firstLineChars="0"/>
              <w:jc w:val="center"/>
              <w:rPr>
                <w:rFonts w:hint="default" w:ascii="Times New Roman" w:hAnsi="Times New Roman" w:eastAsia="宋体" w:cs="Times New Roman"/>
                <w:sz w:val="21"/>
                <w:szCs w:val="21"/>
                <w:lang w:val="en-US" w:eastAsia="zh-CN"/>
              </w:rPr>
            </w:pPr>
          </w:p>
        </w:tc>
        <w:tc>
          <w:tcPr>
            <w:tcW w:w="432" w:type="pct"/>
            <w:noWrap w:val="0"/>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天然气</w:t>
            </w:r>
            <w:r>
              <w:rPr>
                <w:rFonts w:hint="default" w:ascii="Times New Roman" w:hAnsi="Times New Roman" w:eastAsia="宋体" w:cs="Times New Roman"/>
                <w:szCs w:val="21"/>
                <w:lang w:val="en-US" w:eastAsia="zh-CN"/>
              </w:rPr>
              <w:t>空气直燃加热燃烧器使用低氮燃烧技术</w:t>
            </w:r>
            <w:r>
              <w:rPr>
                <w:rFonts w:hint="default" w:ascii="Times New Roman" w:hAnsi="Times New Roman" w:eastAsia="宋体" w:cs="Times New Roman"/>
                <w:szCs w:val="21"/>
              </w:rPr>
              <w:t>，产生的烟气通过</w:t>
            </w:r>
            <w:r>
              <w:rPr>
                <w:rFonts w:hint="default" w:ascii="Times New Roman" w:hAnsi="Times New Roman" w:eastAsia="宋体" w:cs="Times New Roman"/>
                <w:szCs w:val="21"/>
                <w:lang w:val="en-US" w:eastAsia="zh-CN"/>
              </w:rPr>
              <w:t>DA001、DA002、DA003</w:t>
            </w:r>
            <w:r>
              <w:rPr>
                <w:rFonts w:hint="default" w:ascii="Times New Roman" w:hAnsi="Times New Roman" w:eastAsia="宋体" w:cs="Times New Roman"/>
                <w:szCs w:val="21"/>
              </w:rPr>
              <w:t>排气筒后达标排放。</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天然气</w:t>
            </w:r>
            <w:r>
              <w:rPr>
                <w:rFonts w:hint="default" w:ascii="Times New Roman" w:hAnsi="Times New Roman" w:eastAsia="宋体" w:cs="Times New Roman"/>
                <w:szCs w:val="21"/>
                <w:lang w:val="en-US" w:eastAsia="zh-CN"/>
              </w:rPr>
              <w:t>空气直燃加热燃烧器使用低氮燃烧技术</w:t>
            </w:r>
            <w:r>
              <w:rPr>
                <w:rFonts w:hint="default" w:ascii="Times New Roman" w:hAnsi="Times New Roman" w:eastAsia="宋体" w:cs="Times New Roman"/>
                <w:szCs w:val="21"/>
              </w:rPr>
              <w:t>，产生的烟气通过</w:t>
            </w:r>
            <w:r>
              <w:rPr>
                <w:rFonts w:hint="default" w:ascii="Times New Roman" w:hAnsi="Times New Roman" w:eastAsia="宋体" w:cs="Times New Roman"/>
                <w:szCs w:val="21"/>
                <w:lang w:val="en-US" w:eastAsia="zh-CN"/>
              </w:rPr>
              <w:t>DA00</w:t>
            </w:r>
            <w:r>
              <w:rPr>
                <w:rFonts w:hint="eastAsia" w:ascii="Times New Roman" w:hAnsi="Times New Roman" w:eastAsia="宋体" w:cs="Times New Roman"/>
                <w:szCs w:val="21"/>
                <w:lang w:val="en-US" w:eastAsia="zh-CN"/>
              </w:rPr>
              <w:t>4</w:t>
            </w:r>
            <w:r>
              <w:rPr>
                <w:rFonts w:hint="default" w:ascii="Times New Roman" w:hAnsi="Times New Roman" w:eastAsia="宋体" w:cs="Times New Roman"/>
                <w:szCs w:val="21"/>
                <w:lang w:val="en-US" w:eastAsia="zh-CN"/>
              </w:rPr>
              <w:t>、DA00</w:t>
            </w:r>
            <w:r>
              <w:rPr>
                <w:rFonts w:hint="eastAsia" w:ascii="Times New Roman" w:hAnsi="Times New Roman" w:eastAsia="宋体" w:cs="Times New Roman"/>
                <w:szCs w:val="21"/>
                <w:lang w:val="en-US" w:eastAsia="zh-CN"/>
              </w:rPr>
              <w:t>5</w:t>
            </w:r>
            <w:r>
              <w:rPr>
                <w:rFonts w:hint="default" w:ascii="Times New Roman" w:hAnsi="Times New Roman" w:eastAsia="宋体" w:cs="Times New Roman"/>
                <w:szCs w:val="21"/>
                <w:lang w:val="en-US" w:eastAsia="zh-CN"/>
              </w:rPr>
              <w:t>、DA00</w:t>
            </w:r>
            <w:r>
              <w:rPr>
                <w:rFonts w:hint="eastAsia" w:ascii="Times New Roman" w:hAnsi="Times New Roman" w:eastAsia="宋体" w:cs="Times New Roman"/>
                <w:szCs w:val="21"/>
                <w:lang w:val="en-US" w:eastAsia="zh-CN"/>
              </w:rPr>
              <w:t>6</w:t>
            </w:r>
            <w:r>
              <w:rPr>
                <w:rFonts w:hint="default" w:ascii="Times New Roman" w:hAnsi="Times New Roman" w:eastAsia="宋体" w:cs="Times New Roman"/>
                <w:szCs w:val="21"/>
              </w:rPr>
              <w:t>排气筒后达标排放。</w:t>
            </w:r>
          </w:p>
        </w:tc>
        <w:tc>
          <w:tcPr>
            <w:tcW w:w="1105" w:type="pct"/>
            <w:noWrap w:val="0"/>
            <w:vAlign w:val="center"/>
          </w:tcPr>
          <w:p>
            <w:pPr>
              <w:autoSpaceDE w:val="0"/>
              <w:autoSpaceDN w:val="0"/>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排气筒编号变更为DA004、DA005、DA006其余与环评一致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08" w:type="pct"/>
            <w:vMerge w:val="continue"/>
            <w:noWrap w:val="0"/>
            <w:vAlign w:val="center"/>
          </w:tcPr>
          <w:p>
            <w:pPr>
              <w:pStyle w:val="29"/>
              <w:adjustRightInd w:val="0"/>
              <w:snapToGrid w:val="0"/>
              <w:spacing w:after="0"/>
              <w:ind w:left="0" w:leftChars="0" w:firstLine="0" w:firstLineChars="0"/>
              <w:jc w:val="center"/>
              <w:rPr>
                <w:rFonts w:hint="default" w:ascii="Times New Roman" w:hAnsi="Times New Roman" w:eastAsia="宋体" w:cs="Times New Roman"/>
                <w:sz w:val="21"/>
                <w:szCs w:val="21"/>
                <w:lang w:val="en-US" w:eastAsia="zh-CN"/>
              </w:rPr>
            </w:pPr>
          </w:p>
        </w:tc>
        <w:tc>
          <w:tcPr>
            <w:tcW w:w="432" w:type="pct"/>
            <w:noWrap w:val="0"/>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噪声</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合理布局，采取降噪、隔声等措施。</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合理布局，采取降噪、隔声等措施。</w:t>
            </w:r>
          </w:p>
        </w:tc>
        <w:tc>
          <w:tcPr>
            <w:tcW w:w="1105" w:type="pct"/>
            <w:noWrap w:val="0"/>
            <w:vAlign w:val="center"/>
          </w:tcPr>
          <w:p>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308" w:type="pct"/>
            <w:vMerge w:val="continue"/>
            <w:noWrap w:val="0"/>
            <w:vAlign w:val="center"/>
          </w:tcPr>
          <w:p>
            <w:pPr>
              <w:pStyle w:val="29"/>
              <w:adjustRightInd w:val="0"/>
              <w:snapToGrid w:val="0"/>
              <w:spacing w:after="0"/>
              <w:ind w:left="0" w:leftChars="0" w:firstLine="0" w:firstLineChars="0"/>
              <w:jc w:val="center"/>
              <w:rPr>
                <w:rFonts w:hint="default" w:ascii="Times New Roman" w:hAnsi="Times New Roman" w:eastAsia="宋体" w:cs="Times New Roman"/>
                <w:sz w:val="21"/>
                <w:szCs w:val="21"/>
                <w:lang w:val="en-US" w:eastAsia="zh-CN"/>
              </w:rPr>
            </w:pPr>
          </w:p>
        </w:tc>
        <w:tc>
          <w:tcPr>
            <w:tcW w:w="432" w:type="pct"/>
            <w:noWrap w:val="0"/>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燃气空气直燃加热燃烧器燃烧天然气供热</w:t>
            </w:r>
            <w:r>
              <w:rPr>
                <w:rFonts w:hint="default" w:ascii="Times New Roman" w:hAnsi="Times New Roman" w:eastAsia="宋体" w:cs="Times New Roman"/>
                <w:kern w:val="2"/>
                <w:lang w:val="en-US" w:eastAsia="zh-CN"/>
              </w:rPr>
              <w:t>无固废产生</w:t>
            </w:r>
          </w:p>
        </w:tc>
        <w:tc>
          <w:tcPr>
            <w:tcW w:w="1576" w:type="pct"/>
            <w:noWrap w:val="0"/>
            <w:vAlign w:val="center"/>
          </w:tcPr>
          <w:p>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燃气空气直燃加热燃烧器燃烧天然气供热</w:t>
            </w:r>
            <w:r>
              <w:rPr>
                <w:rFonts w:hint="default" w:ascii="Times New Roman" w:hAnsi="Times New Roman" w:eastAsia="宋体" w:cs="Times New Roman"/>
                <w:kern w:val="2"/>
                <w:lang w:val="en-US" w:eastAsia="zh-CN"/>
              </w:rPr>
              <w:t>无固废产生</w:t>
            </w:r>
          </w:p>
        </w:tc>
        <w:tc>
          <w:tcPr>
            <w:tcW w:w="1105" w:type="pct"/>
            <w:noWrap w:val="0"/>
            <w:vAlign w:val="center"/>
          </w:tcPr>
          <w:p>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与环评一致</w:t>
            </w:r>
          </w:p>
        </w:tc>
      </w:tr>
    </w:tbl>
    <w:p>
      <w:pPr>
        <w:pStyle w:val="47"/>
        <w:spacing w:line="360" w:lineRule="auto"/>
        <w:ind w:firstLine="281" w:firstLineChars="100"/>
        <w:jc w:val="left"/>
        <w:outlineLvl w:val="1"/>
        <w:rPr>
          <w:rFonts w:hint="default" w:ascii="Times New Roman" w:hAnsi="Times New Roman" w:eastAsia="宋体" w:cs="Times New Roman"/>
          <w:b/>
          <w:sz w:val="28"/>
          <w:szCs w:val="32"/>
        </w:rPr>
      </w:pPr>
      <w:bookmarkStart w:id="22" w:name="_Toc18654"/>
      <w:r>
        <w:rPr>
          <w:rFonts w:hint="default" w:ascii="Times New Roman" w:hAnsi="Times New Roman" w:eastAsia="宋体" w:cs="Times New Roman"/>
          <w:b/>
          <w:sz w:val="28"/>
          <w:szCs w:val="32"/>
        </w:rPr>
        <w:t>3.3主要产品</w:t>
      </w:r>
      <w:r>
        <w:rPr>
          <w:rFonts w:hint="default" w:ascii="Times New Roman" w:hAnsi="Times New Roman" w:eastAsia="宋体" w:cs="Times New Roman"/>
          <w:b/>
          <w:sz w:val="28"/>
          <w:szCs w:val="32"/>
          <w:lang w:eastAsia="zh-CN"/>
        </w:rPr>
        <w:t>、</w:t>
      </w:r>
      <w:r>
        <w:rPr>
          <w:rFonts w:hint="default" w:ascii="Times New Roman" w:hAnsi="Times New Roman" w:eastAsia="宋体" w:cs="Times New Roman"/>
          <w:b/>
          <w:sz w:val="28"/>
          <w:szCs w:val="32"/>
        </w:rPr>
        <w:t>原辅材料</w:t>
      </w:r>
      <w:bookmarkEnd w:id="21"/>
      <w:r>
        <w:rPr>
          <w:rFonts w:hint="default" w:ascii="Times New Roman" w:hAnsi="Times New Roman" w:eastAsia="宋体" w:cs="Times New Roman"/>
          <w:b/>
          <w:sz w:val="28"/>
          <w:szCs w:val="32"/>
        </w:rPr>
        <w:t>、及生产设备</w:t>
      </w:r>
      <w:bookmarkEnd w:id="22"/>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lang w:val="en-US" w:eastAsia="zh-CN"/>
        </w:rPr>
        <w:t>该项目产品产量详见</w:t>
      </w:r>
      <w:r>
        <w:rPr>
          <w:rFonts w:hint="eastAsia" w:ascii="Times New Roman" w:hAnsi="Times New Roman" w:eastAsia="宋体" w:cs="Times New Roman"/>
          <w:color w:val="000000"/>
          <w:sz w:val="24"/>
          <w:szCs w:val="28"/>
          <w:lang w:val="en-US" w:eastAsia="zh-CN"/>
        </w:rPr>
        <w:t>下表。</w:t>
      </w:r>
    </w:p>
    <w:p>
      <w:pPr>
        <w:spacing w:line="240" w:lineRule="auto"/>
        <w:ind w:firstLine="482" w:firstLineChars="200"/>
        <w:jc w:val="center"/>
        <w:rPr>
          <w:rFonts w:hint="default" w:ascii="Times New Roman" w:hAnsi="Times New Roman" w:eastAsia="宋体" w:cs="Times New Roman"/>
          <w:b/>
          <w:bCs/>
          <w:color w:val="000000"/>
          <w:sz w:val="24"/>
          <w:szCs w:val="28"/>
          <w:lang w:val="en-US" w:eastAsia="zh-CN"/>
        </w:rPr>
      </w:pPr>
      <w:r>
        <w:rPr>
          <w:rFonts w:hint="default" w:ascii="Times New Roman" w:hAnsi="Times New Roman" w:eastAsia="宋体" w:cs="Times New Roman"/>
          <w:b/>
          <w:bCs/>
          <w:color w:val="000000"/>
          <w:sz w:val="24"/>
          <w:szCs w:val="28"/>
          <w:lang w:val="en-US" w:eastAsia="zh-CN"/>
        </w:rPr>
        <w:t>表3-3</w:t>
      </w:r>
      <w:r>
        <w:rPr>
          <w:rFonts w:hint="eastAsia" w:ascii="Times New Roman" w:hAnsi="Times New Roman" w:eastAsia="宋体" w:cs="Times New Roman"/>
          <w:b/>
          <w:bCs/>
          <w:color w:val="000000"/>
          <w:sz w:val="24"/>
          <w:szCs w:val="28"/>
          <w:lang w:val="en-US" w:eastAsia="zh-CN"/>
        </w:rPr>
        <w:t>.1</w:t>
      </w:r>
      <w:r>
        <w:rPr>
          <w:rFonts w:hint="default" w:ascii="Times New Roman" w:hAnsi="Times New Roman" w:eastAsia="宋体" w:cs="Times New Roman"/>
          <w:b/>
          <w:bCs/>
          <w:color w:val="000000"/>
          <w:sz w:val="24"/>
          <w:szCs w:val="28"/>
          <w:lang w:val="en-US" w:eastAsia="zh-CN"/>
        </w:rPr>
        <w:t>产品产量一览表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1767"/>
        <w:gridCol w:w="1767"/>
        <w:gridCol w:w="1767"/>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1767" w:type="dxa"/>
            <w:vAlign w:val="center"/>
          </w:tcPr>
          <w:p>
            <w:pPr>
              <w:jc w:val="center"/>
              <w:rPr>
                <w:rFonts w:hint="default" w:ascii="Times New Roman" w:hAnsi="Times New Roman" w:eastAsia="宋体" w:cs="Times New Roman"/>
                <w:color w:val="000000"/>
                <w:sz w:val="24"/>
                <w:szCs w:val="28"/>
                <w:vertAlign w:val="baseline"/>
              </w:rPr>
            </w:pPr>
            <w:r>
              <w:rPr>
                <w:rFonts w:hint="default" w:ascii="Times New Roman" w:hAnsi="Times New Roman" w:eastAsia="宋体" w:cs="Times New Roman"/>
                <w:b/>
                <w:szCs w:val="21"/>
              </w:rPr>
              <w:t>序号</w:t>
            </w:r>
          </w:p>
        </w:tc>
        <w:tc>
          <w:tcPr>
            <w:tcW w:w="1767" w:type="dxa"/>
            <w:vAlign w:val="center"/>
          </w:tcPr>
          <w:p>
            <w:pPr>
              <w:jc w:val="center"/>
              <w:rPr>
                <w:rFonts w:hint="default" w:ascii="Times New Roman" w:hAnsi="Times New Roman" w:eastAsia="宋体" w:cs="Times New Roman"/>
                <w:color w:val="000000"/>
                <w:sz w:val="24"/>
                <w:szCs w:val="28"/>
                <w:vertAlign w:val="baseline"/>
              </w:rPr>
            </w:pPr>
            <w:r>
              <w:rPr>
                <w:rFonts w:hint="default" w:ascii="Times New Roman" w:hAnsi="Times New Roman" w:eastAsia="宋体" w:cs="Times New Roman"/>
                <w:b/>
                <w:bCs/>
                <w:szCs w:val="21"/>
              </w:rPr>
              <w:t>名称</w:t>
            </w:r>
          </w:p>
        </w:tc>
        <w:tc>
          <w:tcPr>
            <w:tcW w:w="1767" w:type="dxa"/>
            <w:vAlign w:val="center"/>
          </w:tcPr>
          <w:p>
            <w:pPr>
              <w:jc w:val="center"/>
              <w:rPr>
                <w:rFonts w:hint="default" w:ascii="Times New Roman" w:hAnsi="Times New Roman" w:eastAsia="宋体" w:cs="Times New Roman"/>
                <w:color w:val="000000"/>
                <w:sz w:val="24"/>
                <w:szCs w:val="28"/>
                <w:vertAlign w:val="baseline"/>
              </w:rPr>
            </w:pPr>
            <w:r>
              <w:rPr>
                <w:rFonts w:hint="default" w:ascii="Times New Roman" w:hAnsi="Times New Roman" w:eastAsia="宋体" w:cs="Times New Roman"/>
                <w:b/>
                <w:bCs/>
                <w:szCs w:val="21"/>
              </w:rPr>
              <w:t>环评量</w:t>
            </w:r>
          </w:p>
        </w:tc>
        <w:tc>
          <w:tcPr>
            <w:tcW w:w="1767" w:type="dxa"/>
            <w:vAlign w:val="center"/>
          </w:tcPr>
          <w:p>
            <w:pPr>
              <w:jc w:val="center"/>
              <w:rPr>
                <w:rFonts w:hint="default" w:ascii="Times New Roman" w:hAnsi="Times New Roman" w:eastAsia="宋体" w:cs="Times New Roman"/>
                <w:color w:val="000000"/>
                <w:sz w:val="24"/>
                <w:szCs w:val="28"/>
                <w:vertAlign w:val="baseline"/>
              </w:rPr>
            </w:pPr>
            <w:r>
              <w:rPr>
                <w:rFonts w:hint="default" w:ascii="Times New Roman" w:hAnsi="Times New Roman" w:eastAsia="宋体" w:cs="Times New Roman"/>
                <w:b/>
                <w:bCs/>
                <w:szCs w:val="21"/>
              </w:rPr>
              <w:t>实际量</w:t>
            </w:r>
          </w:p>
        </w:tc>
        <w:tc>
          <w:tcPr>
            <w:tcW w:w="1768" w:type="dxa"/>
            <w:vAlign w:val="center"/>
          </w:tcPr>
          <w:p>
            <w:pPr>
              <w:jc w:val="center"/>
              <w:rPr>
                <w:rFonts w:hint="default" w:ascii="Times New Roman" w:hAnsi="Times New Roman" w:eastAsia="宋体" w:cs="Times New Roman"/>
                <w:color w:val="000000"/>
                <w:sz w:val="24"/>
                <w:szCs w:val="28"/>
                <w:vertAlign w:val="baseline"/>
              </w:rPr>
            </w:pPr>
            <w:r>
              <w:rPr>
                <w:rFonts w:hint="default" w:ascii="Times New Roman" w:hAnsi="Times New Roman" w:eastAsia="宋体" w:cs="Times New Roman"/>
                <w:b/>
                <w:bCs/>
                <w:szCs w:val="21"/>
              </w:rPr>
              <w:t>备注</w:t>
            </w:r>
            <w:r>
              <w:rPr>
                <w:rFonts w:hint="default" w:ascii="Times New Roman" w:hAnsi="Times New Roman" w:eastAsia="宋体" w:cs="Times New Roman"/>
                <w:b/>
                <w:bCs/>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center"/>
          </w:tcPr>
          <w:p>
            <w:pPr>
              <w:spacing w:line="360" w:lineRule="auto"/>
              <w:jc w:val="center"/>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t>1</w:t>
            </w:r>
          </w:p>
        </w:tc>
        <w:tc>
          <w:tcPr>
            <w:tcW w:w="1767" w:type="dxa"/>
            <w:vAlign w:val="center"/>
          </w:tcPr>
          <w:p>
            <w:pPr>
              <w:spacing w:line="360" w:lineRule="auto"/>
              <w:jc w:val="center"/>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t>植脂末</w:t>
            </w:r>
          </w:p>
        </w:tc>
        <w:tc>
          <w:tcPr>
            <w:tcW w:w="1767" w:type="dxa"/>
            <w:vAlign w:val="center"/>
          </w:tcPr>
          <w:p>
            <w:pPr>
              <w:spacing w:line="360" w:lineRule="auto"/>
              <w:jc w:val="center"/>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t>8万吨/年</w:t>
            </w:r>
          </w:p>
        </w:tc>
        <w:tc>
          <w:tcPr>
            <w:tcW w:w="1767" w:type="dxa"/>
            <w:vAlign w:val="center"/>
          </w:tcPr>
          <w:p>
            <w:pPr>
              <w:spacing w:line="360" w:lineRule="auto"/>
              <w:jc w:val="center"/>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t>8万吨/年</w:t>
            </w:r>
          </w:p>
        </w:tc>
        <w:tc>
          <w:tcPr>
            <w:tcW w:w="1768" w:type="dxa"/>
            <w:vAlign w:val="center"/>
          </w:tcPr>
          <w:p>
            <w:pPr>
              <w:spacing w:line="360" w:lineRule="auto"/>
              <w:jc w:val="center"/>
              <w:rPr>
                <w:rFonts w:hint="default" w:ascii="Times New Roman" w:hAnsi="Times New Roman" w:eastAsia="宋体" w:cs="Times New Roman"/>
                <w:color w:val="000000"/>
                <w:sz w:val="24"/>
                <w:szCs w:val="28"/>
                <w:vertAlign w:val="baseline"/>
              </w:rPr>
            </w:pPr>
            <w:r>
              <w:rPr>
                <w:rFonts w:hint="default" w:ascii="Times New Roman" w:hAnsi="Times New Roman" w:eastAsia="宋体" w:cs="Times New Roman"/>
                <w:lang w:val="en-US" w:eastAsia="zh-CN"/>
              </w:rPr>
              <w:t>同环评一致</w:t>
            </w:r>
          </w:p>
        </w:tc>
      </w:tr>
    </w:tbl>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该项目原辅材料及产品详见</w:t>
      </w:r>
      <w:r>
        <w:rPr>
          <w:rFonts w:hint="eastAsia" w:ascii="Times New Roman" w:hAnsi="Times New Roman" w:eastAsia="宋体" w:cs="Times New Roman"/>
          <w:color w:val="000000"/>
          <w:sz w:val="24"/>
          <w:szCs w:val="28"/>
          <w:lang w:val="en-US" w:eastAsia="zh-CN"/>
        </w:rPr>
        <w:t>下表</w:t>
      </w:r>
      <w:r>
        <w:rPr>
          <w:rFonts w:hint="default" w:ascii="Times New Roman" w:hAnsi="Times New Roman" w:eastAsia="宋体" w:cs="Times New Roman"/>
          <w:color w:val="000000"/>
          <w:sz w:val="24"/>
          <w:szCs w:val="28"/>
        </w:rPr>
        <w:t>。</w:t>
      </w:r>
    </w:p>
    <w:p>
      <w:pPr>
        <w:pStyle w:val="11"/>
        <w:spacing w:after="0" w:line="240" w:lineRule="auto"/>
        <w:ind w:left="0"/>
        <w:jc w:val="center"/>
        <w:rPr>
          <w:rFonts w:hint="default" w:ascii="Times New Roman" w:hAnsi="Times New Roman" w:eastAsia="宋体" w:cs="Times New Roman"/>
          <w:b/>
          <w:sz w:val="22"/>
          <w:szCs w:val="24"/>
        </w:rPr>
      </w:pPr>
      <w:r>
        <w:rPr>
          <w:rFonts w:hint="default" w:ascii="Times New Roman" w:hAnsi="Times New Roman" w:eastAsia="宋体" w:cs="Times New Roman"/>
          <w:b/>
          <w:sz w:val="22"/>
          <w:szCs w:val="24"/>
        </w:rPr>
        <w:t>表3-</w:t>
      </w:r>
      <w:r>
        <w:rPr>
          <w:rFonts w:hint="eastAsia" w:ascii="Times New Roman" w:hAnsi="Times New Roman" w:eastAsia="宋体" w:cs="Times New Roman"/>
          <w:b/>
          <w:sz w:val="22"/>
          <w:szCs w:val="24"/>
          <w:lang w:val="en-US" w:eastAsia="zh-CN"/>
        </w:rPr>
        <w:t>3.2</w:t>
      </w:r>
      <w:r>
        <w:rPr>
          <w:rFonts w:hint="default" w:ascii="Times New Roman" w:hAnsi="Times New Roman" w:eastAsia="宋体" w:cs="Times New Roman"/>
          <w:b/>
          <w:sz w:val="22"/>
          <w:szCs w:val="24"/>
        </w:rPr>
        <w:t xml:space="preserve"> 项目主要原辅料及</w:t>
      </w:r>
      <w:r>
        <w:rPr>
          <w:rFonts w:hint="default" w:ascii="Times New Roman" w:hAnsi="Times New Roman" w:eastAsia="宋体" w:cs="Times New Roman"/>
          <w:b/>
          <w:sz w:val="22"/>
          <w:szCs w:val="24"/>
          <w:lang w:val="en-US" w:eastAsia="zh-CN"/>
        </w:rPr>
        <w:t>能源消耗</w:t>
      </w:r>
      <w:r>
        <w:rPr>
          <w:rFonts w:hint="default" w:ascii="Times New Roman" w:hAnsi="Times New Roman" w:eastAsia="宋体" w:cs="Times New Roman"/>
          <w:b/>
          <w:sz w:val="22"/>
          <w:szCs w:val="24"/>
        </w:rPr>
        <w:t>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881"/>
        <w:gridCol w:w="1464"/>
        <w:gridCol w:w="1922"/>
        <w:gridCol w:w="1922"/>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 w:type="pct"/>
            <w:vAlign w:val="center"/>
          </w:tcPr>
          <w:p>
            <w:pPr>
              <w:spacing w:line="240" w:lineRule="auto"/>
              <w:jc w:val="center"/>
              <w:rPr>
                <w:rFonts w:hint="default" w:ascii="Times New Roman" w:hAnsi="Times New Roman" w:eastAsia="宋体" w:cs="Times New Roman"/>
                <w:b/>
                <w:bCs/>
                <w:szCs w:val="21"/>
              </w:rPr>
            </w:pPr>
            <w:r>
              <w:rPr>
                <w:rFonts w:hint="default" w:ascii="Times New Roman" w:hAnsi="Times New Roman" w:eastAsia="宋体" w:cs="Times New Roman"/>
                <w:b/>
                <w:szCs w:val="21"/>
              </w:rPr>
              <w:t>序号</w:t>
            </w:r>
          </w:p>
        </w:tc>
        <w:tc>
          <w:tcPr>
            <w:tcW w:w="1328" w:type="pct"/>
            <w:gridSpan w:val="2"/>
            <w:vAlign w:val="center"/>
          </w:tcPr>
          <w:p>
            <w:pPr>
              <w:spacing w:line="24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名称</w:t>
            </w:r>
          </w:p>
        </w:tc>
        <w:tc>
          <w:tcPr>
            <w:tcW w:w="1088" w:type="pct"/>
            <w:vAlign w:val="center"/>
          </w:tcPr>
          <w:p>
            <w:pPr>
              <w:spacing w:line="24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环评量</w:t>
            </w:r>
          </w:p>
        </w:tc>
        <w:tc>
          <w:tcPr>
            <w:tcW w:w="1088" w:type="pct"/>
            <w:vAlign w:val="center"/>
          </w:tcPr>
          <w:p>
            <w:pPr>
              <w:spacing w:line="240" w:lineRule="auto"/>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rPr>
              <w:t>实际量</w:t>
            </w:r>
          </w:p>
        </w:tc>
        <w:tc>
          <w:tcPr>
            <w:tcW w:w="993" w:type="pct"/>
            <w:vAlign w:val="center"/>
          </w:tcPr>
          <w:p>
            <w:pPr>
              <w:spacing w:line="240" w:lineRule="auto"/>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rPr>
              <w:t>备注</w:t>
            </w:r>
            <w:r>
              <w:rPr>
                <w:rFonts w:hint="default" w:ascii="Times New Roman" w:hAnsi="Times New Roman" w:eastAsia="宋体" w:cs="Times New Roman"/>
                <w:b/>
                <w:bCs/>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产品方案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Align w:val="center"/>
          </w:tcPr>
          <w:p>
            <w:pPr>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328" w:type="pct"/>
            <w:gridSpan w:val="2"/>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糖浆</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52000t/a</w:t>
            </w:r>
          </w:p>
        </w:tc>
        <w:tc>
          <w:tcPr>
            <w:tcW w:w="1088" w:type="pct"/>
            <w:vAlign w:val="center"/>
          </w:tcPr>
          <w:p>
            <w:pPr>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color w:val="auto"/>
                <w:kern w:val="2"/>
                <w:sz w:val="21"/>
                <w:szCs w:val="21"/>
                <w:lang w:val="en-US" w:eastAsia="zh-CN" w:bidi="ar-SA"/>
              </w:rPr>
              <w:t>52000t/a</w:t>
            </w:r>
          </w:p>
        </w:tc>
        <w:tc>
          <w:tcPr>
            <w:tcW w:w="993" w:type="pct"/>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Align w:val="center"/>
          </w:tcPr>
          <w:p>
            <w:pPr>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1328" w:type="pct"/>
            <w:gridSpan w:val="2"/>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油脂</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24000t/a</w:t>
            </w:r>
          </w:p>
        </w:tc>
        <w:tc>
          <w:tcPr>
            <w:tcW w:w="108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24000t/a</w:t>
            </w:r>
          </w:p>
        </w:tc>
        <w:tc>
          <w:tcPr>
            <w:tcW w:w="993" w:type="pct"/>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restart"/>
            <w:vAlign w:val="center"/>
          </w:tcPr>
          <w:p>
            <w:pPr>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w:t>
            </w:r>
          </w:p>
        </w:tc>
        <w:tc>
          <w:tcPr>
            <w:tcW w:w="499" w:type="pct"/>
            <w:vMerge w:val="restar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辅料</w:t>
            </w:r>
          </w:p>
        </w:tc>
        <w:tc>
          <w:tcPr>
            <w:tcW w:w="829"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调味料</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1t/a</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1t/a</w:t>
            </w:r>
          </w:p>
        </w:tc>
        <w:tc>
          <w:tcPr>
            <w:tcW w:w="993" w:type="pct"/>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pPr>
              <w:spacing w:line="240" w:lineRule="auto"/>
              <w:jc w:val="center"/>
              <w:rPr>
                <w:rFonts w:hint="default" w:ascii="Times New Roman" w:hAnsi="Times New Roman" w:eastAsia="宋体" w:cs="Times New Roman"/>
                <w:szCs w:val="21"/>
                <w:lang w:val="en-US" w:eastAsia="zh-CN"/>
              </w:rPr>
            </w:pPr>
          </w:p>
        </w:tc>
        <w:tc>
          <w:tcPr>
            <w:tcW w:w="499" w:type="pct"/>
            <w:vMerge w:val="continue"/>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p>
        </w:tc>
        <w:tc>
          <w:tcPr>
            <w:tcW w:w="829"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面粉</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1200t/a</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1200t/a</w:t>
            </w:r>
          </w:p>
        </w:tc>
        <w:tc>
          <w:tcPr>
            <w:tcW w:w="993" w:type="pct"/>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pPr>
              <w:spacing w:line="240" w:lineRule="auto"/>
              <w:jc w:val="center"/>
              <w:rPr>
                <w:rFonts w:hint="default" w:ascii="Times New Roman" w:hAnsi="Times New Roman" w:eastAsia="宋体" w:cs="Times New Roman"/>
                <w:szCs w:val="21"/>
                <w:lang w:val="en-US" w:eastAsia="zh-CN"/>
              </w:rPr>
            </w:pPr>
          </w:p>
        </w:tc>
        <w:tc>
          <w:tcPr>
            <w:tcW w:w="499" w:type="pct"/>
            <w:vMerge w:val="continue"/>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p>
        </w:tc>
        <w:tc>
          <w:tcPr>
            <w:tcW w:w="829"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麦芽糊精</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400t/a</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400t/a</w:t>
            </w:r>
          </w:p>
        </w:tc>
        <w:tc>
          <w:tcPr>
            <w:tcW w:w="993" w:type="pct"/>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 w:type="pct"/>
            <w:vMerge w:val="continue"/>
            <w:vAlign w:val="center"/>
          </w:tcPr>
          <w:p>
            <w:pPr>
              <w:spacing w:line="240" w:lineRule="auto"/>
              <w:jc w:val="center"/>
              <w:rPr>
                <w:rFonts w:hint="default" w:ascii="Times New Roman" w:hAnsi="Times New Roman" w:eastAsia="宋体" w:cs="Times New Roman"/>
                <w:szCs w:val="21"/>
                <w:lang w:val="en-US" w:eastAsia="zh-CN"/>
              </w:rPr>
            </w:pPr>
          </w:p>
        </w:tc>
        <w:tc>
          <w:tcPr>
            <w:tcW w:w="499" w:type="pct"/>
            <w:vMerge w:val="continue"/>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p>
        </w:tc>
        <w:tc>
          <w:tcPr>
            <w:tcW w:w="829"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淀粉</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1200t/a</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1200t/a</w:t>
            </w:r>
          </w:p>
        </w:tc>
        <w:tc>
          <w:tcPr>
            <w:tcW w:w="993" w:type="pct"/>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pPr>
              <w:spacing w:line="240" w:lineRule="auto"/>
              <w:jc w:val="center"/>
              <w:rPr>
                <w:rFonts w:hint="default" w:ascii="Times New Roman" w:hAnsi="Times New Roman" w:eastAsia="宋体" w:cs="Times New Roman"/>
                <w:szCs w:val="21"/>
                <w:lang w:val="en-US" w:eastAsia="zh-CN"/>
              </w:rPr>
            </w:pPr>
          </w:p>
        </w:tc>
        <w:tc>
          <w:tcPr>
            <w:tcW w:w="499" w:type="pct"/>
            <w:vMerge w:val="continue"/>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p>
        </w:tc>
        <w:tc>
          <w:tcPr>
            <w:tcW w:w="829"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肽蛋白</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600t/a</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600t/a</w:t>
            </w:r>
          </w:p>
        </w:tc>
        <w:tc>
          <w:tcPr>
            <w:tcW w:w="993" w:type="pct"/>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pPr>
              <w:spacing w:line="240" w:lineRule="auto"/>
              <w:jc w:val="center"/>
              <w:rPr>
                <w:rFonts w:hint="default" w:ascii="Times New Roman" w:hAnsi="Times New Roman" w:eastAsia="宋体" w:cs="Times New Roman"/>
                <w:szCs w:val="21"/>
                <w:lang w:val="en-US" w:eastAsia="zh-CN"/>
              </w:rPr>
            </w:pPr>
          </w:p>
        </w:tc>
        <w:tc>
          <w:tcPr>
            <w:tcW w:w="499" w:type="pct"/>
            <w:vMerge w:val="continue"/>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p>
        </w:tc>
        <w:tc>
          <w:tcPr>
            <w:tcW w:w="829"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淀粉酶</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599t/a</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599t/a</w:t>
            </w:r>
          </w:p>
        </w:tc>
        <w:tc>
          <w:tcPr>
            <w:tcW w:w="993" w:type="pct"/>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Align w:val="center"/>
          </w:tcPr>
          <w:p>
            <w:pPr>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w:t>
            </w:r>
          </w:p>
        </w:tc>
        <w:tc>
          <w:tcPr>
            <w:tcW w:w="1328" w:type="pct"/>
            <w:gridSpan w:val="2"/>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天然气</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441.6万m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/a</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441.6万m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/a</w:t>
            </w:r>
          </w:p>
        </w:tc>
        <w:tc>
          <w:tcPr>
            <w:tcW w:w="993" w:type="pct"/>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Align w:val="center"/>
          </w:tcPr>
          <w:p>
            <w:pPr>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w:t>
            </w:r>
          </w:p>
        </w:tc>
        <w:tc>
          <w:tcPr>
            <w:tcW w:w="1328" w:type="pct"/>
            <w:gridSpan w:val="2"/>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电</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r>
              <w:rPr>
                <w:rFonts w:hint="default" w:ascii="Times New Roman" w:hAnsi="Times New Roman" w:eastAsia="宋体" w:cs="Times New Roman"/>
                <w:lang w:val="en-US" w:eastAsia="zh-CN"/>
              </w:rPr>
              <w:t>万</w:t>
            </w:r>
            <w:r>
              <w:rPr>
                <w:rFonts w:hint="default" w:ascii="Times New Roman" w:hAnsi="Times New Roman" w:eastAsia="宋体" w:cs="Times New Roman"/>
                <w:szCs w:val="21"/>
              </w:rPr>
              <w:t>kw·h</w:t>
            </w:r>
          </w:p>
        </w:tc>
        <w:tc>
          <w:tcPr>
            <w:tcW w:w="1088" w:type="pct"/>
            <w:vAlign w:val="center"/>
          </w:tcPr>
          <w:p>
            <w:pPr>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r>
              <w:rPr>
                <w:rFonts w:hint="default" w:ascii="Times New Roman" w:hAnsi="Times New Roman" w:eastAsia="宋体" w:cs="Times New Roman"/>
                <w:lang w:val="en-US" w:eastAsia="zh-CN"/>
              </w:rPr>
              <w:t>万</w:t>
            </w:r>
            <w:r>
              <w:rPr>
                <w:rFonts w:hint="default" w:ascii="Times New Roman" w:hAnsi="Times New Roman" w:eastAsia="宋体" w:cs="Times New Roman"/>
                <w:szCs w:val="21"/>
              </w:rPr>
              <w:t>kw·h</w:t>
            </w:r>
          </w:p>
        </w:tc>
        <w:tc>
          <w:tcPr>
            <w:tcW w:w="993" w:type="pct"/>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与环评一致</w:t>
            </w:r>
          </w:p>
        </w:tc>
      </w:tr>
    </w:tbl>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该项目主要生产设备及环保设施详见</w:t>
      </w:r>
      <w:r>
        <w:rPr>
          <w:rFonts w:hint="eastAsia" w:ascii="Times New Roman" w:hAnsi="Times New Roman" w:eastAsia="宋体" w:cs="Times New Roman"/>
          <w:color w:val="000000"/>
          <w:sz w:val="24"/>
          <w:szCs w:val="28"/>
          <w:lang w:val="en-US" w:eastAsia="zh-CN"/>
        </w:rPr>
        <w:t>下表</w:t>
      </w:r>
      <w:r>
        <w:rPr>
          <w:rFonts w:hint="default" w:ascii="Times New Roman" w:hAnsi="Times New Roman" w:eastAsia="宋体" w:cs="Times New Roman"/>
          <w:color w:val="000000"/>
          <w:sz w:val="24"/>
          <w:szCs w:val="28"/>
        </w:rPr>
        <w:t>。</w:t>
      </w:r>
    </w:p>
    <w:p>
      <w:pPr>
        <w:pStyle w:val="11"/>
        <w:spacing w:after="0" w:line="240" w:lineRule="auto"/>
        <w:ind w:left="0"/>
        <w:jc w:val="center"/>
        <w:rPr>
          <w:rFonts w:hint="default" w:ascii="Times New Roman" w:hAnsi="Times New Roman" w:eastAsia="宋体" w:cs="Times New Roman"/>
          <w:b/>
          <w:sz w:val="22"/>
          <w:szCs w:val="24"/>
        </w:rPr>
      </w:pPr>
      <w:bookmarkStart w:id="23" w:name="_Toc1336"/>
      <w:r>
        <w:rPr>
          <w:rFonts w:hint="default" w:ascii="Times New Roman" w:hAnsi="Times New Roman" w:eastAsia="宋体" w:cs="Times New Roman"/>
          <w:b/>
          <w:sz w:val="22"/>
          <w:szCs w:val="24"/>
        </w:rPr>
        <w:t>表3-</w:t>
      </w:r>
      <w:r>
        <w:rPr>
          <w:rFonts w:hint="eastAsia" w:ascii="Times New Roman" w:hAnsi="Times New Roman" w:eastAsia="宋体" w:cs="Times New Roman"/>
          <w:b/>
          <w:sz w:val="22"/>
          <w:szCs w:val="24"/>
          <w:lang w:val="en-US" w:eastAsia="zh-CN"/>
        </w:rPr>
        <w:t>3.3</w:t>
      </w:r>
      <w:r>
        <w:rPr>
          <w:rFonts w:hint="default" w:ascii="Times New Roman" w:hAnsi="Times New Roman" w:eastAsia="宋体" w:cs="Times New Roman"/>
          <w:b/>
          <w:sz w:val="22"/>
          <w:szCs w:val="24"/>
        </w:rPr>
        <w:t xml:space="preserve"> 项目主要生产设备及环保设施一览表</w:t>
      </w:r>
      <w:bookmarkEnd w:id="23"/>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3051"/>
        <w:gridCol w:w="1299"/>
        <w:gridCol w:w="1181"/>
        <w:gridCol w:w="1181"/>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widowControl/>
              <w:overflowPunct w:val="0"/>
              <w:topLinePunct/>
              <w:snapToGrid w:val="0"/>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序号</w:t>
            </w:r>
          </w:p>
        </w:tc>
        <w:tc>
          <w:tcPr>
            <w:tcW w:w="1726" w:type="pct"/>
            <w:noWrap w:val="0"/>
            <w:vAlign w:val="center"/>
          </w:tcPr>
          <w:p>
            <w:pPr>
              <w:widowControl/>
              <w:overflowPunct w:val="0"/>
              <w:topLinePunct/>
              <w:snapToGrid w:val="0"/>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Cs w:val="21"/>
              </w:rPr>
              <w:t>名称</w:t>
            </w:r>
          </w:p>
        </w:tc>
        <w:tc>
          <w:tcPr>
            <w:tcW w:w="735" w:type="pct"/>
            <w:noWrap w:val="0"/>
            <w:vAlign w:val="center"/>
          </w:tcPr>
          <w:p>
            <w:pPr>
              <w:widowControl/>
              <w:overflowPunct w:val="0"/>
              <w:topLinePunct/>
              <w:snapToGrid w:val="0"/>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Cs w:val="21"/>
              </w:rPr>
              <w:t>规格/型号</w:t>
            </w:r>
          </w:p>
        </w:tc>
        <w:tc>
          <w:tcPr>
            <w:tcW w:w="668" w:type="pct"/>
            <w:noWrap w:val="0"/>
            <w:vAlign w:val="center"/>
          </w:tcPr>
          <w:p>
            <w:pPr>
              <w:widowControl/>
              <w:overflowPunct w:val="0"/>
              <w:topLinePunct/>
              <w:snapToGrid w:val="0"/>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Cs w:val="21"/>
                <w:lang w:val="en-US" w:eastAsia="zh-CN"/>
              </w:rPr>
              <w:t>环评</w:t>
            </w:r>
            <w:r>
              <w:rPr>
                <w:rFonts w:hint="default" w:ascii="Times New Roman" w:hAnsi="Times New Roman" w:eastAsia="宋体" w:cs="Times New Roman"/>
                <w:b/>
                <w:bCs/>
                <w:szCs w:val="21"/>
              </w:rPr>
              <w:t>数量</w:t>
            </w:r>
          </w:p>
        </w:tc>
        <w:tc>
          <w:tcPr>
            <w:tcW w:w="668" w:type="pct"/>
            <w:noWrap w:val="0"/>
            <w:vAlign w:val="center"/>
          </w:tcPr>
          <w:p>
            <w:pPr>
              <w:widowControl/>
              <w:overflowPunct w:val="0"/>
              <w:topLinePunct/>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lang w:val="en-US" w:eastAsia="zh-CN"/>
              </w:rPr>
              <w:t>实际</w:t>
            </w:r>
            <w:r>
              <w:rPr>
                <w:rFonts w:hint="default" w:ascii="Times New Roman" w:hAnsi="Times New Roman" w:eastAsia="宋体" w:cs="Times New Roman"/>
                <w:b/>
                <w:bCs/>
                <w:szCs w:val="21"/>
              </w:rPr>
              <w:t>数量</w:t>
            </w:r>
          </w:p>
        </w:tc>
        <w:tc>
          <w:tcPr>
            <w:tcW w:w="798" w:type="pct"/>
            <w:noWrap w:val="0"/>
            <w:vAlign w:val="center"/>
          </w:tcPr>
          <w:p>
            <w:pPr>
              <w:widowControl/>
              <w:overflowPunct w:val="0"/>
              <w:topLinePunct/>
              <w:snapToGrid w:val="0"/>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1</w:t>
            </w:r>
          </w:p>
        </w:tc>
        <w:tc>
          <w:tcPr>
            <w:tcW w:w="1726" w:type="pct"/>
            <w:noWrap w:val="0"/>
            <w:vAlign w:val="center"/>
          </w:tcPr>
          <w:p>
            <w:pPr>
              <w:widowControl/>
              <w:overflowPunct w:val="0"/>
              <w:topLinePunct/>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kern w:val="2"/>
                <w:lang w:val="en-US" w:eastAsia="zh-CN"/>
              </w:rPr>
              <w:t>天然气空气直燃加热燃烧器</w:t>
            </w:r>
          </w:p>
        </w:tc>
        <w:tc>
          <w:tcPr>
            <w:tcW w:w="735" w:type="pct"/>
            <w:noWrap w:val="0"/>
            <w:vAlign w:val="center"/>
          </w:tcPr>
          <w:p>
            <w:pPr>
              <w:widowControl/>
              <w:overflowPunct w:val="0"/>
              <w:topLinePun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szCs w:val="21"/>
                <w:lang w:val="en-US" w:eastAsia="zh-CN"/>
              </w:rPr>
              <w:t>IL-400</w:t>
            </w:r>
          </w:p>
        </w:tc>
        <w:tc>
          <w:tcPr>
            <w:tcW w:w="668" w:type="pct"/>
            <w:noWrap w:val="0"/>
            <w:vAlign w:val="center"/>
          </w:tcPr>
          <w:p>
            <w:pPr>
              <w:widowControl/>
              <w:overflowPunct w:val="0"/>
              <w:topLinePunct/>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1台</w:t>
            </w:r>
          </w:p>
        </w:tc>
        <w:tc>
          <w:tcPr>
            <w:tcW w:w="668" w:type="pct"/>
            <w:noWrap w:val="0"/>
            <w:vAlign w:val="center"/>
          </w:tcPr>
          <w:p>
            <w:pPr>
              <w:widowControl/>
              <w:overflowPunct w:val="0"/>
              <w:topLinePunct/>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1台</w:t>
            </w:r>
          </w:p>
        </w:tc>
        <w:tc>
          <w:tcPr>
            <w:tcW w:w="798" w:type="pct"/>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2</w:t>
            </w:r>
          </w:p>
        </w:tc>
        <w:tc>
          <w:tcPr>
            <w:tcW w:w="1726" w:type="pct"/>
            <w:noWrap w:val="0"/>
            <w:vAlign w:val="center"/>
          </w:tcPr>
          <w:p>
            <w:pPr>
              <w:widowControl/>
              <w:overflowPunct w:val="0"/>
              <w:topLinePunct/>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kern w:val="2"/>
                <w:lang w:val="en-US" w:eastAsia="zh-CN"/>
              </w:rPr>
              <w:t>天然气空气直燃加热燃烧器</w:t>
            </w:r>
          </w:p>
        </w:tc>
        <w:tc>
          <w:tcPr>
            <w:tcW w:w="735" w:type="pct"/>
            <w:noWrap w:val="0"/>
            <w:vAlign w:val="center"/>
          </w:tcPr>
          <w:p>
            <w:pPr>
              <w:widowControl/>
              <w:overflowPunct w:val="0"/>
              <w:topLinePun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szCs w:val="21"/>
                <w:lang w:val="en-US" w:eastAsia="zh-CN"/>
              </w:rPr>
              <w:t>IL-200</w:t>
            </w:r>
          </w:p>
        </w:tc>
        <w:tc>
          <w:tcPr>
            <w:tcW w:w="668" w:type="pct"/>
            <w:noWrap w:val="0"/>
            <w:vAlign w:val="center"/>
          </w:tcPr>
          <w:p>
            <w:pPr>
              <w:widowControl/>
              <w:overflowPunct w:val="0"/>
              <w:topLinePunct/>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1台</w:t>
            </w:r>
          </w:p>
        </w:tc>
        <w:tc>
          <w:tcPr>
            <w:tcW w:w="668" w:type="pct"/>
            <w:noWrap w:val="0"/>
            <w:vAlign w:val="center"/>
          </w:tcPr>
          <w:p>
            <w:pPr>
              <w:widowControl/>
              <w:overflowPunct w:val="0"/>
              <w:topLinePunct/>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1台</w:t>
            </w:r>
          </w:p>
        </w:tc>
        <w:tc>
          <w:tcPr>
            <w:tcW w:w="798" w:type="pct"/>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3</w:t>
            </w:r>
          </w:p>
        </w:tc>
        <w:tc>
          <w:tcPr>
            <w:tcW w:w="1726" w:type="pct"/>
            <w:noWrap w:val="0"/>
            <w:vAlign w:val="center"/>
          </w:tcPr>
          <w:p>
            <w:pPr>
              <w:widowControl/>
              <w:overflowPunct w:val="0"/>
              <w:topLinePunct/>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kern w:val="2"/>
                <w:lang w:val="en-US" w:eastAsia="zh-CN"/>
              </w:rPr>
              <w:t>天然气空气直燃加热燃烧器</w:t>
            </w:r>
          </w:p>
        </w:tc>
        <w:tc>
          <w:tcPr>
            <w:tcW w:w="735" w:type="pct"/>
            <w:noWrap w:val="0"/>
            <w:vAlign w:val="center"/>
          </w:tcPr>
          <w:p>
            <w:pPr>
              <w:widowControl/>
              <w:overflowPunct w:val="0"/>
              <w:topLinePun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szCs w:val="21"/>
                <w:lang w:val="en-US" w:eastAsia="zh-CN"/>
              </w:rPr>
              <w:t>IL-320</w:t>
            </w:r>
          </w:p>
        </w:tc>
        <w:tc>
          <w:tcPr>
            <w:tcW w:w="668" w:type="pct"/>
            <w:noWrap w:val="0"/>
            <w:vAlign w:val="center"/>
          </w:tcPr>
          <w:p>
            <w:pPr>
              <w:widowControl/>
              <w:overflowPunct w:val="0"/>
              <w:topLinePunct/>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1台</w:t>
            </w:r>
          </w:p>
        </w:tc>
        <w:tc>
          <w:tcPr>
            <w:tcW w:w="668" w:type="pct"/>
            <w:noWrap w:val="0"/>
            <w:vAlign w:val="center"/>
          </w:tcPr>
          <w:p>
            <w:pPr>
              <w:widowControl/>
              <w:overflowPunct w:val="0"/>
              <w:topLinePunct/>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1台</w:t>
            </w:r>
          </w:p>
        </w:tc>
        <w:tc>
          <w:tcPr>
            <w:tcW w:w="798" w:type="pct"/>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与环评一致</w:t>
            </w:r>
          </w:p>
        </w:tc>
      </w:tr>
    </w:tbl>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24" w:name="_Toc22567"/>
      <w:r>
        <w:rPr>
          <w:rFonts w:hint="default" w:ascii="Times New Roman" w:hAnsi="Times New Roman" w:eastAsia="宋体" w:cs="Times New Roman"/>
          <w:b/>
          <w:sz w:val="28"/>
          <w:szCs w:val="32"/>
        </w:rPr>
        <w:t>3.4水源及水平衡</w:t>
      </w:r>
      <w:bookmarkEnd w:id="24"/>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lang w:val="en-US" w:eastAsia="zh-CN"/>
        </w:rPr>
        <w:t>本次技改项目为优化产品质量，降低产品的含水率，对喷雾干燥工序供热方式进行技改，本次技改不新增员工</w:t>
      </w:r>
      <w:r>
        <w:rPr>
          <w:rFonts w:hint="eastAsia" w:ascii="Times New Roman" w:hAnsi="Times New Roman" w:eastAsia="宋体" w:cs="Times New Roman"/>
          <w:color w:val="000000"/>
          <w:sz w:val="24"/>
          <w:szCs w:val="28"/>
          <w:lang w:val="en-US" w:eastAsia="zh-CN"/>
        </w:rPr>
        <w:t>生产用水，</w:t>
      </w:r>
      <w:r>
        <w:rPr>
          <w:rFonts w:hint="default" w:ascii="Times New Roman" w:hAnsi="Times New Roman" w:eastAsia="宋体" w:cs="Times New Roman"/>
          <w:color w:val="000000"/>
          <w:sz w:val="24"/>
          <w:szCs w:val="28"/>
          <w:lang w:val="en-US" w:eastAsia="zh-CN"/>
        </w:rPr>
        <w:t>不涉及到水量变化。</w:t>
      </w:r>
    </w:p>
    <w:p>
      <w:pPr>
        <w:pStyle w:val="47"/>
        <w:spacing w:line="360" w:lineRule="auto"/>
        <w:ind w:firstLine="0" w:firstLineChars="0"/>
        <w:jc w:val="left"/>
        <w:outlineLvl w:val="1"/>
        <w:rPr>
          <w:rFonts w:hint="default" w:ascii="Times New Roman" w:hAnsi="Times New Roman" w:eastAsia="宋体" w:cs="Times New Roman"/>
          <w:b/>
          <w:color w:val="000000" w:themeColor="text1"/>
          <w:sz w:val="28"/>
          <w:szCs w:val="32"/>
          <w14:textFill>
            <w14:solidFill>
              <w14:schemeClr w14:val="tx1"/>
            </w14:solidFill>
          </w14:textFill>
        </w:rPr>
      </w:pPr>
      <w:bookmarkStart w:id="25" w:name="_Toc18880"/>
      <w:r>
        <w:rPr>
          <w:rFonts w:hint="default" w:ascii="Times New Roman" w:hAnsi="Times New Roman" w:eastAsia="宋体" w:cs="Times New Roman"/>
          <w:b/>
          <w:color w:val="000000" w:themeColor="text1"/>
          <w:sz w:val="28"/>
          <w:szCs w:val="32"/>
          <w14:textFill>
            <w14:solidFill>
              <w14:schemeClr w14:val="tx1"/>
            </w14:solidFill>
          </w14:textFill>
        </w:rPr>
        <w:t>3.5</w:t>
      </w:r>
      <w:r>
        <w:rPr>
          <w:rFonts w:hint="default" w:ascii="Times New Roman" w:hAnsi="Times New Roman" w:eastAsia="宋体" w:cs="Times New Roman"/>
          <w:b/>
          <w:color w:val="000000" w:themeColor="text1"/>
          <w:sz w:val="28"/>
          <w:szCs w:val="32"/>
          <w:lang w:val="en-US" w:eastAsia="zh-CN"/>
          <w14:textFill>
            <w14:solidFill>
              <w14:schemeClr w14:val="tx1"/>
            </w14:solidFill>
          </w14:textFill>
        </w:rPr>
        <w:t>技改项目</w:t>
      </w:r>
      <w:r>
        <w:rPr>
          <w:rFonts w:hint="default" w:ascii="Times New Roman" w:hAnsi="Times New Roman" w:eastAsia="宋体" w:cs="Times New Roman"/>
          <w:b/>
          <w:color w:val="000000" w:themeColor="text1"/>
          <w:sz w:val="28"/>
          <w:szCs w:val="32"/>
          <w14:textFill>
            <w14:solidFill>
              <w14:schemeClr w14:val="tx1"/>
            </w14:solidFill>
          </w14:textFill>
        </w:rPr>
        <w:t>生产工艺</w:t>
      </w:r>
      <w:bookmarkEnd w:id="25"/>
    </w:p>
    <w:p>
      <w:pPr>
        <w:pStyle w:val="29"/>
        <w:spacing w:after="0" w:afterAutospacing="0"/>
        <w:rPr>
          <w:rFonts w:hint="default" w:ascii="Times New Roman" w:hAnsi="Times New Roman" w:eastAsia="宋体" w:cs="Times New Roman"/>
          <w:sz w:val="24"/>
        </w:rPr>
      </w:pPr>
      <w:bookmarkStart w:id="26" w:name="_Toc497001470"/>
      <w:r>
        <w:rPr>
          <w:rFonts w:hint="default" w:ascii="Times New Roman" w:hAnsi="Times New Roman" w:eastAsia="宋体" w:cs="Times New Roman"/>
          <w:sz w:val="21"/>
        </w:rPr>
        <mc:AlternateContent>
          <mc:Choice Requires="wpg">
            <w:drawing>
              <wp:anchor distT="0" distB="0" distL="114300" distR="114300" simplePos="0" relativeHeight="251678720" behindDoc="0" locked="0" layoutInCell="1" allowOverlap="1">
                <wp:simplePos x="0" y="0"/>
                <wp:positionH relativeFrom="column">
                  <wp:posOffset>86360</wp:posOffset>
                </wp:positionH>
                <wp:positionV relativeFrom="paragraph">
                  <wp:posOffset>29210</wp:posOffset>
                </wp:positionV>
                <wp:extent cx="5072380" cy="6703060"/>
                <wp:effectExtent l="0" t="3810" r="13970" b="17780"/>
                <wp:wrapTopAndBottom/>
                <wp:docPr id="123" name="组合 123"/>
                <wp:cNvGraphicFramePr/>
                <a:graphic xmlns:a="http://schemas.openxmlformats.org/drawingml/2006/main">
                  <a:graphicData uri="http://schemas.microsoft.com/office/word/2010/wordprocessingGroup">
                    <wpg:wgp>
                      <wpg:cNvGrpSpPr/>
                      <wpg:grpSpPr>
                        <a:xfrm>
                          <a:off x="0" y="0"/>
                          <a:ext cx="5072380" cy="6703060"/>
                          <a:chOff x="11220" y="466300"/>
                          <a:chExt cx="7826" cy="9931"/>
                        </a:xfrm>
                      </wpg:grpSpPr>
                      <wps:wsp>
                        <wps:cNvPr id="7" name="矩形 7"/>
                        <wps:cNvSpPr/>
                        <wps:spPr>
                          <a:xfrm>
                            <a:off x="14621" y="466313"/>
                            <a:ext cx="1463" cy="512"/>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ind w:firstLine="420" w:firstLineChars="200"/>
                                <w:jc w:val="both"/>
                                <w:rPr>
                                  <w:rFonts w:hint="default" w:eastAsia="宋体"/>
                                  <w:lang w:val="en-US" w:eastAsia="zh-CN"/>
                                </w:rPr>
                              </w:pPr>
                              <w:r>
                                <w:rPr>
                                  <w:rFonts w:hint="eastAsia" w:eastAsia="宋体"/>
                                  <w:lang w:val="en-US" w:eastAsia="zh-CN"/>
                                </w:rPr>
                                <w:t>化油</w:t>
                              </w:r>
                            </w:p>
                          </w:txbxContent>
                        </wps:txbx>
                        <wps:bodyPr anchor="ctr" anchorCtr="0" upright="1"/>
                      </wps:wsp>
                      <wps:wsp>
                        <wps:cNvPr id="8" name="矩形 8"/>
                        <wps:cNvSpPr/>
                        <wps:spPr>
                          <a:xfrm>
                            <a:off x="14654" y="467472"/>
                            <a:ext cx="1463" cy="587"/>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jc w:val="center"/>
                                <w:rPr>
                                  <w:rFonts w:hint="default" w:eastAsia="宋体"/>
                                  <w:lang w:val="en-US" w:eastAsia="zh-CN"/>
                                </w:rPr>
                              </w:pPr>
                              <w:r>
                                <w:rPr>
                                  <w:rFonts w:hint="eastAsia"/>
                                  <w:lang w:val="en-US" w:eastAsia="zh-CN"/>
                                </w:rPr>
                                <w:t>乳化</w:t>
                              </w:r>
                            </w:p>
                          </w:txbxContent>
                        </wps:txbx>
                        <wps:bodyPr anchor="ctr" anchorCtr="0" upright="1"/>
                      </wps:wsp>
                      <wps:wsp>
                        <wps:cNvPr id="10" name="直接箭头连接符 10"/>
                        <wps:cNvCnPr/>
                        <wps:spPr>
                          <a:xfrm flipH="1">
                            <a:off x="15349" y="466837"/>
                            <a:ext cx="12" cy="616"/>
                          </a:xfrm>
                          <a:prstGeom prst="straightConnector1">
                            <a:avLst/>
                          </a:prstGeom>
                          <a:ln w="12700" cap="flat" cmpd="sng">
                            <a:solidFill>
                              <a:srgbClr val="000000"/>
                            </a:solidFill>
                            <a:prstDash val="solid"/>
                            <a:round/>
                            <a:headEnd type="none" w="med" len="med"/>
                            <a:tailEnd type="triangle" w="med" len="med"/>
                          </a:ln>
                        </wps:spPr>
                        <wps:bodyPr/>
                      </wps:wsp>
                      <wps:wsp>
                        <wps:cNvPr id="21" name="矩形 21"/>
                        <wps:cNvSpPr/>
                        <wps:spPr>
                          <a:xfrm>
                            <a:off x="14669" y="468632"/>
                            <a:ext cx="1463" cy="512"/>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jc w:val="center"/>
                                <w:rPr>
                                  <w:rFonts w:hint="default" w:eastAsia="宋体"/>
                                  <w:lang w:val="en-US" w:eastAsia="zh-CN"/>
                                </w:rPr>
                              </w:pPr>
                              <w:r>
                                <w:rPr>
                                  <w:rFonts w:hint="eastAsia"/>
                                  <w:lang w:val="en-US" w:eastAsia="zh-CN"/>
                                </w:rPr>
                                <w:t>混合剪切</w:t>
                              </w:r>
                            </w:p>
                          </w:txbxContent>
                        </wps:txbx>
                        <wps:bodyPr anchor="ctr" anchorCtr="0" upright="1"/>
                      </wps:wsp>
                      <wps:wsp>
                        <wps:cNvPr id="22" name="直接箭头连接符 22"/>
                        <wps:cNvCnPr/>
                        <wps:spPr>
                          <a:xfrm flipH="1">
                            <a:off x="15364" y="468032"/>
                            <a:ext cx="12" cy="616"/>
                          </a:xfrm>
                          <a:prstGeom prst="straightConnector1">
                            <a:avLst/>
                          </a:prstGeom>
                          <a:ln w="12700" cap="flat" cmpd="sng">
                            <a:solidFill>
                              <a:srgbClr val="000000"/>
                            </a:solidFill>
                            <a:prstDash val="solid"/>
                            <a:round/>
                            <a:headEnd type="none" w="med" len="med"/>
                            <a:tailEnd type="triangle" w="med" len="med"/>
                          </a:ln>
                        </wps:spPr>
                        <wps:bodyPr/>
                      </wps:wsp>
                      <wps:wsp>
                        <wps:cNvPr id="33" name="直接箭头连接符 33"/>
                        <wps:cNvCnPr/>
                        <wps:spPr>
                          <a:xfrm flipH="1">
                            <a:off x="15341" y="469174"/>
                            <a:ext cx="12" cy="616"/>
                          </a:xfrm>
                          <a:prstGeom prst="straightConnector1">
                            <a:avLst/>
                          </a:prstGeom>
                          <a:ln w="12700" cap="flat" cmpd="sng">
                            <a:solidFill>
                              <a:srgbClr val="000000"/>
                            </a:solidFill>
                            <a:prstDash val="solid"/>
                            <a:round/>
                            <a:headEnd type="none" w="med" len="med"/>
                            <a:tailEnd type="triangle" w="med" len="med"/>
                          </a:ln>
                        </wps:spPr>
                        <wps:bodyPr/>
                      </wps:wsp>
                      <wps:wsp>
                        <wps:cNvPr id="35" name="矩形 35"/>
                        <wps:cNvSpPr/>
                        <wps:spPr>
                          <a:xfrm>
                            <a:off x="14628" y="469809"/>
                            <a:ext cx="1537" cy="512"/>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jc w:val="center"/>
                                <w:rPr>
                                  <w:rFonts w:hint="default" w:eastAsia="宋体"/>
                                  <w:lang w:val="en-US" w:eastAsia="zh-CN"/>
                                </w:rPr>
                              </w:pPr>
                              <w:r>
                                <w:rPr>
                                  <w:rFonts w:hint="eastAsia"/>
                                  <w:lang w:val="en-US" w:eastAsia="zh-CN"/>
                                </w:rPr>
                                <w:t>均质</w:t>
                              </w:r>
                            </w:p>
                          </w:txbxContent>
                        </wps:txbx>
                        <wps:bodyPr anchor="ctr" anchorCtr="0" upright="1"/>
                      </wps:wsp>
                      <wps:wsp>
                        <wps:cNvPr id="39" name="直接箭头连接符 39"/>
                        <wps:cNvCnPr/>
                        <wps:spPr>
                          <a:xfrm flipH="1">
                            <a:off x="15356" y="470331"/>
                            <a:ext cx="12" cy="616"/>
                          </a:xfrm>
                          <a:prstGeom prst="straightConnector1">
                            <a:avLst/>
                          </a:prstGeom>
                          <a:ln w="12700" cap="flat" cmpd="sng">
                            <a:solidFill>
                              <a:srgbClr val="000000"/>
                            </a:solidFill>
                            <a:prstDash val="solid"/>
                            <a:round/>
                            <a:headEnd type="none" w="med" len="med"/>
                            <a:tailEnd type="triangle" w="med" len="med"/>
                          </a:ln>
                        </wps:spPr>
                        <wps:bodyPr/>
                      </wps:wsp>
                      <wps:wsp>
                        <wps:cNvPr id="57" name="矩形 57"/>
                        <wps:cNvSpPr/>
                        <wps:spPr>
                          <a:xfrm>
                            <a:off x="14624" y="470911"/>
                            <a:ext cx="1537" cy="512"/>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过滤</w:t>
                              </w:r>
                            </w:p>
                          </w:txbxContent>
                        </wps:txbx>
                        <wps:bodyPr anchor="ctr" anchorCtr="0" upright="1"/>
                      </wps:wsp>
                      <wps:wsp>
                        <wps:cNvPr id="66" name="直接箭头连接符 66"/>
                        <wps:cNvCnPr/>
                        <wps:spPr>
                          <a:xfrm flipH="1">
                            <a:off x="15352" y="471415"/>
                            <a:ext cx="12" cy="616"/>
                          </a:xfrm>
                          <a:prstGeom prst="straightConnector1">
                            <a:avLst/>
                          </a:prstGeom>
                          <a:ln w="12700" cap="flat" cmpd="sng">
                            <a:solidFill>
                              <a:srgbClr val="000000"/>
                            </a:solidFill>
                            <a:prstDash val="solid"/>
                            <a:round/>
                            <a:headEnd type="none" w="med" len="med"/>
                            <a:tailEnd type="triangle" w="med" len="med"/>
                          </a:ln>
                        </wps:spPr>
                        <wps:bodyPr/>
                      </wps:wsp>
                      <wps:wsp>
                        <wps:cNvPr id="70" name="矩形 70"/>
                        <wps:cNvSpPr/>
                        <wps:spPr>
                          <a:xfrm>
                            <a:off x="14639" y="472013"/>
                            <a:ext cx="1463" cy="512"/>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杀菌</w:t>
                              </w:r>
                            </w:p>
                          </w:txbxContent>
                        </wps:txbx>
                        <wps:bodyPr anchor="ctr" anchorCtr="0" upright="1"/>
                      </wps:wsp>
                      <wps:wsp>
                        <wps:cNvPr id="73" name="直接箭头连接符 73"/>
                        <wps:cNvCnPr/>
                        <wps:spPr>
                          <a:xfrm flipH="1">
                            <a:off x="15367" y="472519"/>
                            <a:ext cx="12" cy="616"/>
                          </a:xfrm>
                          <a:prstGeom prst="straightConnector1">
                            <a:avLst/>
                          </a:prstGeom>
                          <a:ln w="12700" cap="flat" cmpd="sng">
                            <a:solidFill>
                              <a:srgbClr val="000000"/>
                            </a:solidFill>
                            <a:prstDash val="solid"/>
                            <a:round/>
                            <a:headEnd type="none" w="med" len="med"/>
                            <a:tailEnd type="triangle" w="med" len="med"/>
                          </a:ln>
                        </wps:spPr>
                        <wps:bodyPr/>
                      </wps:wsp>
                      <wps:wsp>
                        <wps:cNvPr id="76" name="矩形 76"/>
                        <wps:cNvSpPr/>
                        <wps:spPr>
                          <a:xfrm>
                            <a:off x="14647" y="473114"/>
                            <a:ext cx="1504" cy="498"/>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ind w:firstLine="210" w:firstLineChars="100"/>
                                <w:rPr>
                                  <w:rFonts w:hint="default"/>
                                  <w:lang w:val="en-US" w:eastAsia="zh-CN"/>
                                </w:rPr>
                              </w:pPr>
                              <w:r>
                                <w:rPr>
                                  <w:rFonts w:hint="eastAsia"/>
                                  <w:lang w:val="en-US" w:eastAsia="zh-CN"/>
                                </w:rPr>
                                <w:t>喷雾干燥</w:t>
                              </w:r>
                            </w:p>
                          </w:txbxContent>
                        </wps:txbx>
                        <wps:bodyPr anchor="ctr" anchorCtr="0" upright="1"/>
                      </wps:wsp>
                      <wps:wsp>
                        <wps:cNvPr id="80" name="直接箭头连接符 80"/>
                        <wps:cNvCnPr/>
                        <wps:spPr>
                          <a:xfrm flipH="1">
                            <a:off x="15367" y="473637"/>
                            <a:ext cx="12" cy="616"/>
                          </a:xfrm>
                          <a:prstGeom prst="straightConnector1">
                            <a:avLst/>
                          </a:prstGeom>
                          <a:ln w="12700" cap="flat" cmpd="sng">
                            <a:solidFill>
                              <a:srgbClr val="000000"/>
                            </a:solidFill>
                            <a:prstDash val="solid"/>
                            <a:round/>
                            <a:headEnd type="none" w="med" len="med"/>
                            <a:tailEnd type="triangle" w="med" len="med"/>
                          </a:ln>
                        </wps:spPr>
                        <wps:bodyPr/>
                      </wps:wsp>
                      <wps:wsp>
                        <wps:cNvPr id="81" name="矩形 81"/>
                        <wps:cNvSpPr/>
                        <wps:spPr>
                          <a:xfrm>
                            <a:off x="14331" y="474285"/>
                            <a:ext cx="2213" cy="692"/>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ind w:left="420" w:hanging="420" w:hangingChars="200"/>
                                <w:rPr>
                                  <w:rFonts w:hint="default"/>
                                  <w:lang w:val="en-US" w:eastAsia="zh-CN"/>
                                </w:rPr>
                              </w:pPr>
                              <w:r>
                                <w:rPr>
                                  <w:rFonts w:hint="eastAsia"/>
                                  <w:lang w:val="en-US" w:eastAsia="zh-CN"/>
                                </w:rPr>
                                <w:t>流化床冷却、筛分（全密闭）</w:t>
                              </w:r>
                            </w:p>
                          </w:txbxContent>
                        </wps:txbx>
                        <wps:bodyPr anchor="ctr" anchorCtr="0" upright="1"/>
                      </wps:wsp>
                      <wps:wsp>
                        <wps:cNvPr id="84" name="直接箭头连接符 84"/>
                        <wps:cNvCnPr/>
                        <wps:spPr>
                          <a:xfrm>
                            <a:off x="13695" y="467798"/>
                            <a:ext cx="957" cy="8"/>
                          </a:xfrm>
                          <a:prstGeom prst="straightConnector1">
                            <a:avLst/>
                          </a:prstGeom>
                          <a:ln w="12700" cap="flat" cmpd="sng">
                            <a:solidFill>
                              <a:srgbClr val="000000"/>
                            </a:solidFill>
                            <a:prstDash val="solid"/>
                            <a:round/>
                            <a:headEnd type="none" w="med" len="med"/>
                            <a:tailEnd type="triangle" w="med" len="med"/>
                          </a:ln>
                        </wps:spPr>
                        <wps:bodyPr/>
                      </wps:wsp>
                      <wps:wsp>
                        <wps:cNvPr id="85" name="矩形 85"/>
                        <wps:cNvSpPr/>
                        <wps:spPr>
                          <a:xfrm>
                            <a:off x="12087" y="467696"/>
                            <a:ext cx="1475" cy="381"/>
                          </a:xfrm>
                          <a:prstGeom prst="rect">
                            <a:avLst/>
                          </a:prstGeom>
                          <a:solidFill>
                            <a:srgbClr val="FFFFFF"/>
                          </a:solidFill>
                          <a:ln w="25400">
                            <a:noFill/>
                          </a:ln>
                        </wps:spPr>
                        <wps:txbx>
                          <w:txbxContent>
                            <w:p>
                              <w:pPr>
                                <w:ind w:firstLine="210" w:firstLineChars="100"/>
                                <w:jc w:val="both"/>
                                <w:rPr>
                                  <w:rFonts w:hint="default" w:eastAsia="宋体"/>
                                  <w:lang w:val="en-US" w:eastAsia="zh-CN"/>
                                </w:rPr>
                              </w:pPr>
                              <w:r>
                                <w:rPr>
                                  <w:rFonts w:hint="eastAsia"/>
                                  <w:lang w:val="en-US" w:eastAsia="zh-CN"/>
                                </w:rPr>
                                <w:t>外购蒸汽</w:t>
                              </w:r>
                            </w:p>
                          </w:txbxContent>
                        </wps:txbx>
                        <wps:bodyPr anchor="ctr" anchorCtr="0" upright="1"/>
                      </wps:wsp>
                      <wps:wsp>
                        <wps:cNvPr id="88" name="直接箭头连接符 88"/>
                        <wps:cNvCnPr/>
                        <wps:spPr>
                          <a:xfrm>
                            <a:off x="13729" y="468937"/>
                            <a:ext cx="957" cy="8"/>
                          </a:xfrm>
                          <a:prstGeom prst="straightConnector1">
                            <a:avLst/>
                          </a:prstGeom>
                          <a:ln w="12700" cap="flat" cmpd="sng">
                            <a:solidFill>
                              <a:srgbClr val="000000"/>
                            </a:solidFill>
                            <a:prstDash val="solid"/>
                            <a:round/>
                            <a:headEnd type="none" w="med" len="med"/>
                            <a:tailEnd type="triangle" w="med" len="med"/>
                          </a:ln>
                        </wps:spPr>
                        <wps:bodyPr/>
                      </wps:wsp>
                      <wps:wsp>
                        <wps:cNvPr id="89" name="矩形 89"/>
                        <wps:cNvSpPr/>
                        <wps:spPr>
                          <a:xfrm>
                            <a:off x="11420" y="468604"/>
                            <a:ext cx="2328" cy="688"/>
                          </a:xfrm>
                          <a:prstGeom prst="rect">
                            <a:avLst/>
                          </a:prstGeom>
                          <a:solidFill>
                            <a:srgbClr val="FFFFFF"/>
                          </a:solidFill>
                          <a:ln w="25400" cap="flat" cmpd="sng">
                            <a:solidFill>
                              <a:srgbClr val="000000"/>
                            </a:solidFill>
                            <a:prstDash val="solid"/>
                            <a:miter/>
                            <a:headEnd type="none" w="med" len="med"/>
                            <a:tailEnd type="none" w="med" len="med"/>
                          </a:ln>
                        </wps:spPr>
                        <wps:txbx>
                          <w:txbxContent>
                            <w:p>
                              <w:pPr>
                                <w:jc w:val="center"/>
                                <w:rPr>
                                  <w:rFonts w:hint="default"/>
                                  <w:sz w:val="21"/>
                                  <w:szCs w:val="21"/>
                                  <w:lang w:val="en-US" w:eastAsia="zh-CN"/>
                                </w:rPr>
                              </w:pPr>
                              <w:r>
                                <w:rPr>
                                  <w:rFonts w:hint="eastAsia"/>
                                  <w:lang w:val="en-US" w:eastAsia="zh-CN"/>
                                </w:rPr>
                                <w:t>投料：糖浆、盐类、软化水等，</w:t>
                              </w:r>
                              <w:r>
                                <w:rPr>
                                  <w:rFonts w:hint="eastAsia"/>
                                  <w:sz w:val="21"/>
                                  <w:szCs w:val="21"/>
                                  <w:lang w:val="en-US" w:eastAsia="zh-CN"/>
                                </w:rPr>
                                <w:t>外购蒸汽</w:t>
                              </w:r>
                            </w:p>
                          </w:txbxContent>
                        </wps:txbx>
                        <wps:bodyPr anchor="ctr" anchorCtr="0" upright="1"/>
                      </wps:wsp>
                      <wps:wsp>
                        <wps:cNvPr id="90" name="直接箭头连接符 90"/>
                        <wps:cNvCnPr/>
                        <wps:spPr>
                          <a:xfrm>
                            <a:off x="16110" y="467813"/>
                            <a:ext cx="957" cy="8"/>
                          </a:xfrm>
                          <a:prstGeom prst="straightConnector1">
                            <a:avLst/>
                          </a:prstGeom>
                          <a:ln w="12700" cap="flat" cmpd="sng">
                            <a:solidFill>
                              <a:srgbClr val="000000"/>
                            </a:solidFill>
                            <a:prstDash val="sysDash"/>
                            <a:round/>
                            <a:headEnd type="none" w="med" len="med"/>
                            <a:tailEnd type="triangle" w="med" len="med"/>
                          </a:ln>
                        </wps:spPr>
                        <wps:bodyPr/>
                      </wps:wsp>
                      <wps:wsp>
                        <wps:cNvPr id="92" name="直接箭头连接符 92"/>
                        <wps:cNvCnPr/>
                        <wps:spPr>
                          <a:xfrm>
                            <a:off x="13647" y="473367"/>
                            <a:ext cx="957" cy="8"/>
                          </a:xfrm>
                          <a:prstGeom prst="straightConnector1">
                            <a:avLst/>
                          </a:prstGeom>
                          <a:ln w="12700" cap="flat" cmpd="sng">
                            <a:solidFill>
                              <a:srgbClr val="000000"/>
                            </a:solidFill>
                            <a:prstDash val="solid"/>
                            <a:round/>
                            <a:headEnd type="none" w="med" len="med"/>
                            <a:tailEnd type="triangle" w="med" len="med"/>
                          </a:ln>
                        </wps:spPr>
                        <wps:bodyPr/>
                      </wps:wsp>
                      <wps:wsp>
                        <wps:cNvPr id="93" name="矩形 93"/>
                        <wps:cNvSpPr/>
                        <wps:spPr>
                          <a:xfrm>
                            <a:off x="12044" y="473069"/>
                            <a:ext cx="1632" cy="742"/>
                          </a:xfrm>
                          <a:prstGeom prst="rect">
                            <a:avLst/>
                          </a:prstGeom>
                          <a:solidFill>
                            <a:srgbClr val="FFFFFF"/>
                          </a:solidFill>
                          <a:ln w="25400" cap="sq" cmpd="sng">
                            <a:solidFill>
                              <a:srgbClr val="FF0000"/>
                            </a:solidFill>
                            <a:prstDash val="sysDot"/>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天然气空气直燃加热燃</w:t>
                              </w:r>
                              <w:r>
                                <w:rPr>
                                  <w:rFonts w:hint="eastAsia" w:ascii="Times New Roman" w:hAnsi="Times New Roman" w:eastAsia="宋体" w:cs="Times New Roman"/>
                                  <w:sz w:val="21"/>
                                  <w:szCs w:val="21"/>
                                  <w:lang w:val="en-US" w:eastAsia="zh-CN"/>
                                </w:rPr>
                                <w:t>烧器</w:t>
                              </w:r>
                            </w:p>
                          </w:txbxContent>
                        </wps:txbx>
                        <wps:bodyPr anchor="ctr" anchorCtr="0" upright="1"/>
                      </wps:wsp>
                      <wps:wsp>
                        <wps:cNvPr id="94" name="矩形 94"/>
                        <wps:cNvSpPr/>
                        <wps:spPr>
                          <a:xfrm>
                            <a:off x="17084" y="469872"/>
                            <a:ext cx="958" cy="410"/>
                          </a:xfrm>
                          <a:prstGeom prst="rect">
                            <a:avLst/>
                          </a:prstGeom>
                          <a:solidFill>
                            <a:srgbClr val="FFFFFF"/>
                          </a:solidFill>
                          <a:ln w="25400">
                            <a:noFill/>
                          </a:ln>
                        </wps:spPr>
                        <wps:txbx>
                          <w:txbxContent>
                            <w:p>
                              <w:pPr>
                                <w:rPr>
                                  <w:rFonts w:hint="default"/>
                                  <w:lang w:val="en-US" w:eastAsia="zh-CN"/>
                                </w:rPr>
                              </w:pPr>
                              <w:r>
                                <w:rPr>
                                  <w:rFonts w:hint="eastAsia"/>
                                  <w:lang w:val="en-US" w:eastAsia="zh-CN"/>
                                </w:rPr>
                                <w:t>N4</w:t>
                              </w:r>
                            </w:p>
                          </w:txbxContent>
                        </wps:txbx>
                        <wps:bodyPr anchor="ctr" anchorCtr="0" upright="1"/>
                      </wps:wsp>
                      <wps:wsp>
                        <wps:cNvPr id="95" name="直接箭头连接符 95"/>
                        <wps:cNvCnPr/>
                        <wps:spPr>
                          <a:xfrm>
                            <a:off x="16212" y="470059"/>
                            <a:ext cx="957" cy="8"/>
                          </a:xfrm>
                          <a:prstGeom prst="straightConnector1">
                            <a:avLst/>
                          </a:prstGeom>
                          <a:ln w="12700" cap="flat" cmpd="sng">
                            <a:solidFill>
                              <a:srgbClr val="000000"/>
                            </a:solidFill>
                            <a:prstDash val="sysDash"/>
                            <a:round/>
                            <a:headEnd type="none" w="med" len="med"/>
                            <a:tailEnd type="triangle" w="med" len="med"/>
                          </a:ln>
                        </wps:spPr>
                        <wps:bodyPr/>
                      </wps:wsp>
                      <wps:wsp>
                        <wps:cNvPr id="99" name="直接箭头连接符 99"/>
                        <wps:cNvCnPr/>
                        <wps:spPr>
                          <a:xfrm>
                            <a:off x="16143" y="468895"/>
                            <a:ext cx="957" cy="8"/>
                          </a:xfrm>
                          <a:prstGeom prst="straightConnector1">
                            <a:avLst/>
                          </a:prstGeom>
                          <a:ln w="12700" cap="flat" cmpd="sng">
                            <a:solidFill>
                              <a:srgbClr val="000000"/>
                            </a:solidFill>
                            <a:prstDash val="sysDash"/>
                            <a:round/>
                            <a:headEnd type="none" w="med" len="med"/>
                            <a:tailEnd type="triangle" w="med" len="med"/>
                          </a:ln>
                        </wps:spPr>
                        <wps:bodyPr/>
                      </wps:wsp>
                      <wps:wsp>
                        <wps:cNvPr id="100" name="矩形 100"/>
                        <wps:cNvSpPr/>
                        <wps:spPr>
                          <a:xfrm>
                            <a:off x="17094" y="468683"/>
                            <a:ext cx="1952" cy="424"/>
                          </a:xfrm>
                          <a:prstGeom prst="rect">
                            <a:avLst/>
                          </a:prstGeom>
                          <a:solidFill>
                            <a:srgbClr val="FFFFFF"/>
                          </a:solidFill>
                          <a:ln w="25400">
                            <a:noFill/>
                          </a:ln>
                        </wps:spPr>
                        <wps:txbx>
                          <w:txbxContent>
                            <w:p>
                              <w:pPr>
                                <w:rPr>
                                  <w:rFonts w:hint="default"/>
                                  <w:lang w:val="en-US" w:eastAsia="zh-CN"/>
                                </w:rPr>
                              </w:pPr>
                              <w:r>
                                <w:rPr>
                                  <w:rFonts w:hint="default"/>
                                  <w:lang w:val="en-US" w:eastAsia="zh-CN"/>
                                </w:rPr>
                                <w:t>G1、N3、S1</w:t>
                              </w:r>
                            </w:p>
                          </w:txbxContent>
                        </wps:txbx>
                        <wps:bodyPr anchor="ctr" anchorCtr="0" upright="1"/>
                      </wps:wsp>
                      <wps:wsp>
                        <wps:cNvPr id="101" name="直接箭头连接符 101"/>
                        <wps:cNvCnPr/>
                        <wps:spPr>
                          <a:xfrm>
                            <a:off x="16163" y="473397"/>
                            <a:ext cx="957" cy="8"/>
                          </a:xfrm>
                          <a:prstGeom prst="straightConnector1">
                            <a:avLst/>
                          </a:prstGeom>
                          <a:ln w="12700" cap="flat" cmpd="sng">
                            <a:solidFill>
                              <a:srgbClr val="000000"/>
                            </a:solidFill>
                            <a:prstDash val="sysDash"/>
                            <a:round/>
                            <a:headEnd type="none" w="med" len="med"/>
                            <a:tailEnd type="triangle" w="med" len="med"/>
                          </a:ln>
                        </wps:spPr>
                        <wps:bodyPr/>
                      </wps:wsp>
                      <wps:wsp>
                        <wps:cNvPr id="102" name="矩形 102"/>
                        <wps:cNvSpPr/>
                        <wps:spPr>
                          <a:xfrm>
                            <a:off x="17135" y="473220"/>
                            <a:ext cx="1454" cy="396"/>
                          </a:xfrm>
                          <a:prstGeom prst="rect">
                            <a:avLst/>
                          </a:prstGeom>
                          <a:solidFill>
                            <a:srgbClr val="FFFFFF"/>
                          </a:solidFill>
                          <a:ln w="25400">
                            <a:noFill/>
                          </a:ln>
                        </wps:spPr>
                        <wps:txbx>
                          <w:txbxContent>
                            <w:p>
                              <w:pPr>
                                <w:rPr>
                                  <w:rFonts w:hint="default"/>
                                  <w:lang w:val="en-US" w:eastAsia="zh-CN"/>
                                </w:rPr>
                              </w:pPr>
                              <w:r>
                                <w:rPr>
                                  <w:rFonts w:hint="eastAsia"/>
                                  <w:lang w:val="en-US" w:eastAsia="zh-CN"/>
                                </w:rPr>
                                <w:t>G2、G3、N7</w:t>
                              </w:r>
                            </w:p>
                          </w:txbxContent>
                        </wps:txbx>
                        <wps:bodyPr anchor="ctr" anchorCtr="0" upright="1"/>
                      </wps:wsp>
                      <wps:wsp>
                        <wps:cNvPr id="103" name="直接箭头连接符 103"/>
                        <wps:cNvCnPr/>
                        <wps:spPr>
                          <a:xfrm>
                            <a:off x="16591" y="474626"/>
                            <a:ext cx="957" cy="8"/>
                          </a:xfrm>
                          <a:prstGeom prst="straightConnector1">
                            <a:avLst/>
                          </a:prstGeom>
                          <a:ln w="12700" cap="flat" cmpd="sng">
                            <a:solidFill>
                              <a:srgbClr val="000000"/>
                            </a:solidFill>
                            <a:prstDash val="sysDash"/>
                            <a:round/>
                            <a:headEnd type="none" w="med" len="med"/>
                            <a:tailEnd type="triangle" w="med" len="med"/>
                          </a:ln>
                        </wps:spPr>
                        <wps:bodyPr/>
                      </wps:wsp>
                      <wps:wsp>
                        <wps:cNvPr id="104" name="矩形 104"/>
                        <wps:cNvSpPr/>
                        <wps:spPr>
                          <a:xfrm>
                            <a:off x="17605" y="474441"/>
                            <a:ext cx="844" cy="369"/>
                          </a:xfrm>
                          <a:prstGeom prst="rect">
                            <a:avLst/>
                          </a:prstGeom>
                          <a:solidFill>
                            <a:srgbClr val="FFFFFF"/>
                          </a:solidFill>
                          <a:ln w="25400">
                            <a:noFill/>
                          </a:ln>
                        </wps:spPr>
                        <wps:txbx>
                          <w:txbxContent>
                            <w:p>
                              <w:pPr>
                                <w:rPr>
                                  <w:rFonts w:hint="default"/>
                                  <w:lang w:val="en-US" w:eastAsia="zh-CN"/>
                                </w:rPr>
                              </w:pPr>
                              <w:r>
                                <w:rPr>
                                  <w:rFonts w:hint="eastAsia"/>
                                  <w:lang w:val="en-US" w:eastAsia="zh-CN"/>
                                </w:rPr>
                                <w:t>N8</w:t>
                              </w:r>
                            </w:p>
                          </w:txbxContent>
                        </wps:txbx>
                        <wps:bodyPr anchor="ctr" anchorCtr="0" upright="1"/>
                      </wps:wsp>
                      <wps:wsp>
                        <wps:cNvPr id="105" name="直接箭头连接符 105"/>
                        <wps:cNvCnPr/>
                        <wps:spPr>
                          <a:xfrm>
                            <a:off x="16122" y="471142"/>
                            <a:ext cx="957" cy="8"/>
                          </a:xfrm>
                          <a:prstGeom prst="straightConnector1">
                            <a:avLst/>
                          </a:prstGeom>
                          <a:ln w="12700" cap="flat" cmpd="sng">
                            <a:solidFill>
                              <a:srgbClr val="000000"/>
                            </a:solidFill>
                            <a:prstDash val="sysDash"/>
                            <a:round/>
                            <a:headEnd type="none" w="med" len="med"/>
                            <a:tailEnd type="triangle" w="med" len="med"/>
                          </a:ln>
                        </wps:spPr>
                        <wps:bodyPr/>
                      </wps:wsp>
                      <wps:wsp>
                        <wps:cNvPr id="106" name="矩形 106"/>
                        <wps:cNvSpPr/>
                        <wps:spPr>
                          <a:xfrm>
                            <a:off x="17052" y="470938"/>
                            <a:ext cx="1267" cy="411"/>
                          </a:xfrm>
                          <a:prstGeom prst="rect">
                            <a:avLst/>
                          </a:prstGeom>
                          <a:solidFill>
                            <a:srgbClr val="FFFFFF"/>
                          </a:solidFill>
                          <a:ln w="25400">
                            <a:noFill/>
                          </a:ln>
                        </wps:spPr>
                        <wps:txbx>
                          <w:txbxContent>
                            <w:p>
                              <w:pPr>
                                <w:rPr>
                                  <w:rFonts w:hint="default"/>
                                  <w:lang w:val="en-US" w:eastAsia="zh-CN"/>
                                </w:rPr>
                              </w:pPr>
                              <w:r>
                                <w:rPr>
                                  <w:rFonts w:hint="eastAsia"/>
                                  <w:lang w:val="en-US" w:eastAsia="zh-CN"/>
                                </w:rPr>
                                <w:t>N5、S2</w:t>
                              </w:r>
                            </w:p>
                          </w:txbxContent>
                        </wps:txbx>
                        <wps:bodyPr anchor="ctr" anchorCtr="0" upright="1"/>
                      </wps:wsp>
                      <wps:wsp>
                        <wps:cNvPr id="107" name="直接箭头连接符 107"/>
                        <wps:cNvCnPr/>
                        <wps:spPr>
                          <a:xfrm>
                            <a:off x="16168" y="475962"/>
                            <a:ext cx="957" cy="8"/>
                          </a:xfrm>
                          <a:prstGeom prst="straightConnector1">
                            <a:avLst/>
                          </a:prstGeom>
                          <a:ln w="12700" cap="flat" cmpd="sng">
                            <a:solidFill>
                              <a:srgbClr val="000000"/>
                            </a:solidFill>
                            <a:prstDash val="sysDash"/>
                            <a:round/>
                            <a:headEnd type="none" w="med" len="med"/>
                            <a:tailEnd type="triangle" w="med" len="med"/>
                          </a:ln>
                        </wps:spPr>
                        <wps:bodyPr/>
                      </wps:wsp>
                      <wps:wsp>
                        <wps:cNvPr id="108" name="矩形 108"/>
                        <wps:cNvSpPr/>
                        <wps:spPr>
                          <a:xfrm>
                            <a:off x="17105" y="475731"/>
                            <a:ext cx="1353" cy="382"/>
                          </a:xfrm>
                          <a:prstGeom prst="rect">
                            <a:avLst/>
                          </a:prstGeom>
                          <a:solidFill>
                            <a:srgbClr val="FFFFFF"/>
                          </a:solidFill>
                          <a:ln w="25400">
                            <a:noFill/>
                          </a:ln>
                        </wps:spPr>
                        <wps:txbx>
                          <w:txbxContent>
                            <w:p>
                              <w:pPr>
                                <w:rPr>
                                  <w:rFonts w:hint="default"/>
                                  <w:lang w:val="en-US" w:eastAsia="zh-CN"/>
                                </w:rPr>
                              </w:pPr>
                              <w:r>
                                <w:rPr>
                                  <w:rFonts w:hint="eastAsia"/>
                                  <w:lang w:val="en-US" w:eastAsia="zh-CN"/>
                                </w:rPr>
                                <w:t>G4、N9</w:t>
                              </w:r>
                            </w:p>
                          </w:txbxContent>
                        </wps:txbx>
                        <wps:bodyPr anchor="ctr" anchorCtr="0" upright="1"/>
                      </wps:wsp>
                      <wps:wsp>
                        <wps:cNvPr id="110" name="直接箭头连接符 110"/>
                        <wps:cNvCnPr/>
                        <wps:spPr>
                          <a:xfrm>
                            <a:off x="13696" y="466579"/>
                            <a:ext cx="957" cy="8"/>
                          </a:xfrm>
                          <a:prstGeom prst="straightConnector1">
                            <a:avLst/>
                          </a:prstGeom>
                          <a:ln w="12700" cap="flat" cmpd="sng">
                            <a:solidFill>
                              <a:srgbClr val="000000"/>
                            </a:solidFill>
                            <a:prstDash val="solid"/>
                            <a:round/>
                            <a:headEnd type="none" w="med" len="med"/>
                            <a:tailEnd type="triangle" w="med" len="med"/>
                          </a:ln>
                        </wps:spPr>
                        <wps:bodyPr/>
                      </wps:wsp>
                      <wps:wsp>
                        <wps:cNvPr id="112" name="矩形 112"/>
                        <wps:cNvSpPr/>
                        <wps:spPr>
                          <a:xfrm>
                            <a:off x="12035" y="466300"/>
                            <a:ext cx="1618" cy="786"/>
                          </a:xfrm>
                          <a:prstGeom prst="rect">
                            <a:avLst/>
                          </a:prstGeom>
                          <a:solidFill>
                            <a:srgbClr val="FFFFFF"/>
                          </a:solidFill>
                          <a:ln w="25400">
                            <a:noFill/>
                          </a:ln>
                        </wps:spPr>
                        <wps:txbx>
                          <w:txbxContent>
                            <w:p>
                              <w:pPr>
                                <w:jc w:val="both"/>
                                <w:rPr>
                                  <w:rFonts w:hint="eastAsia"/>
                                  <w:lang w:val="en-US" w:eastAsia="zh-CN"/>
                                </w:rPr>
                              </w:pPr>
                              <w:r>
                                <w:rPr>
                                  <w:rFonts w:hint="eastAsia"/>
                                  <w:lang w:val="en-US" w:eastAsia="zh-CN"/>
                                </w:rPr>
                                <w:t>植物油（固体）</w:t>
                              </w:r>
                            </w:p>
                            <w:p>
                              <w:pPr>
                                <w:ind w:firstLine="210" w:firstLineChars="100"/>
                                <w:jc w:val="both"/>
                                <w:rPr>
                                  <w:rFonts w:hint="default" w:eastAsia="宋体"/>
                                  <w:lang w:val="en-US" w:eastAsia="zh-CN"/>
                                </w:rPr>
                              </w:pPr>
                              <w:r>
                                <w:rPr>
                                  <w:rFonts w:hint="eastAsia"/>
                                  <w:lang w:val="en-US" w:eastAsia="zh-CN"/>
                                </w:rPr>
                                <w:t>外购蒸汽</w:t>
                              </w:r>
                            </w:p>
                          </w:txbxContent>
                        </wps:txbx>
                        <wps:bodyPr anchor="ctr" anchorCtr="0" upright="1"/>
                      </wps:wsp>
                      <wps:wsp>
                        <wps:cNvPr id="113" name="直接箭头连接符 113"/>
                        <wps:cNvCnPr/>
                        <wps:spPr>
                          <a:xfrm>
                            <a:off x="16065" y="466537"/>
                            <a:ext cx="957" cy="8"/>
                          </a:xfrm>
                          <a:prstGeom prst="straightConnector1">
                            <a:avLst/>
                          </a:prstGeom>
                          <a:ln w="12700" cap="flat" cmpd="sng">
                            <a:solidFill>
                              <a:srgbClr val="000000"/>
                            </a:solidFill>
                            <a:prstDash val="sysDash"/>
                            <a:round/>
                            <a:headEnd type="none" w="med" len="med"/>
                            <a:tailEnd type="triangle" w="med" len="med"/>
                          </a:ln>
                        </wps:spPr>
                        <wps:bodyPr/>
                      </wps:wsp>
                      <wps:wsp>
                        <wps:cNvPr id="114" name="矩形 114"/>
                        <wps:cNvSpPr/>
                        <wps:spPr>
                          <a:xfrm>
                            <a:off x="17119" y="467544"/>
                            <a:ext cx="819" cy="410"/>
                          </a:xfrm>
                          <a:prstGeom prst="rect">
                            <a:avLst/>
                          </a:prstGeom>
                          <a:solidFill>
                            <a:srgbClr val="FFFFFF"/>
                          </a:solidFill>
                          <a:ln w="25400">
                            <a:noFill/>
                          </a:ln>
                        </wps:spPr>
                        <wps:txbx>
                          <w:txbxContent>
                            <w:p>
                              <w:pPr>
                                <w:rPr>
                                  <w:rFonts w:hint="default"/>
                                  <w:lang w:val="en-US" w:eastAsia="zh-CN"/>
                                </w:rPr>
                              </w:pPr>
                              <w:r>
                                <w:rPr>
                                  <w:rFonts w:hint="eastAsia"/>
                                  <w:lang w:val="en-US" w:eastAsia="zh-CN"/>
                                </w:rPr>
                                <w:t>N2</w:t>
                              </w:r>
                            </w:p>
                          </w:txbxContent>
                        </wps:txbx>
                        <wps:bodyPr anchor="ctr" anchorCtr="0" upright="1"/>
                      </wps:wsp>
                      <wps:wsp>
                        <wps:cNvPr id="115" name="矩形 115"/>
                        <wps:cNvSpPr/>
                        <wps:spPr>
                          <a:xfrm>
                            <a:off x="17074" y="466344"/>
                            <a:ext cx="834" cy="410"/>
                          </a:xfrm>
                          <a:prstGeom prst="rect">
                            <a:avLst/>
                          </a:prstGeom>
                          <a:solidFill>
                            <a:srgbClr val="FFFFFF"/>
                          </a:solidFill>
                          <a:ln w="25400">
                            <a:noFill/>
                          </a:ln>
                        </wps:spPr>
                        <wps:txbx>
                          <w:txbxContent>
                            <w:p>
                              <w:pPr>
                                <w:rPr>
                                  <w:rFonts w:hint="default"/>
                                  <w:lang w:val="en-US" w:eastAsia="zh-CN"/>
                                </w:rPr>
                              </w:pPr>
                              <w:r>
                                <w:rPr>
                                  <w:rFonts w:hint="eastAsia"/>
                                  <w:lang w:val="en-US" w:eastAsia="zh-CN"/>
                                </w:rPr>
                                <w:t>N1</w:t>
                              </w:r>
                            </w:p>
                          </w:txbxContent>
                        </wps:txbx>
                        <wps:bodyPr anchor="ctr" anchorCtr="0" upright="1"/>
                      </wps:wsp>
                      <wps:wsp>
                        <wps:cNvPr id="116" name="直接箭头连接符 116"/>
                        <wps:cNvCnPr/>
                        <wps:spPr>
                          <a:xfrm flipH="1">
                            <a:off x="15352" y="475002"/>
                            <a:ext cx="12" cy="616"/>
                          </a:xfrm>
                          <a:prstGeom prst="straightConnector1">
                            <a:avLst/>
                          </a:prstGeom>
                          <a:ln w="12700" cap="flat" cmpd="sng">
                            <a:solidFill>
                              <a:srgbClr val="000000"/>
                            </a:solidFill>
                            <a:prstDash val="solid"/>
                            <a:round/>
                            <a:headEnd type="none" w="med" len="med"/>
                            <a:tailEnd type="triangle" w="med" len="med"/>
                          </a:ln>
                        </wps:spPr>
                        <wps:bodyPr/>
                      </wps:wsp>
                      <wps:wsp>
                        <wps:cNvPr id="117" name="矩形 117"/>
                        <wps:cNvSpPr/>
                        <wps:spPr>
                          <a:xfrm>
                            <a:off x="14676" y="475665"/>
                            <a:ext cx="1463" cy="512"/>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rPr>
                                  <w:rFonts w:hint="default"/>
                                  <w:lang w:val="en-US" w:eastAsia="zh-CN"/>
                                </w:rPr>
                              </w:pPr>
                              <w:r>
                                <w:rPr>
                                  <w:rFonts w:hint="eastAsia"/>
                                  <w:lang w:val="en-US" w:eastAsia="zh-CN"/>
                                </w:rPr>
                                <w:t>包装、入库</w:t>
                              </w:r>
                            </w:p>
                          </w:txbxContent>
                        </wps:txbx>
                        <wps:bodyPr anchor="ctr" anchorCtr="0" upright="1"/>
                      </wps:wsp>
                      <wps:wsp>
                        <wps:cNvPr id="118" name="直接箭头连接符 118"/>
                        <wps:cNvCnPr/>
                        <wps:spPr>
                          <a:xfrm>
                            <a:off x="16137" y="472267"/>
                            <a:ext cx="957" cy="8"/>
                          </a:xfrm>
                          <a:prstGeom prst="straightConnector1">
                            <a:avLst/>
                          </a:prstGeom>
                          <a:ln w="12700" cap="flat" cmpd="sng">
                            <a:solidFill>
                              <a:srgbClr val="000000"/>
                            </a:solidFill>
                            <a:prstDash val="sysDash"/>
                            <a:round/>
                            <a:headEnd type="none" w="med" len="med"/>
                            <a:tailEnd type="triangle" w="med" len="med"/>
                          </a:ln>
                        </wps:spPr>
                        <wps:bodyPr/>
                      </wps:wsp>
                      <wps:wsp>
                        <wps:cNvPr id="119" name="矩形 119"/>
                        <wps:cNvSpPr/>
                        <wps:spPr>
                          <a:xfrm>
                            <a:off x="17127" y="472078"/>
                            <a:ext cx="877" cy="411"/>
                          </a:xfrm>
                          <a:prstGeom prst="rect">
                            <a:avLst/>
                          </a:prstGeom>
                          <a:solidFill>
                            <a:srgbClr val="FFFFFF"/>
                          </a:solidFill>
                          <a:ln w="25400">
                            <a:noFill/>
                          </a:ln>
                        </wps:spPr>
                        <wps:txbx>
                          <w:txbxContent>
                            <w:p>
                              <w:pPr>
                                <w:rPr>
                                  <w:rFonts w:hint="default"/>
                                  <w:lang w:val="en-US" w:eastAsia="zh-CN"/>
                                </w:rPr>
                              </w:pPr>
                              <w:r>
                                <w:rPr>
                                  <w:rFonts w:hint="eastAsia"/>
                                  <w:lang w:val="en-US" w:eastAsia="zh-CN"/>
                                </w:rPr>
                                <w:t>N6</w:t>
                              </w:r>
                            </w:p>
                          </w:txbxContent>
                        </wps:txbx>
                        <wps:bodyPr anchor="ctr" anchorCtr="0" upright="1"/>
                      </wps:wsp>
                      <wps:wsp>
                        <wps:cNvPr id="120" name="矩形 120"/>
                        <wps:cNvSpPr/>
                        <wps:spPr>
                          <a:xfrm>
                            <a:off x="11220" y="475701"/>
                            <a:ext cx="3165" cy="531"/>
                          </a:xfrm>
                          <a:prstGeom prst="rect">
                            <a:avLst/>
                          </a:prstGeom>
                          <a:solidFill>
                            <a:srgbClr val="FFFFFF"/>
                          </a:solidFill>
                          <a:ln w="25400">
                            <a:noFill/>
                          </a:ln>
                        </wps:spPr>
                        <wps:txbx>
                          <w:txbxContent>
                            <w:p>
                              <w:pPr>
                                <w:rPr>
                                  <w:rFonts w:hint="default"/>
                                  <w:lang w:val="en-US" w:eastAsia="zh-CN"/>
                                </w:rPr>
                              </w:pPr>
                              <w:r>
                                <w:rPr>
                                  <w:rFonts w:hint="eastAsia"/>
                                  <w:lang w:val="en-US" w:eastAsia="zh-CN"/>
                                </w:rPr>
                                <w:t>备注：G废气、N噪声、S固废</w:t>
                              </w:r>
                            </w:p>
                          </w:txbxContent>
                        </wps:txbx>
                        <wps:bodyPr anchor="ctr" anchorCtr="0" upright="1"/>
                      </wps:wsp>
                      <wps:wsp>
                        <wps:cNvPr id="122" name="矩形 122"/>
                        <wps:cNvSpPr/>
                        <wps:spPr>
                          <a:xfrm>
                            <a:off x="11314" y="475196"/>
                            <a:ext cx="2865" cy="531"/>
                          </a:xfrm>
                          <a:prstGeom prst="rect">
                            <a:avLst/>
                          </a:prstGeom>
                          <a:solidFill>
                            <a:srgbClr val="FFFFFF"/>
                          </a:solidFill>
                          <a:ln w="25400">
                            <a:noFill/>
                          </a:ln>
                        </wps:spPr>
                        <wps:txbx>
                          <w:txbxContent>
                            <w:p>
                              <w:pPr>
                                <w:rPr>
                                  <w:rFonts w:hint="default"/>
                                  <w:lang w:val="en-US" w:eastAsia="zh-CN"/>
                                </w:rPr>
                              </w:pPr>
                              <w:r>
                                <w:rPr>
                                  <w:rFonts w:hint="eastAsia"/>
                                  <w:lang w:val="en-US" w:eastAsia="zh-CN"/>
                                </w:rPr>
                                <w:t>备注：红线部分为技改内容</w:t>
                              </w:r>
                            </w:p>
                          </w:txbxContent>
                        </wps:txbx>
                        <wps:bodyPr anchor="ctr" anchorCtr="0" upright="1"/>
                      </wps:wsp>
                    </wpg:wgp>
                  </a:graphicData>
                </a:graphic>
              </wp:anchor>
            </w:drawing>
          </mc:Choice>
          <mc:Fallback>
            <w:pict>
              <v:group id="_x0000_s1026" o:spid="_x0000_s1026" o:spt="203" style="position:absolute;left:0pt;margin-left:6.8pt;margin-top:2.3pt;height:527.8pt;width:399.4pt;mso-wrap-distance-bottom:0pt;mso-wrap-distance-top:0pt;z-index:251678720;mso-width-relative:page;mso-height-relative:page;" coordorigin="11220,466300" coordsize="7826,9931" o:gfxdata="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">
                <o:lock v:ext="edit" aspectratio="f"/>
                <v:rect id="_x0000_s1026" o:spid="_x0000_s1026" o:spt="1" style="position:absolute;left:14621;top:466313;height:512;width:1463;v-text-anchor:middle;" fillcolor="#FFFFFF" filled="t" stroked="t" coordsize="21600,21600" o:gfxdata="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48C8AAAA&#10;2gAAAA8AAAAAAAAAAQAgAAAAIgAAAGRycy9kb3ducmV2LnhtbFBLAQIUABQAAAAIAIdO4kAzLwWe&#10;OwAAADkAAAAQAAAAAAAAAAEAIAAAAAsBAABkcnMvc2hhcGV4bWwueG1sUEsFBgAAAAAGAAYAWwEA&#10;ALUDAAAAAA==&#10;">
                  <v:fill on="t" focussize="0,0"/>
                  <v:stroke weight="2pt" color="#000000" joinstyle="round"/>
                  <v:imagedata o:title=""/>
                  <o:lock v:ext="edit" aspectratio="f"/>
                  <v:textbox>
                    <w:txbxContent>
                      <w:p>
                        <w:pPr>
                          <w:ind w:firstLine="420" w:firstLineChars="200"/>
                          <w:jc w:val="both"/>
                          <w:rPr>
                            <w:rFonts w:hint="default" w:eastAsia="宋体"/>
                            <w:lang w:val="en-US" w:eastAsia="zh-CN"/>
                          </w:rPr>
                        </w:pPr>
                        <w:r>
                          <w:rPr>
                            <w:rFonts w:hint="eastAsia" w:eastAsia="宋体"/>
                            <w:lang w:val="en-US" w:eastAsia="zh-CN"/>
                          </w:rPr>
                          <w:t>化油</w:t>
                        </w:r>
                      </w:p>
                    </w:txbxContent>
                  </v:textbox>
                </v:rect>
                <v:rect id="_x0000_s1026" o:spid="_x0000_s1026" o:spt="1" style="position:absolute;left:14654;top:467472;height:587;width:1463;v-text-anchor:middle;" fillcolor="#FFFFFF" filled="t" stroked="t" coordsize="21600,21600" o:gfxdata="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iZ3srgAAADaAAAA&#10;DwAAAAAAAAABACAAAAAiAAAAZHJzL2Rvd25yZXYueG1sUEsBAhQAFAAAAAgAh07iQDMvBZ47AAAA&#10;OQAAABAAAAAAAAAAAQAgAAAABwEAAGRycy9zaGFwZXhtbC54bWxQSwUGAAAAAAYABgBbAQAAsQMA&#10;AAAA&#10;">
                  <v:fill on="t" focussize="0,0"/>
                  <v:stroke weight="2pt" color="#000000" joinstyle="round"/>
                  <v:imagedata o:title=""/>
                  <o:lock v:ext="edit" aspectratio="f"/>
                  <v:textbox>
                    <w:txbxContent>
                      <w:p>
                        <w:pPr>
                          <w:jc w:val="center"/>
                          <w:rPr>
                            <w:rFonts w:hint="default" w:eastAsia="宋体"/>
                            <w:lang w:val="en-US" w:eastAsia="zh-CN"/>
                          </w:rPr>
                        </w:pPr>
                        <w:r>
                          <w:rPr>
                            <w:rFonts w:hint="eastAsia"/>
                            <w:lang w:val="en-US" w:eastAsia="zh-CN"/>
                          </w:rPr>
                          <w:t>乳化</w:t>
                        </w:r>
                      </w:p>
                    </w:txbxContent>
                  </v:textbox>
                </v:rect>
                <v:shape id="_x0000_s1026" o:spid="_x0000_s1026" o:spt="32" type="#_x0000_t32" style="position:absolute;left:15349;top:466837;flip:x;height:616;width:12;" filled="f" stroked="t" coordsize="21600,21600" o:gfxdata="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AaQa&#10;wAAAANs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shape>
                <v:rect id="_x0000_s1026" o:spid="_x0000_s1026" o:spt="1" style="position:absolute;left:14669;top:468632;height:512;width:1463;v-text-anchor:middle;" fillcolor="#FFFFFF" filled="t" stroked="t" coordsize="21600,21600" o:gfxdata="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pF7K8AAAA&#10;2wAAAA8AAAAAAAAAAQAgAAAAIgAAAGRycy9kb3ducmV2LnhtbFBLAQIUABQAAAAIAIdO4kAzLwWe&#10;OwAAADkAAAAQAAAAAAAAAAEAIAAAAAsBAABkcnMvc2hhcGV4bWwueG1sUEsFBgAAAAAGAAYAWwEA&#10;ALUDAAAAAA==&#10;">
                  <v:fill on="t" focussize="0,0"/>
                  <v:stroke weight="2pt" color="#000000" joinstyle="round"/>
                  <v:imagedata o:title=""/>
                  <o:lock v:ext="edit" aspectratio="f"/>
                  <v:textbox>
                    <w:txbxContent>
                      <w:p>
                        <w:pPr>
                          <w:jc w:val="center"/>
                          <w:rPr>
                            <w:rFonts w:hint="default" w:eastAsia="宋体"/>
                            <w:lang w:val="en-US" w:eastAsia="zh-CN"/>
                          </w:rPr>
                        </w:pPr>
                        <w:r>
                          <w:rPr>
                            <w:rFonts w:hint="eastAsia"/>
                            <w:lang w:val="en-US" w:eastAsia="zh-CN"/>
                          </w:rPr>
                          <w:t>混合剪切</w:t>
                        </w:r>
                      </w:p>
                    </w:txbxContent>
                  </v:textbox>
                </v:rect>
                <v:shape id="_x0000_s1026" o:spid="_x0000_s1026" o:spt="32" type="#_x0000_t32" style="position:absolute;left:15364;top:468032;flip:x;height:616;width:12;" filled="f" stroked="t" coordsize="21600,21600" o:gfxdata="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zVUu/&#10;AAAA2w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shape>
                <v:shape id="_x0000_s1026" o:spid="_x0000_s1026" o:spt="32" type="#_x0000_t32" style="position:absolute;left:15341;top:469174;flip:x;height:616;width:12;" filled="f" stroked="t" coordsize="21600,21600" o:gfxdata="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ZmYN&#10;wAAAANs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shape>
                <v:rect id="_x0000_s1026" o:spid="_x0000_s1026" o:spt="1" style="position:absolute;left:14628;top:469809;height:512;width:1537;v-text-anchor:middle;" fillcolor="#FFFFFF" filled="t" stroked="t" coordsize="21600,21600" o:gfxdata="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S4dsvQAA&#10;ANsAAAAPAAAAAAAAAAEAIAAAACIAAABkcnMvZG93bnJldi54bWxQSwECFAAUAAAACACHTuJAMy8F&#10;njsAAAA5AAAAEAAAAAAAAAABACAAAAAMAQAAZHJzL3NoYXBleG1sLnhtbFBLBQYAAAAABgAGAFsB&#10;AAC2AwAAAAA=&#10;">
                  <v:fill on="t" focussize="0,0"/>
                  <v:stroke weight="2pt" color="#000000" joinstyle="round"/>
                  <v:imagedata o:title=""/>
                  <o:lock v:ext="edit" aspectratio="f"/>
                  <v:textbox>
                    <w:txbxContent>
                      <w:p>
                        <w:pPr>
                          <w:jc w:val="center"/>
                          <w:rPr>
                            <w:rFonts w:hint="default" w:eastAsia="宋体"/>
                            <w:lang w:val="en-US" w:eastAsia="zh-CN"/>
                          </w:rPr>
                        </w:pPr>
                        <w:r>
                          <w:rPr>
                            <w:rFonts w:hint="eastAsia"/>
                            <w:lang w:val="en-US" w:eastAsia="zh-CN"/>
                          </w:rPr>
                          <w:t>均质</w:t>
                        </w:r>
                      </w:p>
                    </w:txbxContent>
                  </v:textbox>
                </v:rect>
                <v:shape id="_x0000_s1026" o:spid="_x0000_s1026" o:spt="32" type="#_x0000_t32" style="position:absolute;left:15356;top:470331;flip:x;height:616;width:12;" filled="f" stroked="t" coordsize="21600,21600" o:gfxdata="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OUee/&#10;AAAA2w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shape>
                <v:rect id="_x0000_s1026" o:spid="_x0000_s1026" o:spt="1" style="position:absolute;left:14624;top:470911;height:512;width:1537;v-text-anchor:middle;" fillcolor="#FFFFFF" filled="t" stroked="t" coordsize="21600,21600" o:gfxdata="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lkgvQAA&#10;ANsAAAAPAAAAAAAAAAEAIAAAACIAAABkcnMvZG93bnJldi54bWxQSwECFAAUAAAACACHTuJAMy8F&#10;njsAAAA5AAAAEAAAAAAAAAABACAAAAAMAQAAZHJzL3NoYXBleG1sLnhtbFBLBQYAAAAABgAGAFsB&#10;AAC2AwAAAAA=&#10;">
                  <v:fill on="t" focussize="0,0"/>
                  <v:stroke weight="2pt" color="#000000" joinstyle="round"/>
                  <v:imagedata o:title=""/>
                  <o:lock v:ext="edit" aspectratio="f"/>
                  <v:textbox>
                    <w:txbxContent>
                      <w:p>
                        <w:pPr>
                          <w:jc w:val="center"/>
                          <w:rPr>
                            <w:rFonts w:hint="default" w:eastAsia="宋体"/>
                            <w:lang w:val="en-US" w:eastAsia="zh-CN"/>
                          </w:rPr>
                        </w:pPr>
                        <w:r>
                          <w:rPr>
                            <w:rFonts w:hint="eastAsia" w:eastAsia="宋体"/>
                            <w:lang w:val="en-US" w:eastAsia="zh-CN"/>
                          </w:rPr>
                          <w:t>过滤</w:t>
                        </w:r>
                      </w:p>
                    </w:txbxContent>
                  </v:textbox>
                </v:rect>
                <v:shape id="_x0000_s1026" o:spid="_x0000_s1026" o:spt="32" type="#_x0000_t32" style="position:absolute;left:15352;top:471415;flip:x;height:616;width:12;" filled="f" stroked="t" coordsize="21600,21600" o:gfxdata="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i6oi/&#10;AAAA2w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shape>
                <v:rect id="_x0000_s1026" o:spid="_x0000_s1026" o:spt="1" style="position:absolute;left:14639;top:472013;height:512;width:1463;v-text-anchor:middle;" fillcolor="#FFFFFF" filled="t" stroked="t" coordsize="21600,21600" o:gfxdata="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WnTS5AAAA2wAA&#10;AA8AAAAAAAAAAQAgAAAAIgAAAGRycy9kb3ducmV2LnhtbFBLAQIUABQAAAAIAIdO4kAzLwWeOwAA&#10;ADkAAAAQAAAAAAAAAAEAIAAAAAgBAABkcnMvc2hhcGV4bWwueG1sUEsFBgAAAAAGAAYAWwEAALID&#10;AAAAAA==&#10;">
                  <v:fill on="t" focussize="0,0"/>
                  <v:stroke weight="2pt" color="#000000" joinstyle="round"/>
                  <v:imagedata o:title=""/>
                  <o:lock v:ext="edit" aspectratio="f"/>
                  <v:textbox>
                    <w:txbxContent>
                      <w:p>
                        <w:pPr>
                          <w:jc w:val="center"/>
                          <w:rPr>
                            <w:rFonts w:hint="default" w:eastAsia="宋体"/>
                            <w:lang w:val="en-US" w:eastAsia="zh-CN"/>
                          </w:rPr>
                        </w:pPr>
                        <w:r>
                          <w:rPr>
                            <w:rFonts w:hint="eastAsia" w:eastAsia="宋体"/>
                            <w:lang w:val="en-US" w:eastAsia="zh-CN"/>
                          </w:rPr>
                          <w:t>杀菌</w:t>
                        </w:r>
                      </w:p>
                    </w:txbxContent>
                  </v:textbox>
                </v:rect>
                <v:shape id="_x0000_s1026" o:spid="_x0000_s1026" o:spt="32" type="#_x0000_t32" style="position:absolute;left:15367;top:472519;flip:x;height:616;width:12;" filled="f" stroked="t" coordsize="21600,21600" o:gfxdata="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M382/&#10;AAAA2w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shape>
                <v:rect id="_x0000_s1026" o:spid="_x0000_s1026" o:spt="1" style="position:absolute;left:14647;top:473114;height:498;width:1504;v-text-anchor:middle;" fillcolor="#FFFFFF" filled="t" stroked="t" coordsize="21600,21600" o:gfxdata="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86DbvQAA&#10;ANsAAAAPAAAAAAAAAAEAIAAAACIAAABkcnMvZG93bnJldi54bWxQSwECFAAUAAAACACHTuJAMy8F&#10;njsAAAA5AAAAEAAAAAAAAAABACAAAAAMAQAAZHJzL3NoYXBleG1sLnhtbFBLBQYAAAAABgAGAFsB&#10;AAC2AwAAAAA=&#10;">
                  <v:fill on="t" focussize="0,0"/>
                  <v:stroke weight="2pt" color="#000000" joinstyle="round"/>
                  <v:imagedata o:title=""/>
                  <o:lock v:ext="edit" aspectratio="f"/>
                  <v:textbox>
                    <w:txbxContent>
                      <w:p>
                        <w:pPr>
                          <w:ind w:firstLine="210" w:firstLineChars="100"/>
                          <w:rPr>
                            <w:rFonts w:hint="default"/>
                            <w:lang w:val="en-US" w:eastAsia="zh-CN"/>
                          </w:rPr>
                        </w:pPr>
                        <w:r>
                          <w:rPr>
                            <w:rFonts w:hint="eastAsia"/>
                            <w:lang w:val="en-US" w:eastAsia="zh-CN"/>
                          </w:rPr>
                          <w:t>喷雾干燥</w:t>
                        </w:r>
                      </w:p>
                    </w:txbxContent>
                  </v:textbox>
                </v:rect>
                <v:shape id="_x0000_s1026" o:spid="_x0000_s1026" o:spt="32" type="#_x0000_t32" style="position:absolute;left:15367;top:473637;flip:x;height:616;width:12;" filled="f" stroked="t" coordsize="21600,21600" o:gfxdata="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gsxnbsAAADb&#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shape>
                <v:rect id="_x0000_s1026" o:spid="_x0000_s1026" o:spt="1" style="position:absolute;left:14331;top:474285;height:692;width:2213;v-text-anchor:middle;" fillcolor="#FFFFFF" filled="t" stroked="t" coordsize="21600,21600" o:gfxdata="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PSIi8AAAA&#10;2wAAAA8AAAAAAAAAAQAgAAAAIgAAAGRycy9kb3ducmV2LnhtbFBLAQIUABQAAAAIAIdO4kAzLwWe&#10;OwAAADkAAAAQAAAAAAAAAAEAIAAAAAsBAABkcnMvc2hhcGV4bWwueG1sUEsFBgAAAAAGAAYAWwEA&#10;ALUDAAAAAA==&#10;">
                  <v:fill on="t" focussize="0,0"/>
                  <v:stroke weight="2pt" color="#000000" joinstyle="round"/>
                  <v:imagedata o:title=""/>
                  <o:lock v:ext="edit" aspectratio="f"/>
                  <v:textbox>
                    <w:txbxContent>
                      <w:p>
                        <w:pPr>
                          <w:ind w:left="420" w:hanging="420" w:hangingChars="200"/>
                          <w:rPr>
                            <w:rFonts w:hint="default"/>
                            <w:lang w:val="en-US" w:eastAsia="zh-CN"/>
                          </w:rPr>
                        </w:pPr>
                        <w:r>
                          <w:rPr>
                            <w:rFonts w:hint="eastAsia"/>
                            <w:lang w:val="en-US" w:eastAsia="zh-CN"/>
                          </w:rPr>
                          <w:t>流化床冷却、筛分（全密闭）</w:t>
                        </w:r>
                      </w:p>
                    </w:txbxContent>
                  </v:textbox>
                </v:rect>
                <v:shape id="_x0000_s1026" o:spid="_x0000_s1026" o:spt="32" type="#_x0000_t32" style="position:absolute;left:13695;top:467798;height:8;width:957;" filled="f" stroked="t" coordsize="21600,21600" o:gfxdata="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OPjMtwAAANsAAAAP&#10;AAAAAAAAAAEAIAAAACIAAABkcnMvZG93bnJldi54bWxQSwECFAAUAAAACACHTuJAMy8FnjsAAAA5&#10;AAAAEAAAAAAAAAABACAAAAAGAQAAZHJzL3NoYXBleG1sLnhtbFBLBQYAAAAABgAGAFsBAACwAwAA&#10;AAA=&#10;">
                  <v:fill on="f" focussize="0,0"/>
                  <v:stroke weight="1pt" color="#000000" joinstyle="round" endarrow="block"/>
                  <v:imagedata o:title=""/>
                  <o:lock v:ext="edit" aspectratio="f"/>
                </v:shape>
                <v:rect id="_x0000_s1026" o:spid="_x0000_s1026" o:spt="1" style="position:absolute;left:12087;top:467696;height:381;width:1475;v-text-anchor:middle;" fillcolor="#FFFFFF" filled="t" stroked="f" coordsize="21600,21600" o:gfxdata="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G+4MugAAANsA&#10;AAAPAAAAAAAAAAEAIAAAACIAAABkcnMvZG93bnJldi54bWxQSwECFAAUAAAACACHTuJAMy8FnjsA&#10;AAA5AAAAEAAAAAAAAAABACAAAAAJAQAAZHJzL3NoYXBleG1sLnhtbFBLBQYAAAAABgAGAFsBAACz&#10;AwAAAAA=&#10;">
                  <v:fill on="t" focussize="0,0"/>
                  <v:stroke on="f" weight="2pt"/>
                  <v:imagedata o:title=""/>
                  <o:lock v:ext="edit" aspectratio="f"/>
                  <v:textbox>
                    <w:txbxContent>
                      <w:p>
                        <w:pPr>
                          <w:ind w:firstLine="210" w:firstLineChars="100"/>
                          <w:jc w:val="both"/>
                          <w:rPr>
                            <w:rFonts w:hint="default" w:eastAsia="宋体"/>
                            <w:lang w:val="en-US" w:eastAsia="zh-CN"/>
                          </w:rPr>
                        </w:pPr>
                        <w:r>
                          <w:rPr>
                            <w:rFonts w:hint="eastAsia"/>
                            <w:lang w:val="en-US" w:eastAsia="zh-CN"/>
                          </w:rPr>
                          <w:t>外购蒸汽</w:t>
                        </w:r>
                      </w:p>
                    </w:txbxContent>
                  </v:textbox>
                </v:rect>
                <v:shape id="_x0000_s1026" o:spid="_x0000_s1026" o:spt="32" type="#_x0000_t32" style="position:absolute;left:13729;top:468937;height:8;width:957;" filled="f" stroked="t" coordsize="21600,21600" o:gfxdata="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XXyybUAAADbAAAADwAA&#10;AAAAAAABACAAAAAiAAAAZHJzL2Rvd25yZXYueG1sUEsBAhQAFAAAAAgAh07iQDMvBZ47AAAAOQAA&#10;ABAAAAAAAAAAAQAgAAAABAEAAGRycy9zaGFwZXhtbC54bWxQSwUGAAAAAAYABgBbAQAArgMAAAAA&#10;">
                  <v:fill on="f" focussize="0,0"/>
                  <v:stroke weight="1pt" color="#000000" joinstyle="round" endarrow="block"/>
                  <v:imagedata o:title=""/>
                  <o:lock v:ext="edit" aspectratio="f"/>
                </v:shape>
                <v:rect id="_x0000_s1026" o:spid="_x0000_s1026" o:spt="1" style="position:absolute;left:11420;top:468604;height:688;width:2328;v-text-anchor:middle;" fillcolor="#FFFFFF" filled="t" stroked="t" coordsize="21600,21600" o:gfxdata="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5RI68AAAA&#10;2wAAAA8AAAAAAAAAAQAgAAAAIgAAAGRycy9kb3ducmV2LnhtbFBLAQIUABQAAAAIAIdO4kAzLwWe&#10;OwAAADkAAAAQAAAAAAAAAAEAIAAAAAsBAABkcnMvc2hhcGV4bWwueG1sUEsFBgAAAAAGAAYAWwEA&#10;ALUDAAAAAA==&#10;">
                  <v:fill on="t" focussize="0,0"/>
                  <v:stroke weight="2pt" color="#000000" joinstyle="miter"/>
                  <v:imagedata o:title=""/>
                  <o:lock v:ext="edit" aspectratio="f"/>
                  <v:textbox>
                    <w:txbxContent>
                      <w:p>
                        <w:pPr>
                          <w:jc w:val="center"/>
                          <w:rPr>
                            <w:rFonts w:hint="default"/>
                            <w:sz w:val="21"/>
                            <w:szCs w:val="21"/>
                            <w:lang w:val="en-US" w:eastAsia="zh-CN"/>
                          </w:rPr>
                        </w:pPr>
                        <w:r>
                          <w:rPr>
                            <w:rFonts w:hint="eastAsia"/>
                            <w:lang w:val="en-US" w:eastAsia="zh-CN"/>
                          </w:rPr>
                          <w:t>投料：糖浆、盐类、软化水等，</w:t>
                        </w:r>
                        <w:r>
                          <w:rPr>
                            <w:rFonts w:hint="eastAsia"/>
                            <w:sz w:val="21"/>
                            <w:szCs w:val="21"/>
                            <w:lang w:val="en-US" w:eastAsia="zh-CN"/>
                          </w:rPr>
                          <w:t>外购蒸汽</w:t>
                        </w:r>
                      </w:p>
                    </w:txbxContent>
                  </v:textbox>
                </v:rect>
                <v:shape id="_x0000_s1026" o:spid="_x0000_s1026" o:spt="32" type="#_x0000_t32" style="position:absolute;left:16110;top:467813;height:8;width:957;" filled="f" stroked="t" coordsize="21600,21600" o:gfxdata="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sbGeugAAANsA&#10;AAAPAAAAAAAAAAEAIAAAACIAAABkcnMvZG93bnJldi54bWxQSwECFAAUAAAACACHTuJAMy8FnjsA&#10;AAA5AAAAEAAAAAAAAAABACAAAAAJAQAAZHJzL3NoYXBleG1sLnhtbFBLBQYAAAAABgAGAFsBAACz&#10;AwAAAAA=&#10;">
                  <v:fill on="f" focussize="0,0"/>
                  <v:stroke weight="1pt" color="#000000" joinstyle="round" dashstyle="3 1" endarrow="block"/>
                  <v:imagedata o:title=""/>
                  <o:lock v:ext="edit" aspectratio="f"/>
                </v:shape>
                <v:shape id="_x0000_s1026" o:spid="_x0000_s1026" o:spt="32" type="#_x0000_t32" style="position:absolute;left:13647;top:473367;height:8;width:957;" filled="f" stroked="t" coordsize="21600,21600" o:gfxdata="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EU/68AAAA&#10;2w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shape>
                <v:rect id="_x0000_s1026" o:spid="_x0000_s1026" o:spt="1" style="position:absolute;left:12044;top:473069;height:742;width:1632;v-text-anchor:middle;" fillcolor="#FFFFFF" filled="t" stroked="t" coordsize="21600,21600" o:gfxdata="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hxmp&#10;wAAAANsAAAAPAAAAAAAAAAEAIAAAACIAAABkcnMvZG93bnJldi54bWxQSwECFAAUAAAACACHTuJA&#10;My8FnjsAAAA5AAAAEAAAAAAAAAABACAAAAAPAQAAZHJzL3NoYXBleG1sLnhtbFBLBQYAAAAABgAG&#10;AFsBAAC5AwAAAAA=&#10;">
                  <v:fill on="t" focussize="0,0"/>
                  <v:stroke weight="2pt" color="#FF0000" joinstyle="miter" dashstyle="1 1" endcap="square"/>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天然气空气直燃加热燃</w:t>
                        </w:r>
                        <w:r>
                          <w:rPr>
                            <w:rFonts w:hint="eastAsia" w:ascii="Times New Roman" w:hAnsi="Times New Roman" w:eastAsia="宋体" w:cs="Times New Roman"/>
                            <w:sz w:val="21"/>
                            <w:szCs w:val="21"/>
                            <w:lang w:val="en-US" w:eastAsia="zh-CN"/>
                          </w:rPr>
                          <w:t>烧器</w:t>
                        </w:r>
                      </w:p>
                    </w:txbxContent>
                  </v:textbox>
                </v:rect>
                <v:rect id="_x0000_s1026" o:spid="_x0000_s1026" o:spt="1" style="position:absolute;left:17084;top:469872;height:410;width:958;v-text-anchor:middle;" fillcolor="#FFFFFF" filled="t" stroked="f" coordsize="21600,21600" o:gfxdata="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jt1KugAAANsA&#10;AAAPAAAAAAAAAAEAIAAAACIAAABkcnMvZG93bnJldi54bWxQSwECFAAUAAAACACHTuJAMy8FnjsA&#10;AAA5AAAAEAAAAAAAAAABACAAAAAJAQAAZHJzL3NoYXBleG1sLnhtbFBLBQYAAAAABgAGAFsBAACz&#10;AwAAAAA=&#10;">
                  <v:fill on="t" focussize="0,0"/>
                  <v:stroke on="f" weight="2pt"/>
                  <v:imagedata o:title=""/>
                  <o:lock v:ext="edit" aspectratio="f"/>
                  <v:textbox>
                    <w:txbxContent>
                      <w:p>
                        <w:pPr>
                          <w:rPr>
                            <w:rFonts w:hint="default"/>
                            <w:lang w:val="en-US" w:eastAsia="zh-CN"/>
                          </w:rPr>
                        </w:pPr>
                        <w:r>
                          <w:rPr>
                            <w:rFonts w:hint="eastAsia"/>
                            <w:lang w:val="en-US" w:eastAsia="zh-CN"/>
                          </w:rPr>
                          <w:t>N4</w:t>
                        </w:r>
                      </w:p>
                    </w:txbxContent>
                  </v:textbox>
                </v:rect>
                <v:shape id="_x0000_s1026" o:spid="_x0000_s1026" o:spt="32" type="#_x0000_t32" style="position:absolute;left:16212;top:470059;height:8;width:957;" filled="f" stroked="t" coordsize="21600,21600" o:gfxdata="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xhIGvQAA&#10;ANsAAAAPAAAAAAAAAAEAIAAAACIAAABkcnMvZG93bnJldi54bWxQSwECFAAUAAAACACHTuJAMy8F&#10;njsAAAA5AAAAEAAAAAAAAAABACAAAAAMAQAAZHJzL3NoYXBleG1sLnhtbFBLBQYAAAAABgAGAFsB&#10;AAC2AwAAAAA=&#10;">
                  <v:fill on="f" focussize="0,0"/>
                  <v:stroke weight="1pt" color="#000000" joinstyle="round" dashstyle="3 1" endarrow="block"/>
                  <v:imagedata o:title=""/>
                  <o:lock v:ext="edit" aspectratio="f"/>
                </v:shape>
                <v:shape id="_x0000_s1026" o:spid="_x0000_s1026" o:spt="32" type="#_x0000_t32" style="position:absolute;left:16143;top:468895;height:8;width:957;" filled="f" stroked="t" coordsize="21600,21600" o:gfxdata="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LGAO8AAAA&#10;2wAAAA8AAAAAAAAAAQAgAAAAIgAAAGRycy9kb3ducmV2LnhtbFBLAQIUABQAAAAIAIdO4kAzLwWe&#10;OwAAADkAAAAQAAAAAAAAAAEAIAAAAAsBAABkcnMvc2hhcGV4bWwueG1sUEsFBgAAAAAGAAYAWwEA&#10;ALUDAAAAAA==&#10;">
                  <v:fill on="f" focussize="0,0"/>
                  <v:stroke weight="1pt" color="#000000" joinstyle="round" dashstyle="3 1" endarrow="block"/>
                  <v:imagedata o:title=""/>
                  <o:lock v:ext="edit" aspectratio="f"/>
                </v:shape>
                <v:rect id="_x0000_s1026" o:spid="_x0000_s1026" o:spt="1" style="position:absolute;left:17094;top:468683;height:424;width:1952;v-text-anchor:middle;" fillcolor="#FFFFFF" filled="t" stroked="f" coordsize="21600,21600" o:gfxdata="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YJugAAANwA&#10;AAAPAAAAAAAAAAEAIAAAACIAAABkcnMvZG93bnJldi54bWxQSwECFAAUAAAACACHTuJAMy8FnjsA&#10;AAA5AAAAEAAAAAAAAAABACAAAAAJAQAAZHJzL3NoYXBleG1sLnhtbFBLBQYAAAAABgAGAFsBAACz&#10;AwAAAAA=&#10;">
                  <v:fill on="t" focussize="0,0"/>
                  <v:stroke on="f" weight="2pt"/>
                  <v:imagedata o:title=""/>
                  <o:lock v:ext="edit" aspectratio="f"/>
                  <v:textbox>
                    <w:txbxContent>
                      <w:p>
                        <w:pPr>
                          <w:rPr>
                            <w:rFonts w:hint="default"/>
                            <w:lang w:val="en-US" w:eastAsia="zh-CN"/>
                          </w:rPr>
                        </w:pPr>
                        <w:r>
                          <w:rPr>
                            <w:rFonts w:hint="default"/>
                            <w:lang w:val="en-US" w:eastAsia="zh-CN"/>
                          </w:rPr>
                          <w:t>G1、N3、S1</w:t>
                        </w:r>
                      </w:p>
                    </w:txbxContent>
                  </v:textbox>
                </v:rect>
                <v:shape id="_x0000_s1026" o:spid="_x0000_s1026" o:spt="32" type="#_x0000_t32" style="position:absolute;left:16163;top:473397;height:8;width:957;" filled="f" stroked="t" coordsize="21600,21600" o:gfxdata="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N7kkrsAAADc&#10;AAAADwAAAAAAAAABACAAAAAiAAAAZHJzL2Rvd25yZXYueG1sUEsBAhQAFAAAAAgAh07iQDMvBZ47&#10;AAAAOQAAABAAAAAAAAAAAQAgAAAACgEAAGRycy9zaGFwZXhtbC54bWxQSwUGAAAAAAYABgBbAQAA&#10;tAMAAAAA&#10;">
                  <v:fill on="f" focussize="0,0"/>
                  <v:stroke weight="1pt" color="#000000" joinstyle="round" dashstyle="3 1" endarrow="block"/>
                  <v:imagedata o:title=""/>
                  <o:lock v:ext="edit" aspectratio="f"/>
                </v:shape>
                <v:rect id="_x0000_s1026" o:spid="_x0000_s1026" o:spt="1" style="position:absolute;left:17135;top:473220;height:396;width:1454;v-text-anchor:middle;" fillcolor="#FFFFFF" filled="t" stroked="f" coordsize="21600,21600" o:gfxdata="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Gat5bgAAADcAAAA&#10;DwAAAAAAAAABACAAAAAiAAAAZHJzL2Rvd25yZXYueG1sUEsBAhQAFAAAAAgAh07iQDMvBZ47AAAA&#10;OQAAABAAAAAAAAAAAQAgAAAABwEAAGRycy9zaGFwZXhtbC54bWxQSwUGAAAAAAYABgBbAQAAsQMA&#10;AAAA&#10;">
                  <v:fill on="t" focussize="0,0"/>
                  <v:stroke on="f" weight="2pt"/>
                  <v:imagedata o:title=""/>
                  <o:lock v:ext="edit" aspectratio="f"/>
                  <v:textbox>
                    <w:txbxContent>
                      <w:p>
                        <w:pPr>
                          <w:rPr>
                            <w:rFonts w:hint="default"/>
                            <w:lang w:val="en-US" w:eastAsia="zh-CN"/>
                          </w:rPr>
                        </w:pPr>
                        <w:r>
                          <w:rPr>
                            <w:rFonts w:hint="eastAsia"/>
                            <w:lang w:val="en-US" w:eastAsia="zh-CN"/>
                          </w:rPr>
                          <w:t>G2、G3、N7</w:t>
                        </w:r>
                      </w:p>
                    </w:txbxContent>
                  </v:textbox>
                </v:rect>
                <v:shape id="_x0000_s1026" o:spid="_x0000_s1026" o:spt="32" type="#_x0000_t32" style="position:absolute;left:16591;top:474626;height:8;width:957;" filled="f" stroked="t" coordsize="21600,21600" o:gfxdata="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A3368AAAA&#10;3AAAAA8AAAAAAAAAAQAgAAAAIgAAAGRycy9kb3ducmV2LnhtbFBLAQIUABQAAAAIAIdO4kAzLwWe&#10;OwAAADkAAAAQAAAAAAAAAAEAIAAAAAsBAABkcnMvc2hhcGV4bWwueG1sUEsFBgAAAAAGAAYAWwEA&#10;ALUDAAAAAA==&#10;">
                  <v:fill on="f" focussize="0,0"/>
                  <v:stroke weight="1pt" color="#000000" joinstyle="round" dashstyle="3 1" endarrow="block"/>
                  <v:imagedata o:title=""/>
                  <o:lock v:ext="edit" aspectratio="f"/>
                </v:shape>
                <v:rect id="_x0000_s1026" o:spid="_x0000_s1026" o:spt="1" style="position:absolute;left:17605;top:474441;height:369;width:844;v-text-anchor:middle;" fillcolor="#FFFFFF" filled="t" stroked="f" coordsize="21600,21600" o:gfxdata="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MOQCrgAAADcAAAA&#10;DwAAAAAAAAABACAAAAAiAAAAZHJzL2Rvd25yZXYueG1sUEsBAhQAFAAAAAgAh07iQDMvBZ47AAAA&#10;OQAAABAAAAAAAAAAAQAgAAAABwEAAGRycy9zaGFwZXhtbC54bWxQSwUGAAAAAAYABgBbAQAAsQMA&#10;AAAA&#10;">
                  <v:fill on="t" focussize="0,0"/>
                  <v:stroke on="f" weight="2pt"/>
                  <v:imagedata o:title=""/>
                  <o:lock v:ext="edit" aspectratio="f"/>
                  <v:textbox>
                    <w:txbxContent>
                      <w:p>
                        <w:pPr>
                          <w:rPr>
                            <w:rFonts w:hint="default"/>
                            <w:lang w:val="en-US" w:eastAsia="zh-CN"/>
                          </w:rPr>
                        </w:pPr>
                        <w:r>
                          <w:rPr>
                            <w:rFonts w:hint="eastAsia"/>
                            <w:lang w:val="en-US" w:eastAsia="zh-CN"/>
                          </w:rPr>
                          <w:t>N8</w:t>
                        </w:r>
                      </w:p>
                    </w:txbxContent>
                  </v:textbox>
                </v:rect>
                <v:shape id="_x0000_s1026" o:spid="_x0000_s1026" o:spt="32" type="#_x0000_t32" style="position:absolute;left:16122;top:471142;height:8;width:957;" filled="f" stroked="t" coordsize="21600,21600" o:gfxdata="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l4pG8AAAA&#10;3AAAAA8AAAAAAAAAAQAgAAAAIgAAAGRycy9kb3ducmV2LnhtbFBLAQIUABQAAAAIAIdO4kAzLwWe&#10;OwAAADkAAAAQAAAAAAAAAAEAIAAAAAsBAABkcnMvc2hhcGV4bWwueG1sUEsFBgAAAAAGAAYAWwEA&#10;ALUDAAAAAA==&#10;">
                  <v:fill on="f" focussize="0,0"/>
                  <v:stroke weight="1pt" color="#000000" joinstyle="round" dashstyle="3 1" endarrow="block"/>
                  <v:imagedata o:title=""/>
                  <o:lock v:ext="edit" aspectratio="f"/>
                </v:shape>
                <v:rect id="_x0000_s1026" o:spid="_x0000_s1026" o:spt="1" style="position:absolute;left:17052;top:470938;height:411;width:1267;v-text-anchor:middle;" fillcolor="#FFFFFF" filled="t" stroked="f" coordsize="21600,21600" o:gfxdata="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12r5rgAAADcAAAA&#10;DwAAAAAAAAABACAAAAAiAAAAZHJzL2Rvd25yZXYueG1sUEsBAhQAFAAAAAgAh07iQDMvBZ47AAAA&#10;OQAAABAAAAAAAAAAAQAgAAAABwEAAGRycy9zaGFwZXhtbC54bWxQSwUGAAAAAAYABgBbAQAAsQMA&#10;AAAA&#10;">
                  <v:fill on="t" focussize="0,0"/>
                  <v:stroke on="f" weight="2pt"/>
                  <v:imagedata o:title=""/>
                  <o:lock v:ext="edit" aspectratio="f"/>
                  <v:textbox>
                    <w:txbxContent>
                      <w:p>
                        <w:pPr>
                          <w:rPr>
                            <w:rFonts w:hint="default"/>
                            <w:lang w:val="en-US" w:eastAsia="zh-CN"/>
                          </w:rPr>
                        </w:pPr>
                        <w:r>
                          <w:rPr>
                            <w:rFonts w:hint="eastAsia"/>
                            <w:lang w:val="en-US" w:eastAsia="zh-CN"/>
                          </w:rPr>
                          <w:t>N5、S2</w:t>
                        </w:r>
                      </w:p>
                    </w:txbxContent>
                  </v:textbox>
                </v:rect>
                <v:shape id="_x0000_s1026" o:spid="_x0000_s1026" o:spt="32" type="#_x0000_t32" style="position:absolute;left:16168;top:475962;height:8;width:957;" filled="f" stroked="t" coordsize="21600,21600" o:gfxdata="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72X28AAAA&#10;3AAAAA8AAAAAAAAAAQAgAAAAIgAAAGRycy9kb3ducmV2LnhtbFBLAQIUABQAAAAIAIdO4kAzLwWe&#10;OwAAADkAAAAQAAAAAAAAAAEAIAAAAAsBAABkcnMvc2hhcGV4bWwueG1sUEsFBgAAAAAGAAYAWwEA&#10;ALUDAAAAAA==&#10;">
                  <v:fill on="f" focussize="0,0"/>
                  <v:stroke weight="1pt" color="#000000" joinstyle="round" dashstyle="3 1" endarrow="block"/>
                  <v:imagedata o:title=""/>
                  <o:lock v:ext="edit" aspectratio="f"/>
                </v:shape>
                <v:rect id="_x0000_s1026" o:spid="_x0000_s1026" o:spt="1" style="position:absolute;left:17105;top:475731;height:382;width:1353;v-text-anchor:middle;" fillcolor="#FFFFFF" filled="t" stroked="f" coordsize="21600,21600" o:gfxdata="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jpoPugAAANwA&#10;AAAPAAAAAAAAAAEAIAAAACIAAABkcnMvZG93bnJldi54bWxQSwECFAAUAAAACACHTuJAMy8FnjsA&#10;AAA5AAAAEAAAAAAAAAABACAAAAAJAQAAZHJzL3NoYXBleG1sLnhtbFBLBQYAAAAABgAGAFsBAACz&#10;AwAAAAA=&#10;">
                  <v:fill on="t" focussize="0,0"/>
                  <v:stroke on="f" weight="2pt"/>
                  <v:imagedata o:title=""/>
                  <o:lock v:ext="edit" aspectratio="f"/>
                  <v:textbox>
                    <w:txbxContent>
                      <w:p>
                        <w:pPr>
                          <w:rPr>
                            <w:rFonts w:hint="default"/>
                            <w:lang w:val="en-US" w:eastAsia="zh-CN"/>
                          </w:rPr>
                        </w:pPr>
                        <w:r>
                          <w:rPr>
                            <w:rFonts w:hint="eastAsia"/>
                            <w:lang w:val="en-US" w:eastAsia="zh-CN"/>
                          </w:rPr>
                          <w:t>G4、N9</w:t>
                        </w:r>
                      </w:p>
                    </w:txbxContent>
                  </v:textbox>
                </v:rect>
                <v:shape id="_x0000_s1026" o:spid="_x0000_s1026" o:spt="32" type="#_x0000_t32" style="position:absolute;left:13696;top:466579;height:8;width:957;" filled="f" stroked="t" coordsize="21600,21600" o:gfxdata="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BinW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shape>
                <v:rect id="_x0000_s1026" o:spid="_x0000_s1026" o:spt="1" style="position:absolute;left:12035;top:466300;height:786;width:1618;v-text-anchor:middle;" fillcolor="#FFFFFF" filled="t" stroked="f" coordsize="21600,21600" o:gfxdata="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W/Ozi5AAAA3AAA&#10;AA8AAAAAAAAAAQAgAAAAIgAAAGRycy9kb3ducmV2LnhtbFBLAQIUABQAAAAIAIdO4kAzLwWeOwAA&#10;ADkAAAAQAAAAAAAAAAEAIAAAAAgBAABkcnMvc2hhcGV4bWwueG1sUEsFBgAAAAAGAAYAWwEAALID&#10;AAAAAA==&#10;">
                  <v:fill on="t" focussize="0,0"/>
                  <v:stroke on="f" weight="2pt"/>
                  <v:imagedata o:title=""/>
                  <o:lock v:ext="edit" aspectratio="f"/>
                  <v:textbox>
                    <w:txbxContent>
                      <w:p>
                        <w:pPr>
                          <w:jc w:val="both"/>
                          <w:rPr>
                            <w:rFonts w:hint="eastAsia"/>
                            <w:lang w:val="en-US" w:eastAsia="zh-CN"/>
                          </w:rPr>
                        </w:pPr>
                        <w:r>
                          <w:rPr>
                            <w:rFonts w:hint="eastAsia"/>
                            <w:lang w:val="en-US" w:eastAsia="zh-CN"/>
                          </w:rPr>
                          <w:t>植物油（固体）</w:t>
                        </w:r>
                      </w:p>
                      <w:p>
                        <w:pPr>
                          <w:ind w:firstLine="210" w:firstLineChars="100"/>
                          <w:jc w:val="both"/>
                          <w:rPr>
                            <w:rFonts w:hint="default" w:eastAsia="宋体"/>
                            <w:lang w:val="en-US" w:eastAsia="zh-CN"/>
                          </w:rPr>
                        </w:pPr>
                        <w:r>
                          <w:rPr>
                            <w:rFonts w:hint="eastAsia"/>
                            <w:lang w:val="en-US" w:eastAsia="zh-CN"/>
                          </w:rPr>
                          <w:t>外购蒸汽</w:t>
                        </w:r>
                      </w:p>
                    </w:txbxContent>
                  </v:textbox>
                </v:rect>
                <v:shape id="_x0000_s1026" o:spid="_x0000_s1026" o:spt="32" type="#_x0000_t32" style="position:absolute;left:16065;top:466537;height:8;width:957;" filled="f" stroked="t" coordsize="21600,21600" o:gfxdata="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lJo7sAAADc&#10;AAAADwAAAAAAAAABACAAAAAiAAAAZHJzL2Rvd25yZXYueG1sUEsBAhQAFAAAAAgAh07iQDMvBZ47&#10;AAAAOQAAABAAAAAAAAAAAQAgAAAACgEAAGRycy9zaGFwZXhtbC54bWxQSwUGAAAAAAYABgBbAQAA&#10;tAMAAAAA&#10;">
                  <v:fill on="f" focussize="0,0"/>
                  <v:stroke weight="1pt" color="#000000" joinstyle="round" dashstyle="3 1" endarrow="block"/>
                  <v:imagedata o:title=""/>
                  <o:lock v:ext="edit" aspectratio="f"/>
                </v:shape>
                <v:rect id="_x0000_s1026" o:spid="_x0000_s1026" o:spt="1" style="position:absolute;left:17119;top:467544;height:410;width:819;v-text-anchor:middle;" fillcolor="#FFFFFF" filled="t" stroked="f" coordsize="21600,21600" o:gfxdata="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UaBte2AAAA3AAAAA8A&#10;AAAAAAAAAQAgAAAAIgAAAGRycy9kb3ducmV2LnhtbFBLAQIUABQAAAAIAIdO4kAzLwWeOwAAADkA&#10;AAAQAAAAAAAAAAEAIAAAAAUBAABkcnMvc2hhcGV4bWwueG1sUEsFBgAAAAAGAAYAWwEAAK8DAAAA&#10;AA==&#10;">
                  <v:fill on="t" focussize="0,0"/>
                  <v:stroke on="f" weight="2pt"/>
                  <v:imagedata o:title=""/>
                  <o:lock v:ext="edit" aspectratio="f"/>
                  <v:textbox>
                    <w:txbxContent>
                      <w:p>
                        <w:pPr>
                          <w:rPr>
                            <w:rFonts w:hint="default"/>
                            <w:lang w:val="en-US" w:eastAsia="zh-CN"/>
                          </w:rPr>
                        </w:pPr>
                        <w:r>
                          <w:rPr>
                            <w:rFonts w:hint="eastAsia"/>
                            <w:lang w:val="en-US" w:eastAsia="zh-CN"/>
                          </w:rPr>
                          <w:t>N2</w:t>
                        </w:r>
                      </w:p>
                    </w:txbxContent>
                  </v:textbox>
                </v:rect>
                <v:rect id="_x0000_s1026" o:spid="_x0000_s1026" o:spt="1" style="position:absolute;left:17074;top:466344;height:410;width:834;v-text-anchor:middle;" fillcolor="#FFFFFF" filled="t" stroked="f" coordsize="21600,21600" o:gfxdata="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lajTLgAAADcAAAA&#10;DwAAAAAAAAABACAAAAAiAAAAZHJzL2Rvd25yZXYueG1sUEsBAhQAFAAAAAgAh07iQDMvBZ47AAAA&#10;OQAAABAAAAAAAAAAAQAgAAAABwEAAGRycy9zaGFwZXhtbC54bWxQSwUGAAAAAAYABgBbAQAAsQMA&#10;AAAA&#10;">
                  <v:fill on="t" focussize="0,0"/>
                  <v:stroke on="f" weight="2pt"/>
                  <v:imagedata o:title=""/>
                  <o:lock v:ext="edit" aspectratio="f"/>
                  <v:textbox>
                    <w:txbxContent>
                      <w:p>
                        <w:pPr>
                          <w:rPr>
                            <w:rFonts w:hint="default"/>
                            <w:lang w:val="en-US" w:eastAsia="zh-CN"/>
                          </w:rPr>
                        </w:pPr>
                        <w:r>
                          <w:rPr>
                            <w:rFonts w:hint="eastAsia"/>
                            <w:lang w:val="en-US" w:eastAsia="zh-CN"/>
                          </w:rPr>
                          <w:t>N1</w:t>
                        </w:r>
                      </w:p>
                    </w:txbxContent>
                  </v:textbox>
                </v:rect>
                <v:shape id="_x0000_s1026" o:spid="_x0000_s1026" o:spt="32" type="#_x0000_t32" style="position:absolute;left:15352;top:475002;flip:x;height:616;width:12;" filled="f" stroked="t" coordsize="21600,21600" o:gfxdata="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uehN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shape>
                <v:rect id="_x0000_s1026" o:spid="_x0000_s1026" o:spt="1" style="position:absolute;left:14676;top:475665;height:512;width:1463;v-text-anchor:middle;" fillcolor="#FFFFFF" filled="t" stroked="t" coordsize="21600,21600" o:gfxdata="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bfmu8AAAA&#10;3AAAAA8AAAAAAAAAAQAgAAAAIgAAAGRycy9kb3ducmV2LnhtbFBLAQIUABQAAAAIAIdO4kAzLwWe&#10;OwAAADkAAAAQAAAAAAAAAAEAIAAAAAsBAABkcnMvc2hhcGV4bWwueG1sUEsFBgAAAAAGAAYAWwEA&#10;ALUDAAAAAA==&#10;">
                  <v:fill on="t" focussize="0,0"/>
                  <v:stroke weight="2pt" color="#000000" joinstyle="round"/>
                  <v:imagedata o:title=""/>
                  <o:lock v:ext="edit" aspectratio="f"/>
                  <v:textbox>
                    <w:txbxContent>
                      <w:p>
                        <w:pPr>
                          <w:rPr>
                            <w:rFonts w:hint="default"/>
                            <w:lang w:val="en-US" w:eastAsia="zh-CN"/>
                          </w:rPr>
                        </w:pPr>
                        <w:r>
                          <w:rPr>
                            <w:rFonts w:hint="eastAsia"/>
                            <w:lang w:val="en-US" w:eastAsia="zh-CN"/>
                          </w:rPr>
                          <w:t>包装、入库</w:t>
                        </w:r>
                      </w:p>
                    </w:txbxContent>
                  </v:textbox>
                </v:rect>
                <v:shape id="_x0000_s1026" o:spid="_x0000_s1026" o:spt="32" type="#_x0000_t32" style="position:absolute;left:16137;top:472267;height:8;width:957;" filled="f" stroked="t" coordsize="21600,21600" o:gfxdata="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3b0r4A&#10;AADcAAAADwAAAAAAAAABACAAAAAiAAAAZHJzL2Rvd25yZXYueG1sUEsBAhQAFAAAAAgAh07iQDMv&#10;BZ47AAAAOQAAABAAAAAAAAAAAQAgAAAADQEAAGRycy9zaGFwZXhtbC54bWxQSwUGAAAAAAYABgBb&#10;AQAAtwMAAAAA&#10;">
                  <v:fill on="f" focussize="0,0"/>
                  <v:stroke weight="1pt" color="#000000" joinstyle="round" dashstyle="3 1" endarrow="block"/>
                  <v:imagedata o:title=""/>
                  <o:lock v:ext="edit" aspectratio="f"/>
                </v:shape>
                <v:rect id="_x0000_s1026" o:spid="_x0000_s1026" o:spt="1" style="position:absolute;left:17127;top:472078;height:411;width:877;v-text-anchor:middle;" fillcolor="#FFFFFF" filled="t" stroked="f" coordsize="21600,21600" o:gfxdata="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xupSbgAAADcAAAA&#10;DwAAAAAAAAABACAAAAAiAAAAZHJzL2Rvd25yZXYueG1sUEsBAhQAFAAAAAgAh07iQDMvBZ47AAAA&#10;OQAAABAAAAAAAAAAAQAgAAAABwEAAGRycy9zaGFwZXhtbC54bWxQSwUGAAAAAAYABgBbAQAAsQMA&#10;AAAA&#10;">
                  <v:fill on="t" focussize="0,0"/>
                  <v:stroke on="f" weight="2pt"/>
                  <v:imagedata o:title=""/>
                  <o:lock v:ext="edit" aspectratio="f"/>
                  <v:textbox>
                    <w:txbxContent>
                      <w:p>
                        <w:pPr>
                          <w:rPr>
                            <w:rFonts w:hint="default"/>
                            <w:lang w:val="en-US" w:eastAsia="zh-CN"/>
                          </w:rPr>
                        </w:pPr>
                        <w:r>
                          <w:rPr>
                            <w:rFonts w:hint="eastAsia"/>
                            <w:lang w:val="en-US" w:eastAsia="zh-CN"/>
                          </w:rPr>
                          <w:t>N6</w:t>
                        </w:r>
                      </w:p>
                    </w:txbxContent>
                  </v:textbox>
                </v:rect>
                <v:rect id="_x0000_s1026" o:spid="_x0000_s1026" o:spt="1" style="position:absolute;left:11220;top:475701;height:531;width:3165;v-text-anchor:middle;" fillcolor="#FFFFFF" filled="t" stroked="f" coordsize="21600,21600" o:gfxdata="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3KabsAAADc&#10;AAAADwAAAAAAAAABACAAAAAiAAAAZHJzL2Rvd25yZXYueG1sUEsBAhQAFAAAAAgAh07iQDMvBZ47&#10;AAAAOQAAABAAAAAAAAAAAQAgAAAACgEAAGRycy9zaGFwZXhtbC54bWxQSwUGAAAAAAYABgBbAQAA&#10;tAMAAAAA&#10;">
                  <v:fill on="t" focussize="0,0"/>
                  <v:stroke on="f" weight="2pt"/>
                  <v:imagedata o:title=""/>
                  <o:lock v:ext="edit" aspectratio="f"/>
                  <v:textbox>
                    <w:txbxContent>
                      <w:p>
                        <w:pPr>
                          <w:rPr>
                            <w:rFonts w:hint="default"/>
                            <w:lang w:val="en-US" w:eastAsia="zh-CN"/>
                          </w:rPr>
                        </w:pPr>
                        <w:r>
                          <w:rPr>
                            <w:rFonts w:hint="eastAsia"/>
                            <w:lang w:val="en-US" w:eastAsia="zh-CN"/>
                          </w:rPr>
                          <w:t>备注：G废气、N噪声、S固废</w:t>
                        </w:r>
                      </w:p>
                    </w:txbxContent>
                  </v:textbox>
                </v:rect>
                <v:rect id="_x0000_s1026" o:spid="_x0000_s1026" o:spt="1" style="position:absolute;left:11314;top:475196;height:531;width:2865;v-text-anchor:middle;" fillcolor="#FFFFFF" filled="t" stroked="f" coordsize="21600,21600" o:gfxdata="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0/GFtwAAANwAAAAP&#10;AAAAAAAAAAEAIAAAACIAAABkcnMvZG93bnJldi54bWxQSwECFAAUAAAACACHTuJAMy8FnjsAAAA5&#10;AAAAEAAAAAAAAAABACAAAAAGAQAAZHJzL3NoYXBleG1sLnhtbFBLBQYAAAAABgAGAFsBAACwAwAA&#10;AAA=&#10;">
                  <v:fill on="t" focussize="0,0"/>
                  <v:stroke on="f" weight="2pt"/>
                  <v:imagedata o:title=""/>
                  <o:lock v:ext="edit" aspectratio="f"/>
                  <v:textbox>
                    <w:txbxContent>
                      <w:p>
                        <w:pPr>
                          <w:rPr>
                            <w:rFonts w:hint="default"/>
                            <w:lang w:val="en-US" w:eastAsia="zh-CN"/>
                          </w:rPr>
                        </w:pPr>
                        <w:r>
                          <w:rPr>
                            <w:rFonts w:hint="eastAsia"/>
                            <w:lang w:val="en-US" w:eastAsia="zh-CN"/>
                          </w:rPr>
                          <w:t>备注：红线部分为技改内容</w:t>
                        </w:r>
                      </w:p>
                    </w:txbxContent>
                  </v:textbox>
                </v:rect>
                <w10:wrap type="topAndBottom"/>
              </v:group>
            </w:pict>
          </mc:Fallback>
        </mc:AlternateContent>
      </w:r>
    </w:p>
    <w:p>
      <w:pPr>
        <w:tabs>
          <w:tab w:val="left" w:pos="7528"/>
        </w:tabs>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mc:AlternateContent>
          <mc:Choice Requires="wps">
            <w:drawing>
              <wp:anchor distT="0" distB="0" distL="114300" distR="114300" simplePos="0" relativeHeight="251662336" behindDoc="0" locked="0" layoutInCell="1" allowOverlap="1">
                <wp:simplePos x="0" y="0"/>
                <wp:positionH relativeFrom="column">
                  <wp:posOffset>1365250</wp:posOffset>
                </wp:positionH>
                <wp:positionV relativeFrom="paragraph">
                  <wp:posOffset>50800</wp:posOffset>
                </wp:positionV>
                <wp:extent cx="2676525" cy="276225"/>
                <wp:effectExtent l="4445" t="4445" r="5080" b="5080"/>
                <wp:wrapNone/>
                <wp:docPr id="27" name="文本框 2902"/>
                <wp:cNvGraphicFramePr/>
                <a:graphic xmlns:a="http://schemas.openxmlformats.org/drawingml/2006/main">
                  <a:graphicData uri="http://schemas.microsoft.com/office/word/2010/wordprocessingShape">
                    <wps:wsp>
                      <wps:cNvSpPr txBox="1"/>
                      <wps:spPr>
                        <a:xfrm>
                          <a:off x="0" y="0"/>
                          <a:ext cx="2676525" cy="2762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default" w:eastAsiaTheme="minorEastAsia"/>
                                <w:lang w:val="en-US" w:eastAsia="zh-CN"/>
                              </w:rPr>
                            </w:pPr>
                            <w:r>
                              <w:rPr>
                                <w:rFonts w:hint="eastAsia"/>
                                <w:b/>
                                <w:szCs w:val="20"/>
                              </w:rPr>
                              <w:t>图</w:t>
                            </w:r>
                            <w:r>
                              <w:rPr>
                                <w:rFonts w:hint="default" w:ascii="Times New Roman" w:hAnsi="Times New Roman" w:cs="Times New Roman"/>
                                <w:b/>
                                <w:szCs w:val="20"/>
                              </w:rPr>
                              <w:t>3</w:t>
                            </w:r>
                            <w:r>
                              <w:rPr>
                                <w:rFonts w:hint="eastAsia" w:ascii="Times New Roman" w:hAnsi="Times New Roman" w:cs="Times New Roman"/>
                                <w:b/>
                                <w:szCs w:val="20"/>
                                <w:lang w:val="en-US" w:eastAsia="zh-CN"/>
                              </w:rPr>
                              <w:t>.5</w:t>
                            </w:r>
                            <w:r>
                              <w:rPr>
                                <w:rFonts w:hint="eastAsia"/>
                                <w:b/>
                                <w:szCs w:val="20"/>
                              </w:rPr>
                              <w:t xml:space="preserve"> </w:t>
                            </w:r>
                            <w:r>
                              <w:rPr>
                                <w:rFonts w:hint="eastAsia"/>
                                <w:b/>
                                <w:szCs w:val="20"/>
                                <w:lang w:val="en-US" w:eastAsia="zh-CN"/>
                              </w:rPr>
                              <w:t>生产工艺流程图</w:t>
                            </w:r>
                          </w:p>
                        </w:txbxContent>
                      </wps:txbx>
                      <wps:bodyPr upright="1"/>
                    </wps:wsp>
                  </a:graphicData>
                </a:graphic>
              </wp:anchor>
            </w:drawing>
          </mc:Choice>
          <mc:Fallback>
            <w:pict>
              <v:shape id="文本框 2902" o:spid="_x0000_s1026" o:spt="202" type="#_x0000_t202" style="position:absolute;left:0pt;margin-left:107.5pt;margin-top:4pt;height:21.75pt;width:210.75pt;z-index:251662336;mso-width-relative:page;mso-height-relative:page;" fillcolor="#FFFFFF" filled="t" stroked="t" coordsize="21600,21600" o:gfxdata="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HzKaNcAAAAIAQAADwAAAAAAAAABACAAAAAiAAAA&#10;ZHJzL2Rvd25yZXYueG1sUEsBAhQAFAAAAAgAh07iQPEakO4IAgAAOgQAAA4AAAAAAAAAAQAgAAAA&#10;JgEAAGRycy9lMm9Eb2MueG1sUEsFBgAAAAAGAAYAWQEAAKAFAAAAAA==&#10;">
                <v:fill on="t" focussize="0,0"/>
                <v:stroke color="#FFFFFF" joinstyle="miter"/>
                <v:imagedata o:title=""/>
                <o:lock v:ext="edit" aspectratio="f"/>
                <v:textbox>
                  <w:txbxContent>
                    <w:p>
                      <w:pPr>
                        <w:jc w:val="center"/>
                        <w:rPr>
                          <w:rFonts w:hint="default" w:eastAsiaTheme="minorEastAsia"/>
                          <w:lang w:val="en-US" w:eastAsia="zh-CN"/>
                        </w:rPr>
                      </w:pPr>
                      <w:r>
                        <w:rPr>
                          <w:rFonts w:hint="eastAsia"/>
                          <w:b/>
                          <w:szCs w:val="20"/>
                        </w:rPr>
                        <w:t>图</w:t>
                      </w:r>
                      <w:r>
                        <w:rPr>
                          <w:rFonts w:hint="default" w:ascii="Times New Roman" w:hAnsi="Times New Roman" w:cs="Times New Roman"/>
                          <w:b/>
                          <w:szCs w:val="20"/>
                        </w:rPr>
                        <w:t>3</w:t>
                      </w:r>
                      <w:r>
                        <w:rPr>
                          <w:rFonts w:hint="eastAsia" w:ascii="Times New Roman" w:hAnsi="Times New Roman" w:cs="Times New Roman"/>
                          <w:b/>
                          <w:szCs w:val="20"/>
                          <w:lang w:val="en-US" w:eastAsia="zh-CN"/>
                        </w:rPr>
                        <w:t>.5</w:t>
                      </w:r>
                      <w:r>
                        <w:rPr>
                          <w:rFonts w:hint="eastAsia"/>
                          <w:b/>
                          <w:szCs w:val="20"/>
                        </w:rPr>
                        <w:t xml:space="preserve"> </w:t>
                      </w:r>
                      <w:r>
                        <w:rPr>
                          <w:rFonts w:hint="eastAsia"/>
                          <w:b/>
                          <w:szCs w:val="20"/>
                          <w:lang w:val="en-US" w:eastAsia="zh-CN"/>
                        </w:rPr>
                        <w:t>生产工艺流程图</w:t>
                      </w:r>
                    </w:p>
                  </w:txbxContent>
                </v:textbox>
              </v:shape>
            </w:pict>
          </mc:Fallback>
        </mc:AlternateContent>
      </w:r>
      <w:r>
        <w:rPr>
          <w:rFonts w:hint="default" w:ascii="Times New Roman" w:hAnsi="Times New Roman" w:eastAsia="宋体" w:cs="Times New Roman"/>
          <w:color w:val="auto"/>
          <w:sz w:val="24"/>
          <w:szCs w:val="24"/>
        </w:rPr>
        <mc:AlternateContent>
          <mc:Choice Requires="wps">
            <w:drawing>
              <wp:anchor distT="0" distB="0" distL="114300" distR="114300" simplePos="0" relativeHeight="251664384" behindDoc="0" locked="0" layoutInCell="1" allowOverlap="1">
                <wp:simplePos x="0" y="0"/>
                <wp:positionH relativeFrom="character">
                  <wp:posOffset>2148840</wp:posOffset>
                </wp:positionH>
                <wp:positionV relativeFrom="line">
                  <wp:posOffset>6424295</wp:posOffset>
                </wp:positionV>
                <wp:extent cx="347980" cy="110490"/>
                <wp:effectExtent l="0" t="0" r="0" b="0"/>
                <wp:wrapNone/>
                <wp:docPr id="32" name="文本框 316"/>
                <wp:cNvGraphicFramePr/>
                <a:graphic xmlns:a="http://schemas.openxmlformats.org/drawingml/2006/main">
                  <a:graphicData uri="http://schemas.microsoft.com/office/word/2010/wordprocessingShape">
                    <wps:wsp>
                      <wps:cNvSpPr txBox="1"/>
                      <wps:spPr>
                        <a:xfrm>
                          <a:off x="0" y="0"/>
                          <a:ext cx="347980" cy="110490"/>
                        </a:xfrm>
                        <a:prstGeom prst="rect">
                          <a:avLst/>
                        </a:prstGeom>
                        <a:noFill/>
                        <a:ln w="6350">
                          <a:noFill/>
                        </a:ln>
                      </wps:spPr>
                      <wps:txbx>
                        <w:txbxContent>
                          <w:p>
                            <w:pPr>
                              <w:jc w:val="left"/>
                              <w:rPr>
                                <w:rFonts w:hint="eastAsia"/>
                              </w:rPr>
                            </w:pPr>
                          </w:p>
                        </w:txbxContent>
                      </wps:txbx>
                      <wps:bodyPr lIns="18000" tIns="10800" rIns="18000" bIns="10800" upright="1"/>
                    </wps:wsp>
                  </a:graphicData>
                </a:graphic>
              </wp:anchor>
            </w:drawing>
          </mc:Choice>
          <mc:Fallback>
            <w:pict>
              <v:shape id="文本框 316" o:spid="_x0000_s1026" o:spt="202" type="#_x0000_t202" style="position:absolute;left:0pt;margin-left:169.2pt;margin-top:505.85pt;height:8.7pt;width:27.4pt;mso-position-horizontal-relative:char;mso-position-vertical-relative:line;z-index:251664384;mso-width-relative:page;mso-height-relative:page;" filled="f" stroked="f" coordsize="21600,21600" o:gfxdata="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G6C0fcAAAADQEAAA8AAAAAAAAAAQAgAAAA&#10;IgAAAGRycy9kb3ducmV2LnhtbFBLAQIUABQAAAAIAIdO4kAVTcUwzgEAAI0DAAAOAAAAAAAAAAEA&#10;IAAAACsBAABkcnMvZTJvRG9jLnhtbFBLBQYAAAAABgAGAFkBAABrBQAAAAA=&#10;">
                <v:fill on="f" focussize="0,0"/>
                <v:stroke on="f" weight="0.5pt"/>
                <v:imagedata o:title=""/>
                <o:lock v:ext="edit" aspectratio="f"/>
                <v:textbox inset="0.5mm,0.3mm,0.5mm,0.3mm">
                  <w:txbxContent>
                    <w:p>
                      <w:pPr>
                        <w:jc w:val="left"/>
                        <w:rPr>
                          <w:rFonts w:hint="eastAsia"/>
                        </w:rPr>
                      </w:pPr>
                    </w:p>
                  </w:txbxContent>
                </v:textbox>
              </v:shape>
            </w:pict>
          </mc:Fallback>
        </mc:AlternateContent>
      </w:r>
      <w:r>
        <w:rPr>
          <w:rFonts w:hint="default" w:ascii="Times New Roman" w:hAnsi="Times New Roman" w:eastAsia="宋体" w:cs="Times New Roman"/>
          <w:color w:val="auto"/>
          <w:sz w:val="24"/>
          <w:szCs w:val="24"/>
        </w:rPr>
        <mc:AlternateContent>
          <mc:Choice Requires="wps">
            <w:drawing>
              <wp:anchor distT="0" distB="0" distL="114300" distR="114300" simplePos="0" relativeHeight="251663360" behindDoc="0" locked="0" layoutInCell="1" allowOverlap="1">
                <wp:simplePos x="0" y="0"/>
                <wp:positionH relativeFrom="character">
                  <wp:posOffset>10104755</wp:posOffset>
                </wp:positionH>
                <wp:positionV relativeFrom="line">
                  <wp:posOffset>3857625</wp:posOffset>
                </wp:positionV>
                <wp:extent cx="443230" cy="224790"/>
                <wp:effectExtent l="0" t="0" r="0" b="0"/>
                <wp:wrapNone/>
                <wp:docPr id="31" name="文本框 244"/>
                <wp:cNvGraphicFramePr/>
                <a:graphic xmlns:a="http://schemas.openxmlformats.org/drawingml/2006/main">
                  <a:graphicData uri="http://schemas.microsoft.com/office/word/2010/wordprocessingShape">
                    <wps:wsp>
                      <wps:cNvSpPr txBox="1"/>
                      <wps:spPr>
                        <a:xfrm>
                          <a:off x="0" y="0"/>
                          <a:ext cx="443230" cy="224790"/>
                        </a:xfrm>
                        <a:prstGeom prst="rect">
                          <a:avLst/>
                        </a:prstGeom>
                        <a:noFill/>
                        <a:ln w="6350">
                          <a:noFill/>
                        </a:ln>
                      </wps:spPr>
                      <wps:txbx>
                        <w:txbxContent>
                          <w:p>
                            <w:pPr>
                              <w:jc w:val="both"/>
                              <w:rPr>
                                <w:rFonts w:hint="eastAsia"/>
                              </w:rPr>
                            </w:pPr>
                          </w:p>
                        </w:txbxContent>
                      </wps:txbx>
                      <wps:bodyPr lIns="18000" tIns="10800" rIns="18000" bIns="10800" upright="1"/>
                    </wps:wsp>
                  </a:graphicData>
                </a:graphic>
              </wp:anchor>
            </w:drawing>
          </mc:Choice>
          <mc:Fallback>
            <w:pict>
              <v:shape id="文本框 244" o:spid="_x0000_s1026" o:spt="202" type="#_x0000_t202" style="position:absolute;left:0pt;margin-left:795.65pt;margin-top:303.75pt;height:17.7pt;width:34.9pt;mso-position-horizontal-relative:char;mso-position-vertical-relative:line;z-index:251663360;mso-width-relative:page;mso-height-relative:page;" filled="f" stroked="f" coordsize="21600,21600" o:gfxdata="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Co4TZ3QAAAA0BAAAPAAAAAAAAAAEAIAAA&#10;ACIAAABkcnMvZG93bnJldi54bWxQSwECFAAUAAAACACHTuJAYaJUfs4BAACNAwAADgAAAAAAAAAB&#10;ACAAAAAsAQAAZHJzL2Uyb0RvYy54bWxQSwUGAAAAAAYABgBZAQAAbAUAAAAA&#10;">
                <v:fill on="f" focussize="0,0"/>
                <v:stroke on="f" weight="0.5pt"/>
                <v:imagedata o:title=""/>
                <o:lock v:ext="edit" aspectratio="f"/>
                <v:textbox inset="0.5mm,0.3mm,0.5mm,0.3mm">
                  <w:txbxContent>
                    <w:p>
                      <w:pPr>
                        <w:jc w:val="both"/>
                        <w:rPr>
                          <w:rFonts w:hint="eastAsia"/>
                        </w:rPr>
                      </w:pPr>
                    </w:p>
                  </w:txbxContent>
                </v:textbox>
              </v:shape>
            </w:pict>
          </mc:Fallback>
        </mc:AlternateConten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工艺说明及污染工序：</w:t>
      </w:r>
    </w:p>
    <w:p>
      <w:pPr>
        <w:spacing w:line="360" w:lineRule="auto"/>
        <w:ind w:firstLine="720" w:firstLineChars="3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本次技改项目</w:t>
      </w:r>
      <w:r>
        <w:rPr>
          <w:rFonts w:hint="default" w:ascii="Times New Roman" w:hAnsi="Times New Roman" w:eastAsia="宋体" w:cs="Times New Roman"/>
          <w:kern w:val="2"/>
          <w:sz w:val="24"/>
          <w:szCs w:val="24"/>
          <w:u w:val="none"/>
          <w:lang w:val="en-US" w:eastAsia="zh-CN" w:bidi="ar-SA"/>
        </w:rPr>
        <w:t>为了优化升级产品质量，降低产品含水率，使产品含水率由8.0（g/100g）降到5.0（g/100g）以下，根基企业提供的资料和类别同行业生产经验，每降低1.0（g/100g）的含水率需要的热量为588.8大卡，喷雾干燥前物料的含水率为8.0（g/100g），则生产8万吨含水率在5.0（g/100g）以下的植脂末需要的热量至少为3532800万大卡，由于现有条件下使用的蒸汽压力为1.2MPa、温度为150℃满足不了优化升级产品质量所需的热量，现</w:t>
      </w:r>
      <w:r>
        <w:rPr>
          <w:rFonts w:hint="default" w:ascii="Times New Roman" w:hAnsi="Times New Roman" w:eastAsia="宋体" w:cs="Times New Roman"/>
          <w:sz w:val="24"/>
          <w:lang w:val="en-US" w:eastAsia="zh-CN"/>
        </w:rPr>
        <w:t>对喷雾干燥工序供热方式进行</w:t>
      </w:r>
      <w:r>
        <w:rPr>
          <w:rFonts w:hint="default" w:ascii="Times New Roman" w:hAnsi="Times New Roman" w:eastAsia="宋体" w:cs="Times New Roman"/>
          <w:color w:val="000000"/>
          <w:sz w:val="24"/>
          <w:lang w:val="en-US" w:eastAsia="zh-CN"/>
        </w:rPr>
        <w:t>技改</w:t>
      </w:r>
      <w:r>
        <w:rPr>
          <w:rFonts w:hint="default" w:ascii="Times New Roman" w:hAnsi="Times New Roman" w:eastAsia="宋体" w:cs="Times New Roman"/>
          <w:sz w:val="24"/>
          <w:lang w:val="en-US" w:eastAsia="zh-CN"/>
        </w:rPr>
        <w:t>，技改后干燥温度达到220℃，其余工艺流程没有发生变化(详见图2-2现有项目工艺流程图及产污环节)，技改内容为现有项目1号植脂末生产线、2号植脂末生产线、3号植脂末生产线喷雾干燥供热方式由热蒸汽供热技改为天然气空气直燃加热燃烧器燃烧天然气供热，烘干原理为燃烧器燃烧天然气间接加热空气，使热空气与物料进行接触干燥，燃烧器燃烧天然气产生的燃烧废气不直接与物料接触，天然气空气直燃加热燃烧器采用低氮燃烧技术，新增排放的污染物为</w:t>
      </w:r>
      <w:r>
        <w:rPr>
          <w:rFonts w:hint="default" w:ascii="Times New Roman" w:hAnsi="Times New Roman" w:eastAsia="宋体" w:cs="Times New Roman"/>
          <w:sz w:val="24"/>
        </w:rPr>
        <w:t>颗粒物G</w:t>
      </w:r>
      <w:r>
        <w:rPr>
          <w:rFonts w:hint="default" w:ascii="Times New Roman" w:hAnsi="Times New Roman" w:eastAsia="宋体" w:cs="Times New Roman"/>
          <w:sz w:val="24"/>
          <w:vertAlign w:val="subscript"/>
          <w:lang w:val="en-US" w:eastAsia="zh-CN"/>
        </w:rPr>
        <w:t>3</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NOx</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颗粒物）以及设备噪声，1号植脂末生产线、2号植脂末生产线、3号植脂末生产线产生的天然气燃烧废气分别经DA001、DA002、DA003排气筒达标排放。</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本项目生产过程中产生的“三废情况”见表3-5</w:t>
      </w:r>
    </w:p>
    <w:p>
      <w:pPr>
        <w:spacing w:line="360" w:lineRule="auto"/>
        <w:ind w:firstLine="2650" w:firstLineChars="11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表3-5三废情况汇总表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2695"/>
        <w:gridCol w:w="1705"/>
        <w:gridCol w:w="1624"/>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70" w:type="pct"/>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环境要素</w:t>
            </w:r>
          </w:p>
        </w:tc>
        <w:tc>
          <w:tcPr>
            <w:tcW w:w="1525" w:type="pct"/>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污染物名称</w:t>
            </w:r>
          </w:p>
        </w:tc>
        <w:tc>
          <w:tcPr>
            <w:tcW w:w="965" w:type="pct"/>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污染因子</w:t>
            </w:r>
          </w:p>
        </w:tc>
        <w:tc>
          <w:tcPr>
            <w:tcW w:w="919" w:type="pct"/>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措施</w:t>
            </w:r>
          </w:p>
        </w:tc>
        <w:tc>
          <w:tcPr>
            <w:tcW w:w="919" w:type="pct"/>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0"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p>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vertAlign w:val="baseline"/>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大气环境</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525" w:type="pct"/>
            <w:noWrap w:val="0"/>
            <w:vAlign w:val="center"/>
          </w:tcPr>
          <w:p>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1号植脂末生产线天然气燃烧废气</w:t>
            </w:r>
          </w:p>
        </w:tc>
        <w:tc>
          <w:tcPr>
            <w:tcW w:w="9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vertAlign w:val="baseli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p>
        </w:tc>
        <w:tc>
          <w:tcPr>
            <w:tcW w:w="91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低氮燃烧器+41mDA001排气筒排放</w:t>
            </w:r>
          </w:p>
        </w:tc>
        <w:tc>
          <w:tcPr>
            <w:tcW w:w="91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670"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525" w:type="pct"/>
            <w:noWrap w:val="0"/>
            <w:vAlign w:val="center"/>
          </w:tcPr>
          <w:p>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2号植脂末生产线天然气燃烧废气</w:t>
            </w:r>
          </w:p>
        </w:tc>
        <w:tc>
          <w:tcPr>
            <w:tcW w:w="9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vertAlign w:val="baseli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p>
        </w:tc>
        <w:tc>
          <w:tcPr>
            <w:tcW w:w="91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低氮燃烧器+38mDA002排气筒排放</w:t>
            </w:r>
          </w:p>
        </w:tc>
        <w:tc>
          <w:tcPr>
            <w:tcW w:w="91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70"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52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3号植脂末生产线天然气燃烧废气</w:t>
            </w:r>
          </w:p>
        </w:tc>
        <w:tc>
          <w:tcPr>
            <w:tcW w:w="96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vertAlign w:val="baseli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p>
        </w:tc>
        <w:tc>
          <w:tcPr>
            <w:tcW w:w="91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低氮燃烧器+41mDA003排气筒排放</w:t>
            </w:r>
          </w:p>
        </w:tc>
        <w:tc>
          <w:tcPr>
            <w:tcW w:w="91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7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tc>
        <w:tc>
          <w:tcPr>
            <w:tcW w:w="152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96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91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91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本次技改项目不产废水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7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声环境</w:t>
            </w:r>
          </w:p>
        </w:tc>
        <w:tc>
          <w:tcPr>
            <w:tcW w:w="152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设备噪声</w:t>
            </w:r>
          </w:p>
        </w:tc>
        <w:tc>
          <w:tcPr>
            <w:tcW w:w="96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w:t>
            </w:r>
          </w:p>
        </w:tc>
        <w:tc>
          <w:tcPr>
            <w:tcW w:w="91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基础减震、厂房隔声</w:t>
            </w:r>
          </w:p>
        </w:tc>
        <w:tc>
          <w:tcPr>
            <w:tcW w:w="91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7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固体废物</w:t>
            </w:r>
          </w:p>
        </w:tc>
        <w:tc>
          <w:tcPr>
            <w:tcW w:w="152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96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91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91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本次技改项目不产固废</w:t>
            </w:r>
          </w:p>
        </w:tc>
      </w:tr>
    </w:tbl>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27" w:name="_Toc4873"/>
      <w:r>
        <w:rPr>
          <w:rFonts w:hint="default" w:ascii="Times New Roman" w:hAnsi="Times New Roman" w:eastAsia="宋体" w:cs="Times New Roman"/>
          <w:b/>
          <w:sz w:val="28"/>
          <w:szCs w:val="32"/>
        </w:rPr>
        <w:t>3.6项目变动情况</w:t>
      </w:r>
      <w:bookmarkEnd w:id="27"/>
    </w:p>
    <w:p>
      <w:pPr>
        <w:widowControl/>
        <w:adjustRightInd w:val="0"/>
        <w:snapToGrid w:val="0"/>
        <w:spacing w:line="360" w:lineRule="auto"/>
        <w:ind w:firstLine="480" w:firstLineChars="200"/>
        <w:jc w:val="left"/>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3.6.1审批意见落实情况</w:t>
      </w:r>
      <w:bookmarkEnd w:id="26"/>
    </w:p>
    <w:p>
      <w:pPr>
        <w:widowControl/>
        <w:adjustRightInd w:val="0"/>
        <w:snapToGrid w:val="0"/>
        <w:spacing w:line="360" w:lineRule="auto"/>
        <w:ind w:firstLine="480" w:firstLineChars="200"/>
        <w:jc w:val="left"/>
        <w:rPr>
          <w:rFonts w:hint="default" w:ascii="Times New Roman" w:hAnsi="Times New Roman" w:eastAsia="宋体" w:cs="Times New Roman"/>
          <w:color w:val="000000"/>
          <w:sz w:val="24"/>
          <w:szCs w:val="28"/>
        </w:rPr>
      </w:pPr>
      <w:bookmarkStart w:id="28" w:name="_Toc497001471"/>
      <w:r>
        <w:rPr>
          <w:rFonts w:hint="default" w:ascii="Times New Roman" w:hAnsi="Times New Roman" w:eastAsia="宋体" w:cs="Times New Roman"/>
          <w:color w:val="000000"/>
          <w:sz w:val="24"/>
          <w:szCs w:val="28"/>
        </w:rPr>
        <w:t>审批意见落实情况</w:t>
      </w:r>
      <w:bookmarkEnd w:id="28"/>
      <w:r>
        <w:rPr>
          <w:rFonts w:hint="default" w:ascii="Times New Roman" w:hAnsi="Times New Roman" w:eastAsia="宋体" w:cs="Times New Roman"/>
          <w:color w:val="000000"/>
          <w:sz w:val="24"/>
          <w:szCs w:val="28"/>
        </w:rPr>
        <w:t>一览表见表3.6-1。</w:t>
      </w:r>
    </w:p>
    <w:p>
      <w:pPr>
        <w:pStyle w:val="11"/>
        <w:spacing w:after="0" w:line="360" w:lineRule="auto"/>
        <w:ind w:left="0"/>
        <w:jc w:val="center"/>
        <w:rPr>
          <w:rFonts w:hint="default" w:ascii="Times New Roman" w:hAnsi="Times New Roman" w:eastAsia="宋体" w:cs="Times New Roman"/>
          <w:b/>
          <w:sz w:val="22"/>
          <w:szCs w:val="24"/>
        </w:rPr>
      </w:pPr>
      <w:r>
        <w:rPr>
          <w:rFonts w:hint="default" w:ascii="Times New Roman" w:hAnsi="Times New Roman" w:eastAsia="宋体" w:cs="Times New Roman"/>
          <w:b/>
          <w:sz w:val="22"/>
          <w:szCs w:val="24"/>
        </w:rPr>
        <w:t>表3.6-1  环评审批意见落实情况一览表</w:t>
      </w:r>
    </w:p>
    <w:tbl>
      <w:tblPr>
        <w:tblStyle w:val="30"/>
        <w:tblW w:w="86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29"/>
        <w:gridCol w:w="4085"/>
        <w:gridCol w:w="40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b/>
                <w:szCs w:val="21"/>
              </w:rPr>
            </w:pPr>
            <w:bookmarkStart w:id="29" w:name="_Hlk49447808"/>
            <w:r>
              <w:rPr>
                <w:rFonts w:hint="default" w:ascii="Times New Roman" w:hAnsi="Times New Roman" w:eastAsia="宋体" w:cs="Times New Roman"/>
                <w:b/>
                <w:szCs w:val="21"/>
              </w:rPr>
              <w:t>序号</w:t>
            </w:r>
          </w:p>
        </w:tc>
        <w:tc>
          <w:tcPr>
            <w:tcW w:w="4085"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审批意见内容</w:t>
            </w:r>
          </w:p>
        </w:tc>
        <w:tc>
          <w:tcPr>
            <w:tcW w:w="4062"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085" w:type="dxa"/>
            <w:vAlign w:val="center"/>
          </w:tcPr>
          <w:p>
            <w:pPr>
              <w:spacing w:line="300" w:lineRule="exact"/>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建设单位：</w:t>
            </w:r>
            <w:r>
              <w:rPr>
                <w:rFonts w:hint="default" w:ascii="Times New Roman" w:hAnsi="Times New Roman" w:eastAsia="宋体" w:cs="Times New Roman"/>
                <w:szCs w:val="21"/>
                <w:lang w:val="en-US" w:eastAsia="zh-CN"/>
              </w:rPr>
              <w:t>山东大树达孚特膳食品有限公司</w:t>
            </w:r>
          </w:p>
        </w:tc>
        <w:tc>
          <w:tcPr>
            <w:tcW w:w="4062" w:type="dxa"/>
            <w:vAlign w:val="center"/>
          </w:tcPr>
          <w:p>
            <w:pPr>
              <w:spacing w:line="300" w:lineRule="exact"/>
              <w:jc w:val="left"/>
              <w:rPr>
                <w:rFonts w:hint="default" w:ascii="Times New Roman" w:hAnsi="Times New Roman" w:eastAsia="宋体" w:cs="Times New Roman"/>
                <w:szCs w:val="21"/>
              </w:rPr>
            </w:pPr>
            <w:r>
              <w:rPr>
                <w:rFonts w:hint="default" w:ascii="Times New Roman" w:hAnsi="Times New Roman" w:eastAsia="宋体" w:cs="Times New Roman"/>
                <w:szCs w:val="21"/>
              </w:rPr>
              <w:t>建设单位名称不变。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4085" w:type="dxa"/>
            <w:vAlign w:val="center"/>
          </w:tcPr>
          <w:p>
            <w:pPr>
              <w:spacing w:line="300" w:lineRule="exact"/>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建设地点：</w:t>
            </w:r>
            <w:r>
              <w:rPr>
                <w:rFonts w:hint="default" w:ascii="Times New Roman" w:hAnsi="Times New Roman" w:eastAsia="宋体" w:cs="Times New Roman"/>
                <w:szCs w:val="21"/>
                <w:lang w:val="en-US" w:eastAsia="zh-CN"/>
              </w:rPr>
              <w:t>菏泽市鲁西新区吕陵镇黄河路东段山东大树达孚特膳食品有限公司内</w:t>
            </w:r>
          </w:p>
        </w:tc>
        <w:tc>
          <w:tcPr>
            <w:tcW w:w="4062" w:type="dxa"/>
            <w:vAlign w:val="center"/>
          </w:tcPr>
          <w:p>
            <w:pPr>
              <w:spacing w:line="300" w:lineRule="exact"/>
              <w:jc w:val="left"/>
              <w:rPr>
                <w:rFonts w:hint="default" w:ascii="Times New Roman" w:hAnsi="Times New Roman" w:eastAsia="宋体" w:cs="Times New Roman"/>
                <w:szCs w:val="21"/>
              </w:rPr>
            </w:pPr>
            <w:r>
              <w:rPr>
                <w:rFonts w:hint="default" w:ascii="Times New Roman" w:hAnsi="Times New Roman" w:eastAsia="宋体" w:cs="Times New Roman"/>
                <w:szCs w:val="21"/>
              </w:rPr>
              <w:t>建设地点不变。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w:t>
            </w:r>
          </w:p>
        </w:tc>
        <w:tc>
          <w:tcPr>
            <w:tcW w:w="4085" w:type="dxa"/>
            <w:vAlign w:val="center"/>
          </w:tcPr>
          <w:p>
            <w:pPr>
              <w:spacing w:line="300" w:lineRule="exact"/>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厂区采取“于污分流”原则，设计、建设给排水系统。改项目技改后不新增用水。地下水保护与污染防治按照“源头控制、分区控制、污染监控、应急响应”的原则，按照有关设计规定，对化粪池、危废暂存间等采取严格防渗措施，防治污染地下水和土壤。</w:t>
            </w:r>
          </w:p>
        </w:tc>
        <w:tc>
          <w:tcPr>
            <w:tcW w:w="4062" w:type="dxa"/>
            <w:vAlign w:val="center"/>
          </w:tcPr>
          <w:p>
            <w:pPr>
              <w:spacing w:line="300" w:lineRule="exact"/>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厂区已采取“于污分流”原则，设计、建设给排水系统。本次改项目技改后不新增用水。地下水保护与污染防治已按照“源头控制、分区控制、污染监控、应急响应”的原则，已按照有关设计规定，对化粪池、危废暂存间等采取严格防渗措施，防治了污染地下水和土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69" w:hRule="atLeast"/>
          <w:jc w:val="center"/>
        </w:trPr>
        <w:tc>
          <w:tcPr>
            <w:tcW w:w="529" w:type="dxa"/>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w:t>
            </w:r>
          </w:p>
        </w:tc>
        <w:tc>
          <w:tcPr>
            <w:tcW w:w="4085" w:type="dxa"/>
            <w:vAlign w:val="center"/>
          </w:tcPr>
          <w:p>
            <w:pPr>
              <w:spacing w:line="300" w:lineRule="exact"/>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技改项目废气主要为1号、2号及3号植脂末生产天然气燃烧废气。三条植脂末生产线天然气空气直燃加热燃烧器均安装低氮燃烧器，1号植脂末生产线天然气燃烧废气经41m高排气筒DA001排放；2号植脂末生产线天然气燃烧废气经38m高排气筒DA002排放；3号植脂末生产天然气燃烧废气经41m高排气筒DA003排放。颗粒物、SO</w:t>
            </w:r>
            <w:r>
              <w:rPr>
                <w:rFonts w:hint="default"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lang w:val="en-US" w:eastAsia="zh-CN"/>
              </w:rPr>
              <w:t>、NO</w:t>
            </w:r>
            <w:r>
              <w:rPr>
                <w:rFonts w:hint="default" w:ascii="Times New Roman" w:hAnsi="Times New Roman" w:eastAsia="宋体" w:cs="Times New Roman"/>
                <w:szCs w:val="21"/>
                <w:vertAlign w:val="subscript"/>
                <w:lang w:val="en-US" w:eastAsia="zh-CN"/>
              </w:rPr>
              <w:t>X</w:t>
            </w:r>
            <w:r>
              <w:rPr>
                <w:rFonts w:hint="default" w:ascii="Times New Roman" w:hAnsi="Times New Roman" w:eastAsia="宋体" w:cs="Times New Roman"/>
                <w:szCs w:val="21"/>
                <w:lang w:val="en-US" w:eastAsia="zh-CN"/>
              </w:rPr>
              <w:t>排放须满足山东省《区域大气污染物综合排放标准》（DB37/2376-2019）中表1重点控制区限值要求，排放速率须满足《大气污染物综合排放标准》（GB16297-1996）表2中二级标准要求。排气筒上设置规范的永久性监测孔、采样平台和排污口标志。</w:t>
            </w:r>
          </w:p>
        </w:tc>
        <w:tc>
          <w:tcPr>
            <w:tcW w:w="4062" w:type="dxa"/>
            <w:vAlign w:val="center"/>
          </w:tcPr>
          <w:p>
            <w:pPr>
              <w:spacing w:line="300" w:lineRule="exact"/>
              <w:jc w:val="both"/>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技改项目废气主要为1号、2号及3号植脂末生产天然气燃烧废气。三条植脂末生产线天然气空气直燃加热燃烧器均安装了低氮燃烧器，1号植脂末生产线天然气燃烧废气经41m高排气筒</w:t>
            </w:r>
            <w:r>
              <w:rPr>
                <w:rFonts w:hint="eastAsia" w:ascii="Times New Roman" w:hAnsi="Times New Roman" w:eastAsia="宋体" w:cs="Times New Roman"/>
                <w:szCs w:val="21"/>
                <w:lang w:val="en-US" w:eastAsia="zh-CN"/>
              </w:rPr>
              <w:t>DA004（DA001编号变为DA004）</w:t>
            </w:r>
            <w:r>
              <w:rPr>
                <w:rFonts w:hint="default" w:ascii="Times New Roman" w:hAnsi="Times New Roman" w:eastAsia="宋体" w:cs="Times New Roman"/>
                <w:szCs w:val="21"/>
                <w:lang w:val="en-US" w:eastAsia="zh-CN"/>
              </w:rPr>
              <w:t>排放；2号植脂末生产线天然气燃烧废气经38m高排气筒</w:t>
            </w:r>
            <w:r>
              <w:rPr>
                <w:rFonts w:hint="eastAsia" w:ascii="Times New Roman" w:hAnsi="Times New Roman" w:eastAsia="宋体" w:cs="Times New Roman"/>
                <w:szCs w:val="21"/>
                <w:lang w:val="en-US" w:eastAsia="zh-CN"/>
              </w:rPr>
              <w:t>DA005（DA002编号变为DA005）</w:t>
            </w:r>
            <w:r>
              <w:rPr>
                <w:rFonts w:hint="default" w:ascii="Times New Roman" w:hAnsi="Times New Roman" w:eastAsia="宋体" w:cs="Times New Roman"/>
                <w:szCs w:val="21"/>
                <w:lang w:val="en-US" w:eastAsia="zh-CN"/>
              </w:rPr>
              <w:t>排放；3号植脂末生产天然气燃烧废气经41m高排气筒</w:t>
            </w:r>
            <w:r>
              <w:rPr>
                <w:rFonts w:hint="eastAsia" w:ascii="Times New Roman" w:hAnsi="Times New Roman" w:eastAsia="宋体" w:cs="Times New Roman"/>
                <w:szCs w:val="21"/>
                <w:lang w:val="en-US" w:eastAsia="zh-CN"/>
              </w:rPr>
              <w:t>DA006（DA003编号变为DA006）</w:t>
            </w:r>
            <w:r>
              <w:rPr>
                <w:rFonts w:hint="default" w:ascii="Times New Roman" w:hAnsi="Times New Roman" w:eastAsia="宋体" w:cs="Times New Roman"/>
                <w:szCs w:val="21"/>
                <w:lang w:val="en-US" w:eastAsia="zh-CN"/>
              </w:rPr>
              <w:t>排放。根据验收监测数据颗粒物、SO</w:t>
            </w:r>
            <w:r>
              <w:rPr>
                <w:rFonts w:hint="default"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lang w:val="en-US" w:eastAsia="zh-CN"/>
              </w:rPr>
              <w:t>、NO</w:t>
            </w:r>
            <w:r>
              <w:rPr>
                <w:rFonts w:hint="default" w:ascii="Times New Roman" w:hAnsi="Times New Roman" w:eastAsia="宋体" w:cs="Times New Roman"/>
                <w:szCs w:val="21"/>
                <w:vertAlign w:val="subscript"/>
                <w:lang w:val="en-US" w:eastAsia="zh-CN"/>
              </w:rPr>
              <w:t>X</w:t>
            </w:r>
            <w:r>
              <w:rPr>
                <w:rFonts w:hint="default" w:ascii="Times New Roman" w:hAnsi="Times New Roman" w:eastAsia="宋体" w:cs="Times New Roman"/>
                <w:szCs w:val="21"/>
                <w:lang w:val="en-US" w:eastAsia="zh-CN"/>
              </w:rPr>
              <w:t>排放须满足山东省《区域大气污染物综合排放标准》（DB37/2376-2019）中表1重点控制区限值要求，排放速率须满足《大气污染物综合排放标准》（GB16297-1996）表2中二级标准要求。排气筒上设置了规范的永久性监测孔、采样平台和排污口标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5</w:t>
            </w:r>
          </w:p>
        </w:tc>
        <w:tc>
          <w:tcPr>
            <w:tcW w:w="4085" w:type="dxa"/>
            <w:vAlign w:val="center"/>
          </w:tcPr>
          <w:p>
            <w:pPr>
              <w:pStyle w:val="29"/>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固体废物按照“资源化、减量化、无害化”的处置原则，落实各类固体废物的收集、处理。该项目技改不新增固废。</w:t>
            </w:r>
          </w:p>
        </w:tc>
        <w:tc>
          <w:tcPr>
            <w:tcW w:w="4062" w:type="dxa"/>
            <w:vAlign w:val="center"/>
          </w:tcPr>
          <w:p>
            <w:pPr>
              <w:spacing w:line="300" w:lineRule="exact"/>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lang w:val="en-US" w:eastAsia="zh-CN"/>
              </w:rPr>
              <w:t>固体废物已按照“资源化、减量化、无害化”的处置原则，已落实各类固体废物的收集、处理。该项目技改不新增固废。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6</w:t>
            </w:r>
          </w:p>
        </w:tc>
        <w:tc>
          <w:tcPr>
            <w:tcW w:w="4085" w:type="dxa"/>
            <w:vAlign w:val="center"/>
          </w:tcPr>
          <w:p>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项目运营期采用低噪声设备，采取设备减震、风机安装消音机、合理布局等措施，噪声须满足《工业企业厂界噪声排放标准》（GB12348-2008）2类标准要求。</w:t>
            </w:r>
          </w:p>
        </w:tc>
        <w:tc>
          <w:tcPr>
            <w:tcW w:w="4062" w:type="dxa"/>
            <w:vAlign w:val="center"/>
          </w:tcPr>
          <w:p>
            <w:pPr>
              <w:spacing w:line="300" w:lineRule="exact"/>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Cs w:val="21"/>
                <w:lang w:val="en-US" w:eastAsia="zh-CN"/>
              </w:rPr>
              <w:t>本项目运营期采用了低噪声设备，采取了设备减震、风机安装消音机、合理布局等措施，根据验收监测数据噪声满足《工业企业厂界噪声排放标准》（GB12348-2008）2类标准要求。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7</w:t>
            </w:r>
          </w:p>
        </w:tc>
        <w:tc>
          <w:tcPr>
            <w:tcW w:w="4085" w:type="dxa"/>
            <w:vAlign w:val="center"/>
          </w:tcPr>
          <w:p>
            <w:pPr>
              <w:spacing w:line="300" w:lineRule="exact"/>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运行期需申请污染物排放总量的项目，须严格执行区域污染物排放总量控制要求，确保各类污染物排放总量控制在核定指标内。需申请排污许可证的项目，投产前须依法取得排污许可。</w:t>
            </w:r>
          </w:p>
        </w:tc>
        <w:tc>
          <w:tcPr>
            <w:tcW w:w="4062" w:type="dxa"/>
            <w:vAlign w:val="center"/>
          </w:tcPr>
          <w:p>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已严格执行区域污染物排放总量控制要求，根据验收监测数据计算排放的污染物总量满足总量控制标准，投产前已申请排污许可变更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9</w:t>
            </w:r>
          </w:p>
        </w:tc>
        <w:tc>
          <w:tcPr>
            <w:tcW w:w="4085" w:type="dxa"/>
            <w:vAlign w:val="center"/>
          </w:tcPr>
          <w:p>
            <w:pPr>
              <w:spacing w:line="300" w:lineRule="exact"/>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严格落实报告表提出的环境风险防范措施和应急预案要求，落实各类污染物排放、噪声等监测计划。配备必要的应急设备，定期演练，防治污染事故的发生。</w:t>
            </w:r>
          </w:p>
        </w:tc>
        <w:tc>
          <w:tcPr>
            <w:tcW w:w="4062" w:type="dxa"/>
            <w:vAlign w:val="center"/>
          </w:tcPr>
          <w:p>
            <w:pPr>
              <w:spacing w:line="300" w:lineRule="exact"/>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已严格落实报告表提出的环境风险防范措施和应急预案要求，已落实各类污染物排放、噪声等监测计划。已配备必要的应急设备，定期演练，防治污染事故的发生。</w:t>
            </w:r>
          </w:p>
        </w:tc>
      </w:tr>
      <w:bookmarkEnd w:id="29"/>
    </w:tbl>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宋体" w:cs="Times New Roman"/>
          <w:color w:val="FF0000"/>
          <w:sz w:val="24"/>
          <w:szCs w:val="28"/>
        </w:rPr>
      </w:pPr>
      <w:r>
        <w:rPr>
          <w:rFonts w:hint="default" w:ascii="Times New Roman" w:hAnsi="Times New Roman" w:eastAsia="宋体" w:cs="Times New Roman"/>
          <w:color w:val="000000"/>
          <w:sz w:val="24"/>
          <w:szCs w:val="28"/>
        </w:rPr>
        <w:t>3.6.2变更情况说明</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本项目验收期间，对照生态环境部办公厅发布的环办环评函【2020】688号对比如下：</w:t>
      </w:r>
    </w:p>
    <w:p>
      <w:pPr>
        <w:pStyle w:val="11"/>
        <w:keepNext w:val="0"/>
        <w:keepLines w:val="0"/>
        <w:pageBreakBefore w:val="0"/>
        <w:kinsoku/>
        <w:wordWrap/>
        <w:overflowPunct/>
        <w:topLinePunct w:val="0"/>
        <w:autoSpaceDE/>
        <w:autoSpaceDN/>
        <w:bidi w:val="0"/>
        <w:spacing w:after="0" w:line="360" w:lineRule="auto"/>
        <w:ind w:left="0"/>
        <w:jc w:val="center"/>
        <w:textAlignment w:val="auto"/>
        <w:rPr>
          <w:rFonts w:hint="default" w:ascii="Times New Roman" w:hAnsi="Times New Roman" w:eastAsia="宋体" w:cs="Times New Roman"/>
          <w:b/>
          <w:sz w:val="22"/>
          <w:szCs w:val="24"/>
        </w:rPr>
      </w:pPr>
      <w:r>
        <w:rPr>
          <w:rFonts w:hint="default" w:ascii="Times New Roman" w:hAnsi="Times New Roman" w:eastAsia="宋体" w:cs="Times New Roman"/>
          <w:b/>
          <w:sz w:val="22"/>
          <w:szCs w:val="24"/>
        </w:rPr>
        <w:t>表3.6-2  污染影响类建设项目重大变动清单对照表</w:t>
      </w:r>
    </w:p>
    <w:tbl>
      <w:tblPr>
        <w:tblStyle w:val="30"/>
        <w:tblW w:w="86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29"/>
        <w:gridCol w:w="4665"/>
        <w:gridCol w:w="34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4665"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重大变动清单内容</w:t>
            </w:r>
          </w:p>
        </w:tc>
        <w:tc>
          <w:tcPr>
            <w:tcW w:w="3482"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变更情况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665" w:type="dxa"/>
            <w:vAlign w:val="center"/>
          </w:tcPr>
          <w:p>
            <w:pPr>
              <w:spacing w:line="300" w:lineRule="exac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建设项目开发、使用功能发生变化的</w:t>
            </w:r>
          </w:p>
        </w:tc>
        <w:tc>
          <w:tcPr>
            <w:tcW w:w="348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4665" w:type="dxa"/>
            <w:vAlign w:val="center"/>
          </w:tcPr>
          <w:p>
            <w:pPr>
              <w:spacing w:line="300" w:lineRule="exac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生产、处置或储存能力增大30%以上的</w:t>
            </w:r>
          </w:p>
        </w:tc>
        <w:tc>
          <w:tcPr>
            <w:tcW w:w="348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4665" w:type="dxa"/>
            <w:vAlign w:val="center"/>
          </w:tcPr>
          <w:p>
            <w:pPr>
              <w:spacing w:line="300" w:lineRule="exac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生产、处置或储存能力增大，导致废水第一类污染物排放量增加的</w:t>
            </w:r>
          </w:p>
        </w:tc>
        <w:tc>
          <w:tcPr>
            <w:tcW w:w="348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4665" w:type="dxa"/>
            <w:vAlign w:val="center"/>
          </w:tcPr>
          <w:p>
            <w:pPr>
              <w:spacing w:line="300" w:lineRule="exac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位于环境质量不达标区的建设项目生产、处置或储存能力增大，导致响应污染物排放量增加的（细颗粒物不达标区，响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3482" w:type="dxa"/>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本项目生产、处置或储存能力未发生变化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重新选址；在原厂址附近调整（包括总平面布置变化）导致环境防护距离范围变化且新增敏感点的。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新增产品品种或生产工艺（含主要生产装置、设备及配套设施）、主要原辅料、燃料变化，导致以下情形之一：（1）新增排放污染物种类的（毒性、挥发性降低的除外）；（2）位于环境质量不达标区的建设项目响应污染物排放量增加的；（3）废水第一类污染物排放量增加的；（4）其他污染物排放量增加10%及以上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物料运输、装卸、贮存方式变化，导致大气污染物无组织排放量增加10</w:t>
            </w:r>
            <w:r>
              <w:rPr>
                <w:rFonts w:hint="default" w:ascii="Times New Roman" w:hAnsi="Times New Roman" w:eastAsia="宋体" w:cs="Times New Roman"/>
                <w:szCs w:val="21"/>
                <w:lang w:val="en-US" w:eastAsia="zh-CN"/>
              </w:rPr>
              <w:t>%</w:t>
            </w:r>
            <w:r>
              <w:rPr>
                <w:rFonts w:hint="default" w:ascii="Times New Roman" w:hAnsi="Times New Roman" w:eastAsia="宋体" w:cs="Times New Roman"/>
                <w:szCs w:val="21"/>
              </w:rPr>
              <w:t>及以上的。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废气、废水污染防治措施变化，导致第6条中所列情形之一（废气无组织排放改为有组织排放、污染防治措施强化或改进的除外）或大气污染物无组织排放量增加10%以上的。</w:t>
            </w:r>
          </w:p>
        </w:tc>
        <w:tc>
          <w:tcPr>
            <w:tcW w:w="3482" w:type="dxa"/>
            <w:vAlign w:val="center"/>
          </w:tcPr>
          <w:p>
            <w:pPr>
              <w:ind w:left="0" w:leftChars="0" w:firstLine="1260" w:firstLineChars="6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新增废水主要排放口；废水由间接排放改为直接排放；废水直接排放口位置变化，导致不利环境影响加重的。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新增废气主要排放口（废气无组织排放改为有组织排放的除外）；主要排放口排气筒高度降低10%及以上的。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噪声、土壤或地下水污染防治措施变化，导致不利环境影响加重的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12</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固体废物利用处置方式由委托外单位利用处置改为自行利用处置的（自行利用处置设施单独开展环境影响评价的除外）；固体废物自行处置方式变化，导致不利环境影响加重的。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13</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事故废水暂存能力或拦截设施变化，导致环境风险防范能力弱化或降低的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bl>
    <w:p>
      <w:pPr>
        <w:spacing w:line="360" w:lineRule="auto"/>
        <w:ind w:firstLine="480" w:firstLineChars="200"/>
        <w:rPr>
          <w:rFonts w:hint="default" w:ascii="Times New Roman" w:hAnsi="Times New Roman" w:eastAsia="宋体" w:cs="Times New Roman"/>
          <w:color w:val="000000"/>
          <w:sz w:val="24"/>
          <w:szCs w:val="28"/>
        </w:rPr>
      </w:pPr>
    </w:p>
    <w:p>
      <w:pPr>
        <w:widowControl/>
        <w:adjustRightInd w:val="0"/>
        <w:snapToGrid w:val="0"/>
        <w:spacing w:line="360" w:lineRule="auto"/>
        <w:ind w:firstLine="562" w:firstLineChars="200"/>
        <w:jc w:val="lef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br w:type="page"/>
      </w:r>
    </w:p>
    <w:p>
      <w:pPr>
        <w:pStyle w:val="47"/>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30" w:name="_Toc10149"/>
      <w:r>
        <w:rPr>
          <w:rFonts w:hint="default" w:ascii="Times New Roman" w:hAnsi="Times New Roman" w:eastAsia="宋体" w:cs="Times New Roman"/>
          <w:b/>
          <w:sz w:val="32"/>
          <w:szCs w:val="32"/>
        </w:rPr>
        <w:t>4、环境保护设施</w:t>
      </w:r>
      <w:bookmarkEnd w:id="30"/>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31" w:name="_Toc30810"/>
      <w:r>
        <w:rPr>
          <w:rFonts w:hint="default" w:ascii="Times New Roman" w:hAnsi="Times New Roman" w:eastAsia="宋体" w:cs="Times New Roman"/>
          <w:b/>
          <w:sz w:val="28"/>
          <w:szCs w:val="32"/>
        </w:rPr>
        <w:t>4.1污染物治理/处置设施</w:t>
      </w:r>
      <w:bookmarkEnd w:id="31"/>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4.1.1废水</w:t>
      </w:r>
    </w:p>
    <w:p>
      <w:pPr>
        <w:pStyle w:val="2"/>
        <w:keepNext w:val="0"/>
        <w:keepLines w:val="0"/>
        <w:pageBreakBefore w:val="0"/>
        <w:widowControl w:val="0"/>
        <w:kinsoku/>
        <w:wordWrap/>
        <w:overflowPunct/>
        <w:topLinePunct w:val="0"/>
        <w:bidi w:val="0"/>
        <w:adjustRightIn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w:t>
      </w:r>
      <w:r>
        <w:rPr>
          <w:rFonts w:hint="eastAsia" w:ascii="Times New Roman" w:cs="Times New Roman"/>
          <w:color w:val="auto"/>
          <w:kern w:val="2"/>
          <w:sz w:val="24"/>
          <w:szCs w:val="24"/>
          <w:lang w:val="en-US" w:eastAsia="zh-CN" w:bidi="ar-SA"/>
        </w:rPr>
        <w:t>无新增人员，不产生生活污水、生产废水</w:t>
      </w:r>
      <w:r>
        <w:rPr>
          <w:rFonts w:hint="default" w:ascii="Times New Roman" w:hAnsi="Times New Roman" w:eastAsia="宋体" w:cs="Times New Roman"/>
          <w:color w:val="auto"/>
          <w:kern w:val="2"/>
          <w:sz w:val="24"/>
          <w:szCs w:val="24"/>
          <w:lang w:val="en-US" w:eastAsia="zh-CN" w:bidi="ar-SA"/>
        </w:rPr>
        <w:t>。</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4.1.2废气</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lang w:val="en-US" w:eastAsia="zh-CN"/>
        </w:rPr>
        <w:t>本项目废气处理措施示意图间图4.1。</w:t>
      </w:r>
    </w:p>
    <w:p>
      <w:pPr>
        <w:spacing w:line="360" w:lineRule="auto"/>
        <w:ind w:firstLine="480" w:firstLineChars="200"/>
        <w:rPr>
          <w:rFonts w:hint="default" w:ascii="Times New Roman" w:hAnsi="Times New Roman" w:eastAsia="宋体" w:cs="Times New Roman"/>
          <w:color w:val="000000"/>
          <w:sz w:val="24"/>
          <w:szCs w:val="28"/>
        </w:rPr>
        <w:sectPr>
          <w:headerReference r:id="rId6" w:type="first"/>
          <w:footerReference r:id="rId8" w:type="first"/>
          <w:headerReference r:id="rId5" w:type="default"/>
          <w:footerReference r:id="rId7" w:type="default"/>
          <w:pgSz w:w="11906" w:h="16838"/>
          <w:pgMar w:top="1440" w:right="1698" w:bottom="1440" w:left="158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8"/>
        <w:rPr>
          <w:rFonts w:hint="default" w:ascii="Times New Roman" w:hAnsi="Times New Roman" w:eastAsia="宋体" w:cs="Times New Roman"/>
        </w:rPr>
      </w:pPr>
    </w:p>
    <w:p>
      <w:pPr>
        <w:pStyle w:val="28"/>
        <w:rPr>
          <w:rFonts w:hint="default" w:ascii="Times New Roman" w:hAnsi="Times New Roman" w:eastAsia="宋体" w:cs="Times New Roman"/>
        </w:rPr>
      </w:pPr>
    </w:p>
    <w:p>
      <w:pPr>
        <w:pStyle w:val="28"/>
        <w:rPr>
          <w:rFonts w:hint="default" w:ascii="Times New Roman" w:hAnsi="Times New Roman" w:eastAsia="宋体" w:cs="Times New Roman"/>
        </w:rPr>
      </w:pPr>
      <w:r>
        <w:rPr>
          <w:rFonts w:hint="default" w:ascii="Times New Roman" w:hAnsi="Times New Roman" w:eastAsia="宋体" w:cs="Times New Roman"/>
          <w:sz w:val="21"/>
        </w:rPr>
        <mc:AlternateContent>
          <mc:Choice Requires="wps">
            <w:drawing>
              <wp:anchor distT="0" distB="0" distL="114300" distR="114300" simplePos="0" relativeHeight="251672576" behindDoc="0" locked="0" layoutInCell="1" allowOverlap="1">
                <wp:simplePos x="0" y="0"/>
                <wp:positionH relativeFrom="column">
                  <wp:posOffset>6346825</wp:posOffset>
                </wp:positionH>
                <wp:positionV relativeFrom="paragraph">
                  <wp:posOffset>20955</wp:posOffset>
                </wp:positionV>
                <wp:extent cx="932815" cy="327025"/>
                <wp:effectExtent l="0" t="0" r="0" b="0"/>
                <wp:wrapNone/>
                <wp:docPr id="83" name="矩形 1451"/>
                <wp:cNvGraphicFramePr/>
                <a:graphic xmlns:a="http://schemas.openxmlformats.org/drawingml/2006/main">
                  <a:graphicData uri="http://schemas.microsoft.com/office/word/2010/wordprocessingShape">
                    <wps:wsp>
                      <wps:cNvSpPr/>
                      <wps:spPr>
                        <a:xfrm>
                          <a:off x="7319645" y="1388745"/>
                          <a:ext cx="932815" cy="327025"/>
                        </a:xfrm>
                        <a:prstGeom prst="rect">
                          <a:avLst/>
                        </a:prstGeom>
                        <a:noFill/>
                        <a:ln>
                          <a:noFill/>
                        </a:ln>
                      </wps:spPr>
                      <wps:txbx>
                        <w:txbxContent>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41m</w:t>
                            </w:r>
                          </w:p>
                        </w:txbxContent>
                      </wps:txbx>
                      <wps:bodyPr upright="1"/>
                    </wps:wsp>
                  </a:graphicData>
                </a:graphic>
              </wp:anchor>
            </w:drawing>
          </mc:Choice>
          <mc:Fallback>
            <w:pict>
              <v:rect id="矩形 1451" o:spid="_x0000_s1026" o:spt="1" style="position:absolute;left:0pt;margin-left:499.75pt;margin-top:1.65pt;height:25.75pt;width:73.45pt;z-index:251672576;mso-width-relative:page;mso-height-relative:page;" filled="f" stroked="f" coordsize="21600,21600" o:gfxdata="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Z&#10;2aNV2gAAAAkBAAAPAAAAAAAAAAEAIAAAACIAAABkcnMvZG93bnJldi54bWxQSwECFAAUAAAACACH&#10;TuJABJU32bABAABQAwAADgAAAAAAAAABACAAAAApAQAAZHJzL2Uyb0RvYy54bWxQSwUGAAAAAAYA&#10;BgBZAQAASwUAAAAA&#10;">
                <v:fill on="f" focussize="0,0"/>
                <v:stroke on="f"/>
                <v:imagedata o:title=""/>
                <o:lock v:ext="edit" aspectratio="f"/>
                <v:textbox>
                  <w:txbxContent>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41m</w:t>
                      </w:r>
                    </w:p>
                  </w:txbxContent>
                </v:textbox>
              </v:rect>
            </w:pict>
          </mc:Fallback>
        </mc:AlternateConten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sz w:val="24"/>
        </w:rPr>
        <mc:AlternateContent>
          <mc:Choice Requires="wps">
            <w:drawing>
              <wp:anchor distT="0" distB="0" distL="114300" distR="114300" simplePos="0" relativeHeight="251671552" behindDoc="0" locked="0" layoutInCell="1" allowOverlap="1">
                <wp:simplePos x="0" y="0"/>
                <wp:positionH relativeFrom="column">
                  <wp:posOffset>6715760</wp:posOffset>
                </wp:positionH>
                <wp:positionV relativeFrom="paragraph">
                  <wp:posOffset>3175</wp:posOffset>
                </wp:positionV>
                <wp:extent cx="228600" cy="499745"/>
                <wp:effectExtent l="4445" t="4445" r="14605" b="10160"/>
                <wp:wrapNone/>
                <wp:docPr id="71" name="矩形 86"/>
                <wp:cNvGraphicFramePr/>
                <a:graphic xmlns:a="http://schemas.openxmlformats.org/drawingml/2006/main">
                  <a:graphicData uri="http://schemas.microsoft.com/office/word/2010/wordprocessingShape">
                    <wps:wsp>
                      <wps:cNvSpPr/>
                      <wps:spPr>
                        <a:xfrm>
                          <a:off x="7695565" y="1928495"/>
                          <a:ext cx="228600" cy="499745"/>
                        </a:xfrm>
                        <a:prstGeom prst="rect">
                          <a:avLst/>
                        </a:prstGeom>
                        <a:noFill/>
                        <a:ln w="9525" cap="flat" cmpd="sng">
                          <a:solidFill>
                            <a:srgbClr val="000000"/>
                          </a:solidFill>
                          <a:prstDash val="solid"/>
                          <a:miter lim="800000"/>
                          <a:headEnd type="none" w="med" len="med"/>
                          <a:tailEnd type="none" w="med" len="med"/>
                        </a:ln>
                      </wps:spPr>
                      <wps:txbx>
                        <w:txbxContent>
                          <w:p>
                            <w:pPr>
                              <w:jc w:val="center"/>
                              <w:rPr>
                                <w:color w:val="000000" w:themeColor="text1"/>
                                <w14:textFill>
                                  <w14:solidFill>
                                    <w14:schemeClr w14:val="tx1"/>
                                  </w14:solidFill>
                                </w14:textFill>
                              </w:rPr>
                            </w:pPr>
                          </w:p>
                        </w:txbxContent>
                      </wps:txbx>
                      <wps:bodyPr anchor="ctr" anchorCtr="0" upright="1"/>
                    </wps:wsp>
                  </a:graphicData>
                </a:graphic>
              </wp:anchor>
            </w:drawing>
          </mc:Choice>
          <mc:Fallback>
            <w:pict>
              <v:rect id="矩形 86" o:spid="_x0000_s1026" o:spt="1" style="position:absolute;left:0pt;margin-left:528.8pt;margin-top:0.25pt;height:39.35pt;width:18pt;z-index:251671552;v-text-anchor:middle;mso-width-relative:page;mso-height-relative:page;" filled="f" stroked="t" coordsize="21600,21600" o:gfxdata="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ZCRZ61wAA&#10;AAkBAAAPAAAAAAAAAAEAIAAAACIAAABkcnMvZG93bnJldi54bWxQSwECFAAUAAAACACHTuJA/bOv&#10;yh8CAAA1BAAADgAAAAAAAAABACAAAAAmAQAAZHJzL2Uyb0RvYy54bWxQSwUGAAAAAAYABgBZAQAA&#10;twUAAAAA&#10;">
                <v:fill on="f" focussize="0,0"/>
                <v:stroke color="#000000" miterlimit="8" joinstyle="miter"/>
                <v:imagedata o:title=""/>
                <o:lock v:ext="edit" aspectratio="f"/>
                <v:textbox>
                  <w:txbxContent>
                    <w:p>
                      <w:pPr>
                        <w:jc w:val="center"/>
                        <w:rPr>
                          <w:color w:val="000000" w:themeColor="text1"/>
                          <w14:textFill>
                            <w14:solidFill>
                              <w14:schemeClr w14:val="tx1"/>
                            </w14:solidFill>
                          </w14:textFill>
                        </w:rPr>
                      </w:pP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6432" behindDoc="0" locked="0" layoutInCell="1" allowOverlap="1">
                <wp:simplePos x="0" y="0"/>
                <wp:positionH relativeFrom="column">
                  <wp:posOffset>3209290</wp:posOffset>
                </wp:positionH>
                <wp:positionV relativeFrom="paragraph">
                  <wp:posOffset>184150</wp:posOffset>
                </wp:positionV>
                <wp:extent cx="2329815" cy="371475"/>
                <wp:effectExtent l="4445" t="4445" r="8890" b="5080"/>
                <wp:wrapNone/>
                <wp:docPr id="45" name="矩形 1407"/>
                <wp:cNvGraphicFramePr/>
                <a:graphic xmlns:a="http://schemas.openxmlformats.org/drawingml/2006/main">
                  <a:graphicData uri="http://schemas.microsoft.com/office/word/2010/wordprocessingShape">
                    <wps:wsp>
                      <wps:cNvSpPr/>
                      <wps:spPr>
                        <a:xfrm>
                          <a:off x="4072255" y="2044700"/>
                          <a:ext cx="232981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260" w:firstLineChars="600"/>
                              <w:rPr>
                                <w:rFonts w:hint="default"/>
                                <w:lang w:val="en-US" w:eastAsia="zh-CN"/>
                              </w:rPr>
                            </w:pPr>
                            <w:r>
                              <w:rPr>
                                <w:rFonts w:hint="eastAsia"/>
                                <w:lang w:val="en-US" w:eastAsia="zh-CN"/>
                              </w:rPr>
                              <w:t>塔体自带除尘器</w:t>
                            </w:r>
                          </w:p>
                        </w:txbxContent>
                      </wps:txbx>
                      <wps:bodyPr upright="1"/>
                    </wps:wsp>
                  </a:graphicData>
                </a:graphic>
              </wp:anchor>
            </w:drawing>
          </mc:Choice>
          <mc:Fallback>
            <w:pict>
              <v:rect id="矩形 1407" o:spid="_x0000_s1026" o:spt="1" style="position:absolute;left:0pt;margin-left:252.7pt;margin-top:14.5pt;height:29.25pt;width:183.45pt;z-index:251666432;mso-width-relative:page;mso-height-relative:page;" fillcolor="#FFFFFF" filled="t" stroked="t" coordsize="21600,21600" o:gfxdata="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57QndcAAAAJAQAADwAAAAAAAAABACAA&#10;AAAiAAAAZHJzL2Rvd25yZXYueG1sUEsBAhQAFAAAAAgAh07iQEsEsUgOAgAAOQQAAA4AAAAAAAAA&#10;AQAgAAAAJgEAAGRycy9lMm9Eb2MueG1sUEsFBgAAAAAGAAYAWQEAAKYFAAAAAA==&#10;">
                <v:fill on="t" focussize="0,0"/>
                <v:stroke color="#000000" joinstyle="miter"/>
                <v:imagedata o:title=""/>
                <o:lock v:ext="edit" aspectratio="f"/>
                <v:textbox>
                  <w:txbxContent>
                    <w:p>
                      <w:pPr>
                        <w:ind w:firstLine="1260" w:firstLineChars="600"/>
                        <w:rPr>
                          <w:rFonts w:hint="default"/>
                          <w:lang w:val="en-US" w:eastAsia="zh-CN"/>
                        </w:rPr>
                      </w:pPr>
                      <w:r>
                        <w:rPr>
                          <w:rFonts w:hint="eastAsia"/>
                          <w:lang w:val="en-US" w:eastAsia="zh-CN"/>
                        </w:rPr>
                        <w:t>塔体自带除尘器</w:t>
                      </w:r>
                    </w:p>
                  </w:txbxContent>
                </v:textbox>
              </v:rect>
            </w:pict>
          </mc:Fallback>
        </mc:AlternateContent>
      </w:r>
      <w:r>
        <w:rPr>
          <w:rFonts w:hint="default" w:ascii="Times New Roman" w:hAnsi="Times New Roman" w:eastAsia="宋体" w:cs="Times New Roman"/>
        </w:rPr>
        <mc:AlternateContent>
          <mc:Choice Requires="wps">
            <w:drawing>
              <wp:anchor distT="0" distB="0" distL="114300" distR="114300" simplePos="0" relativeHeight="251679744" behindDoc="0" locked="0" layoutInCell="1" allowOverlap="1">
                <wp:simplePos x="0" y="0"/>
                <wp:positionH relativeFrom="column">
                  <wp:posOffset>1910080</wp:posOffset>
                </wp:positionH>
                <wp:positionV relativeFrom="paragraph">
                  <wp:posOffset>43815</wp:posOffset>
                </wp:positionV>
                <wp:extent cx="1374140" cy="294005"/>
                <wp:effectExtent l="0" t="0" r="0" b="0"/>
                <wp:wrapNone/>
                <wp:docPr id="4" name="矩形 1458"/>
                <wp:cNvGraphicFramePr/>
                <a:graphic xmlns:a="http://schemas.openxmlformats.org/drawingml/2006/main">
                  <a:graphicData uri="http://schemas.microsoft.com/office/word/2010/wordprocessingShape">
                    <wps:wsp>
                      <wps:cNvSpPr/>
                      <wps:spPr>
                        <a:xfrm>
                          <a:off x="0" y="0"/>
                          <a:ext cx="1374140" cy="294005"/>
                        </a:xfrm>
                        <a:prstGeom prst="rect">
                          <a:avLst/>
                        </a:prstGeom>
                        <a:noFill/>
                        <a:ln>
                          <a:noFill/>
                        </a:ln>
                      </wps:spPr>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颗粒物、SO</w:t>
                            </w:r>
                            <w:r>
                              <w:rPr>
                                <w:rFonts w:hint="eastAsia" w:ascii="Times New Roman" w:hAnsi="Times New Roman" w:cs="Times New Roman"/>
                                <w:vertAlign w:val="subscript"/>
                                <w:lang w:val="en-US" w:eastAsia="zh-CN"/>
                              </w:rPr>
                              <w:t>2</w:t>
                            </w:r>
                            <w:r>
                              <w:rPr>
                                <w:rFonts w:hint="eastAsia" w:ascii="Times New Roman" w:hAnsi="Times New Roman" w:cs="Times New Roman"/>
                                <w:lang w:val="en-US" w:eastAsia="zh-CN"/>
                              </w:rPr>
                              <w:t>、NO</w:t>
                            </w:r>
                            <w:r>
                              <w:rPr>
                                <w:rFonts w:hint="eastAsia" w:ascii="Times New Roman" w:hAnsi="Times New Roman" w:cs="Times New Roman"/>
                                <w:vertAlign w:val="subscript"/>
                                <w:lang w:val="en-US" w:eastAsia="zh-CN"/>
                              </w:rPr>
                              <w:t>X</w:t>
                            </w:r>
                          </w:p>
                        </w:txbxContent>
                      </wps:txbx>
                      <wps:bodyPr upright="1"/>
                    </wps:wsp>
                  </a:graphicData>
                </a:graphic>
              </wp:anchor>
            </w:drawing>
          </mc:Choice>
          <mc:Fallback>
            <w:pict>
              <v:rect id="矩形 1458" o:spid="_x0000_s1026" o:spt="1" style="position:absolute;left:0pt;margin-left:150.4pt;margin-top:3.45pt;height:23.15pt;width:108.2pt;z-index:251679744;mso-width-relative:page;mso-height-relative:page;" filled="f" stroked="f" coordsize="21600,21600" o:gfxdata="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ulxB/ZAAAACAEAAA8A&#10;AAAAAAAAAQAgAAAAIgAAAGRycy9kb3ducmV2LnhtbFBLAQIUABQAAAAIAIdO4kAC34JwpAEAAEQD&#10;AAAOAAAAAAAAAAEAIAAAACgBAABkcnMvZTJvRG9jLnhtbFBLBQYAAAAABgAGAFkBAAA+BQAAAAA=&#10;">
                <v:fill on="f" focussize="0,0"/>
                <v:stroke on="f"/>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颗粒物、SO</w:t>
                      </w:r>
                      <w:r>
                        <w:rPr>
                          <w:rFonts w:hint="eastAsia" w:ascii="Times New Roman" w:hAnsi="Times New Roman" w:cs="Times New Roman"/>
                          <w:vertAlign w:val="subscript"/>
                          <w:lang w:val="en-US" w:eastAsia="zh-CN"/>
                        </w:rPr>
                        <w:t>2</w:t>
                      </w:r>
                      <w:r>
                        <w:rPr>
                          <w:rFonts w:hint="eastAsia" w:ascii="Times New Roman" w:hAnsi="Times New Roman" w:cs="Times New Roman"/>
                          <w:lang w:val="en-US" w:eastAsia="zh-CN"/>
                        </w:rPr>
                        <w:t>、NO</w:t>
                      </w:r>
                      <w:r>
                        <w:rPr>
                          <w:rFonts w:hint="eastAsia" w:ascii="Times New Roman" w:hAnsi="Times New Roman" w:cs="Times New Roman"/>
                          <w:vertAlign w:val="subscript"/>
                          <w:lang w:val="en-US" w:eastAsia="zh-CN"/>
                        </w:rPr>
                        <w:t>X</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5408" behindDoc="0" locked="0" layoutInCell="1" allowOverlap="1">
                <wp:simplePos x="0" y="0"/>
                <wp:positionH relativeFrom="column">
                  <wp:posOffset>175895</wp:posOffset>
                </wp:positionH>
                <wp:positionV relativeFrom="paragraph">
                  <wp:posOffset>120650</wp:posOffset>
                </wp:positionV>
                <wp:extent cx="1835150" cy="506730"/>
                <wp:effectExtent l="5080" t="4445" r="7620" b="22225"/>
                <wp:wrapNone/>
                <wp:docPr id="43" name="矩形 1405"/>
                <wp:cNvGraphicFramePr/>
                <a:graphic xmlns:a="http://schemas.openxmlformats.org/drawingml/2006/main">
                  <a:graphicData uri="http://schemas.microsoft.com/office/word/2010/wordprocessingShape">
                    <wps:wsp>
                      <wps:cNvSpPr/>
                      <wps:spPr>
                        <a:xfrm>
                          <a:off x="1090295" y="1951990"/>
                          <a:ext cx="1835150" cy="5067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1号植脂末生产线</w:t>
                            </w:r>
                          </w:p>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天然气燃烧废气</w:t>
                            </w:r>
                          </w:p>
                        </w:txbxContent>
                      </wps:txbx>
                      <wps:bodyPr upright="1"/>
                    </wps:wsp>
                  </a:graphicData>
                </a:graphic>
              </wp:anchor>
            </w:drawing>
          </mc:Choice>
          <mc:Fallback>
            <w:pict>
              <v:rect id="矩形 1405" o:spid="_x0000_s1026" o:spt="1" style="position:absolute;left:0pt;margin-left:13.85pt;margin-top:9.5pt;height:39.9pt;width:144.5pt;z-index:251665408;mso-width-relative:page;mso-height-relative:page;" fillcolor="#FFFFFF" filled="t" stroked="t" coordsize="21600,21600" o:gfxdata="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VE09YAAAAIAQAADwAAAAAAAAAB&#10;ACAAAAAiAAAAZHJzL2Rvd25yZXYueG1sUEsBAhQAFAAAAAgAh07iQCqEWvsSAgAAOQQAAA4AAAAA&#10;AAAAAQAgAAAAJQEAAGRycy9lMm9Eb2MueG1sUEsFBgAAAAAGAAYAWQEAAKkFAAAAAA==&#10;">
                <v:fill on="t" focussize="0,0"/>
                <v:stroke color="#000000" joinstyle="miter"/>
                <v:imagedata o:title=""/>
                <o:lock v:ext="edit" aspectratio="f"/>
                <v:textbox>
                  <w:txbxContent>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1号植脂末生产线</w:t>
                      </w:r>
                    </w:p>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天然气燃烧废气</w:t>
                      </w:r>
                    </w:p>
                  </w:txbxContent>
                </v:textbox>
              </v:rect>
            </w:pict>
          </mc:Fallback>
        </mc:AlternateConten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sz w:val="24"/>
        </w:rPr>
        <mc:AlternateContent>
          <mc:Choice Requires="wps">
            <w:drawing>
              <wp:anchor distT="0" distB="0" distL="114300" distR="114300" simplePos="0" relativeHeight="251669504" behindDoc="0" locked="0" layoutInCell="1" allowOverlap="1">
                <wp:simplePos x="0" y="0"/>
                <wp:positionH relativeFrom="column">
                  <wp:posOffset>6665595</wp:posOffset>
                </wp:positionH>
                <wp:positionV relativeFrom="paragraph">
                  <wp:posOffset>229870</wp:posOffset>
                </wp:positionV>
                <wp:extent cx="378460" cy="100330"/>
                <wp:effectExtent l="5080" t="4445" r="16510" b="9525"/>
                <wp:wrapNone/>
                <wp:docPr id="54" name="矩形 85"/>
                <wp:cNvGraphicFramePr/>
                <a:graphic xmlns:a="http://schemas.openxmlformats.org/drawingml/2006/main">
                  <a:graphicData uri="http://schemas.microsoft.com/office/word/2010/wordprocessingShape">
                    <wps:wsp>
                      <wps:cNvSpPr/>
                      <wps:spPr>
                        <a:xfrm>
                          <a:off x="7629525" y="2448560"/>
                          <a:ext cx="378460" cy="100330"/>
                        </a:xfrm>
                        <a:prstGeom prst="rect">
                          <a:avLst/>
                        </a:prstGeom>
                        <a:noFill/>
                        <a:ln w="9525" cap="flat" cmpd="sng">
                          <a:solidFill>
                            <a:srgbClr val="000000"/>
                          </a:solidFill>
                          <a:prstDash val="solid"/>
                          <a:miter lim="800000"/>
                          <a:headEnd type="none" w="med" len="med"/>
                          <a:tailEnd type="none" w="med" len="med"/>
                        </a:ln>
                      </wps:spPr>
                      <wps:txbx>
                        <w:txbxContent>
                          <w:p>
                            <w:pPr>
                              <w:jc w:val="center"/>
                              <w:rPr>
                                <w:color w:val="000000" w:themeColor="text1"/>
                                <w14:textFill>
                                  <w14:solidFill>
                                    <w14:schemeClr w14:val="tx1"/>
                                  </w14:solidFill>
                                </w14:textFill>
                              </w:rPr>
                            </w:pPr>
                          </w:p>
                        </w:txbxContent>
                      </wps:txbx>
                      <wps:bodyPr anchor="ctr" anchorCtr="0" upright="1"/>
                    </wps:wsp>
                  </a:graphicData>
                </a:graphic>
              </wp:anchor>
            </w:drawing>
          </mc:Choice>
          <mc:Fallback>
            <w:pict>
              <v:rect id="矩形 85" o:spid="_x0000_s1026" o:spt="1" style="position:absolute;left:0pt;margin-left:524.85pt;margin-top:18.1pt;height:7.9pt;width:29.8pt;z-index:251669504;v-text-anchor:middle;mso-width-relative:page;mso-height-relative:page;" filled="f" stroked="t" coordsize="21600,21600" o:gfxdata="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8oE6D2gAA&#10;AAsBAAAPAAAAAAAAAAEAIAAAACIAAABkcnMvZG93bnJldi54bWxQSwECFAAUAAAACACHTuJAipgB&#10;dRwCAAA1BAAADgAAAAAAAAABACAAAAApAQAAZHJzL2Uyb0RvYy54bWxQSwUGAAAAAAYABgBZAQAA&#10;twUAAAAA&#10;">
                <v:fill on="f" focussize="0,0"/>
                <v:stroke color="#000000" miterlimit="8" joinstyle="miter"/>
                <v:imagedata o:title=""/>
                <o:lock v:ext="edit" aspectratio="f"/>
                <v:textbox>
                  <w:txbxContent>
                    <w:p>
                      <w:pPr>
                        <w:jc w:val="center"/>
                        <w:rPr>
                          <w:color w:val="000000" w:themeColor="text1"/>
                          <w14:textFill>
                            <w14:solidFill>
                              <w14:schemeClr w14:val="tx1"/>
                            </w14:solidFill>
                          </w14:textFill>
                        </w:rPr>
                      </w:pP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8480" behindDoc="0" locked="0" layoutInCell="1" allowOverlap="1">
                <wp:simplePos x="0" y="0"/>
                <wp:positionH relativeFrom="column">
                  <wp:posOffset>5531485</wp:posOffset>
                </wp:positionH>
                <wp:positionV relativeFrom="paragraph">
                  <wp:posOffset>64770</wp:posOffset>
                </wp:positionV>
                <wp:extent cx="1108075" cy="1270"/>
                <wp:effectExtent l="0" t="36830" r="15875" b="38100"/>
                <wp:wrapNone/>
                <wp:docPr id="51" name="直线 1414"/>
                <wp:cNvGraphicFramePr/>
                <a:graphic xmlns:a="http://schemas.openxmlformats.org/drawingml/2006/main">
                  <a:graphicData uri="http://schemas.microsoft.com/office/word/2010/wordprocessingShape">
                    <wps:wsp>
                      <wps:cNvCnPr/>
                      <wps:spPr>
                        <a:xfrm>
                          <a:off x="6445885" y="2273300"/>
                          <a:ext cx="1108075"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14" o:spid="_x0000_s1026" o:spt="20" style="position:absolute;left:0pt;margin-left:435.55pt;margin-top:5.1pt;height:0.1pt;width:87.25pt;z-index:251668480;mso-width-relative:page;mso-height-relative:page;" filled="f" stroked="t" coordsize="21600,21600" o:gfxdata="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S27tdkAAAAKAQAADwAAAAAAAAABACAAAAAiAAAAZHJz&#10;L2Rvd25yZXYueG1sUEsBAhQAFAAAAAgAh07iQJNsIo0DAgAA8gMAAA4AAAAAAAAAAQAgAAAAKAEA&#10;AGRycy9lMm9Eb2MueG1sUEsFBgAAAAAGAAYAWQEAAJ0F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7456" behindDoc="0" locked="0" layoutInCell="1" allowOverlap="1">
                <wp:simplePos x="0" y="0"/>
                <wp:positionH relativeFrom="column">
                  <wp:posOffset>2000250</wp:posOffset>
                </wp:positionH>
                <wp:positionV relativeFrom="paragraph">
                  <wp:posOffset>104775</wp:posOffset>
                </wp:positionV>
                <wp:extent cx="1111885" cy="1270"/>
                <wp:effectExtent l="0" t="36830" r="12065" b="38100"/>
                <wp:wrapNone/>
                <wp:docPr id="46" name="直线 1408"/>
                <wp:cNvGraphicFramePr/>
                <a:graphic xmlns:a="http://schemas.openxmlformats.org/drawingml/2006/main">
                  <a:graphicData uri="http://schemas.microsoft.com/office/word/2010/wordprocessingShape">
                    <wps:wsp>
                      <wps:cNvCnPr/>
                      <wps:spPr>
                        <a:xfrm>
                          <a:off x="2957830" y="2247265"/>
                          <a:ext cx="1111885"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08" o:spid="_x0000_s1026" o:spt="20" style="position:absolute;left:0pt;margin-left:157.5pt;margin-top:8.25pt;height:0.1pt;width:87.55pt;z-index:251667456;mso-width-relative:page;mso-height-relative:page;" filled="f" stroked="t" coordsize="21600,21600" o:gfxdata="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m7cg2QAAAAkBAAAPAAAAAAAAAAEAIAAAACIAAABkcnMv&#10;ZG93bnJldi54bWxQSwECFAAUAAAACACHTuJAbw06UQICAADyAwAADgAAAAAAAAABACAAAAAoAQAA&#10;ZHJzL2Uyb0RvYy54bWxQSwUGAAAAAAYABgBZAQAAnAUAAAAA&#10;">
                <v:fill on="f" focussize="0,0"/>
                <v:stroke color="#000000" joinstyle="round" endarrow="block"/>
                <v:imagedata o:title=""/>
                <o:lock v:ext="edit" aspectratio="f"/>
              </v:line>
            </w:pict>
          </mc:Fallback>
        </mc:AlternateConten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sz w:val="24"/>
        </w:rPr>
        <mc:AlternateContent>
          <mc:Choice Requires="wps">
            <w:drawing>
              <wp:anchor distT="0" distB="0" distL="114300" distR="114300" simplePos="0" relativeHeight="251677696" behindDoc="0" locked="0" layoutInCell="1" allowOverlap="1">
                <wp:simplePos x="0" y="0"/>
                <wp:positionH relativeFrom="column">
                  <wp:posOffset>6314440</wp:posOffset>
                </wp:positionH>
                <wp:positionV relativeFrom="paragraph">
                  <wp:posOffset>61595</wp:posOffset>
                </wp:positionV>
                <wp:extent cx="1127760" cy="332740"/>
                <wp:effectExtent l="0" t="0" r="0" b="0"/>
                <wp:wrapNone/>
                <wp:docPr id="23" name="矩形 23"/>
                <wp:cNvGraphicFramePr/>
                <a:graphic xmlns:a="http://schemas.openxmlformats.org/drawingml/2006/main">
                  <a:graphicData uri="http://schemas.microsoft.com/office/word/2010/wordprocessingShape">
                    <wps:wsp>
                      <wps:cNvSpPr/>
                      <wps:spPr>
                        <a:xfrm>
                          <a:off x="7833995" y="2280285"/>
                          <a:ext cx="1127760" cy="33274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ascii="Times New Roman" w:hAnsi="Times New Roman" w:cs="Times New Roman"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cs="Times New Roman"/>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DA004排气筒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7.2pt;margin-top:4.85pt;height:26.2pt;width:88.8pt;z-index:251677696;v-text-anchor:middle;mso-width-relative:page;mso-height-relative:page;" filled="f" stroked="f" coordsize="21600,21600" o:gfxdata="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seWjtcAAAAJAQAADwAAAAAAAAABACAAAAAiAAAAZHJzL2Rvd25yZXYu&#10;eG1sUEsBAhQAFAAAAAgAh07iQGO4EV5uAgAAuwQAAA4AAAAAAAAAAQAgAAAAJgEAAGRycy9lMm9E&#10;b2MueG1sUEsFBgAAAAAGAAYAWQEAAAYGAAAAAA==&#10;">
                <v:fill on="f" focussize="0,0"/>
                <v:stroke on="f" weight="1pt" miterlimit="8" joinstyle="miter"/>
                <v:imagedata o:title=""/>
                <o:lock v:ext="edit" aspectratio="f"/>
                <v:textbox>
                  <w:txbxContent>
                    <w:p>
                      <w:pPr>
                        <w:jc w:val="both"/>
                        <w:rPr>
                          <w:rFonts w:hint="default" w:ascii="Times New Roman" w:hAnsi="Times New Roman" w:cs="Times New Roman"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cs="Times New Roman"/>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DA004排气筒</w:t>
                      </w:r>
                    </w:p>
                  </w:txbxContent>
                </v:textbox>
              </v:rect>
            </w:pict>
          </mc:Fallback>
        </mc:AlternateContent>
      </w:r>
    </w:p>
    <w:p>
      <w:pPr>
        <w:spacing w:line="360" w:lineRule="auto"/>
        <w:ind w:firstLine="420" w:firstLineChars="200"/>
        <w:rPr>
          <w:rFonts w:hint="default" w:ascii="Times New Roman" w:hAnsi="Times New Roman" w:eastAsia="宋体" w:cs="Times New Roman"/>
          <w:color w:val="000000"/>
          <w:sz w:val="24"/>
          <w:szCs w:val="28"/>
        </w:rPr>
      </w:pPr>
      <w:r>
        <w:rPr>
          <w:sz w:val="21"/>
        </w:rPr>
        <mc:AlternateContent>
          <mc:Choice Requires="wpg">
            <w:drawing>
              <wp:anchor distT="0" distB="0" distL="114300" distR="114300" simplePos="0" relativeHeight="251688960" behindDoc="0" locked="0" layoutInCell="1" allowOverlap="1">
                <wp:simplePos x="0" y="0"/>
                <wp:positionH relativeFrom="column">
                  <wp:posOffset>95250</wp:posOffset>
                </wp:positionH>
                <wp:positionV relativeFrom="paragraph">
                  <wp:posOffset>97155</wp:posOffset>
                </wp:positionV>
                <wp:extent cx="7321550" cy="1094105"/>
                <wp:effectExtent l="0" t="0" r="0" b="0"/>
                <wp:wrapNone/>
                <wp:docPr id="111" name="组合 111"/>
                <wp:cNvGraphicFramePr/>
                <a:graphic xmlns:a="http://schemas.openxmlformats.org/drawingml/2006/main">
                  <a:graphicData uri="http://schemas.microsoft.com/office/word/2010/wordprocessingGroup">
                    <wpg:wgp>
                      <wpg:cNvGrpSpPr/>
                      <wpg:grpSpPr>
                        <a:xfrm>
                          <a:off x="0" y="0"/>
                          <a:ext cx="7321550" cy="1094105"/>
                          <a:chOff x="1931" y="381591"/>
                          <a:chExt cx="11530" cy="1723"/>
                        </a:xfrm>
                      </wpg:grpSpPr>
                      <wps:wsp>
                        <wps:cNvPr id="47" name="矩形 1409"/>
                        <wps:cNvSpPr/>
                        <wps:spPr>
                          <a:xfrm>
                            <a:off x="6651" y="382106"/>
                            <a:ext cx="3747" cy="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260" w:firstLineChars="600"/>
                                <w:rPr>
                                  <w:rFonts w:hint="default"/>
                                  <w:lang w:val="en-US" w:eastAsia="zh-CN"/>
                                </w:rPr>
                              </w:pPr>
                              <w:r>
                                <w:rPr>
                                  <w:rFonts w:hint="eastAsia"/>
                                  <w:lang w:val="en-US" w:eastAsia="zh-CN"/>
                                </w:rPr>
                                <w:t>塔体自带除尘器</w:t>
                              </w:r>
                            </w:p>
                            <w:p>
                              <w:pPr>
                                <w:ind w:firstLine="1260" w:firstLineChars="600"/>
                                <w:rPr>
                                  <w:rFonts w:hint="default"/>
                                  <w:lang w:val="en-US" w:eastAsia="zh-CN"/>
                                </w:rPr>
                              </w:pPr>
                            </w:p>
                            <w:p>
                              <w:pPr>
                                <w:rPr>
                                  <w:rFonts w:hint="default"/>
                                  <w:lang w:val="en-US" w:eastAsia="zh-CN"/>
                                </w:rPr>
                              </w:pPr>
                            </w:p>
                          </w:txbxContent>
                        </wps:txbx>
                        <wps:bodyPr upright="1"/>
                      </wps:wsp>
                      <wps:wsp>
                        <wps:cNvPr id="52" name="直线 1415"/>
                        <wps:cNvCnPr/>
                        <wps:spPr>
                          <a:xfrm flipV="1">
                            <a:off x="10373" y="382473"/>
                            <a:ext cx="1806" cy="2"/>
                          </a:xfrm>
                          <a:prstGeom prst="line">
                            <a:avLst/>
                          </a:prstGeom>
                          <a:ln w="9525" cap="flat" cmpd="sng">
                            <a:solidFill>
                              <a:srgbClr val="000000"/>
                            </a:solidFill>
                            <a:prstDash val="solid"/>
                            <a:headEnd type="none" w="med" len="med"/>
                            <a:tailEnd type="triangle" w="med" len="med"/>
                          </a:ln>
                        </wps:spPr>
                        <wps:bodyPr upright="1"/>
                      </wps:wsp>
                      <wpg:grpSp>
                        <wpg:cNvPr id="60" name="组合 59"/>
                        <wpg:cNvGrpSpPr/>
                        <wpg:grpSpPr>
                          <a:xfrm rot="0">
                            <a:off x="12254" y="381913"/>
                            <a:ext cx="596" cy="952"/>
                            <a:chOff x="-296029" y="1136914"/>
                            <a:chExt cx="351521" cy="793344"/>
                          </a:xfrm>
                        </wpg:grpSpPr>
                        <wps:wsp>
                          <wps:cNvPr id="58" name="矩形 85"/>
                          <wps:cNvSpPr/>
                          <wps:spPr>
                            <a:xfrm>
                              <a:off x="-296029" y="1806923"/>
                              <a:ext cx="351521" cy="123335"/>
                            </a:xfrm>
                            <a:prstGeom prst="rect">
                              <a:avLst/>
                            </a:prstGeom>
                            <a:noFill/>
                            <a:ln w="9525" cap="flat" cmpd="sng">
                              <a:solidFill>
                                <a:srgbClr val="000000"/>
                              </a:solidFill>
                              <a:prstDash val="solid"/>
                              <a:miter lim="800000"/>
                              <a:headEnd type="none" w="med" len="med"/>
                              <a:tailEnd type="none" w="med" len="med"/>
                            </a:ln>
                          </wps:spPr>
                          <wps:txbx>
                            <w:txbxContent>
                              <w:p>
                                <w:pPr>
                                  <w:jc w:val="center"/>
                                  <w:rPr>
                                    <w:color w:val="000000" w:themeColor="text1"/>
                                    <w14:textFill>
                                      <w14:solidFill>
                                        <w14:schemeClr w14:val="tx1"/>
                                      </w14:solidFill>
                                    </w14:textFill>
                                  </w:rPr>
                                </w:pPr>
                              </w:p>
                            </w:txbxContent>
                          </wps:txbx>
                          <wps:bodyPr anchor="ctr" anchorCtr="0" upright="1"/>
                        </wps:wsp>
                        <wps:wsp>
                          <wps:cNvPr id="59" name="矩形 86"/>
                          <wps:cNvSpPr/>
                          <wps:spPr>
                            <a:xfrm>
                              <a:off x="-239998" y="1136914"/>
                              <a:ext cx="212918" cy="656675"/>
                            </a:xfrm>
                            <a:prstGeom prst="rect">
                              <a:avLst/>
                            </a:prstGeom>
                            <a:noFill/>
                            <a:ln w="9525" cap="flat" cmpd="sng">
                              <a:solidFill>
                                <a:srgbClr val="000000"/>
                              </a:solidFill>
                              <a:prstDash val="solid"/>
                              <a:miter lim="800000"/>
                              <a:headEnd type="none" w="med" len="med"/>
                              <a:tailEnd type="none" w="med" len="med"/>
                            </a:ln>
                          </wps:spPr>
                          <wps:txbx>
                            <w:txbxContent>
                              <w:p>
                                <w:pPr>
                                  <w:jc w:val="center"/>
                                  <w:rPr>
                                    <w:color w:val="000000" w:themeColor="text1"/>
                                    <w14:textFill>
                                      <w14:solidFill>
                                        <w14:schemeClr w14:val="tx1"/>
                                      </w14:solidFill>
                                    </w14:textFill>
                                  </w:rPr>
                                </w:pPr>
                              </w:p>
                            </w:txbxContent>
                          </wps:txbx>
                          <wps:bodyPr anchor="ctr" anchorCtr="0" upright="1"/>
                        </wps:wsp>
                      </wpg:grpSp>
                      <wps:wsp>
                        <wps:cNvPr id="44" name="矩形 1405"/>
                        <wps:cNvSpPr/>
                        <wps:spPr>
                          <a:xfrm>
                            <a:off x="1931" y="381998"/>
                            <a:ext cx="2976" cy="7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号植脂末生产线</w:t>
                              </w:r>
                            </w:p>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天然气燃烧废气</w:t>
                              </w:r>
                            </w:p>
                            <w:p>
                              <w:pPr>
                                <w:jc w:val="center"/>
                                <w:rPr>
                                  <w:rFonts w:hint="default" w:eastAsiaTheme="minorEastAsia"/>
                                  <w:lang w:val="en-US" w:eastAsia="zh-CN"/>
                                </w:rPr>
                              </w:pPr>
                            </w:p>
                          </w:txbxContent>
                        </wps:txbx>
                        <wps:bodyPr upright="1"/>
                      </wps:wsp>
                      <wps:wsp>
                        <wps:cNvPr id="48" name="直线 1408"/>
                        <wps:cNvCnPr>
                          <a:stCxn id="44" idx="3"/>
                        </wps:cNvCnPr>
                        <wps:spPr>
                          <a:xfrm flipV="1">
                            <a:off x="4907" y="382383"/>
                            <a:ext cx="1732" cy="6"/>
                          </a:xfrm>
                          <a:prstGeom prst="line">
                            <a:avLst/>
                          </a:prstGeom>
                          <a:ln w="9525" cap="flat" cmpd="sng">
                            <a:solidFill>
                              <a:srgbClr val="000000"/>
                            </a:solidFill>
                            <a:prstDash val="solid"/>
                            <a:headEnd type="none" w="med" len="med"/>
                            <a:tailEnd type="triangle" w="med" len="med"/>
                          </a:ln>
                        </wps:spPr>
                        <wps:bodyPr upright="1"/>
                      </wps:wsp>
                      <wps:wsp>
                        <wps:cNvPr id="53" name="矩形 1458"/>
                        <wps:cNvSpPr/>
                        <wps:spPr>
                          <a:xfrm>
                            <a:off x="4722" y="381768"/>
                            <a:ext cx="2164" cy="463"/>
                          </a:xfrm>
                          <a:prstGeom prst="rect">
                            <a:avLst/>
                          </a:prstGeom>
                          <a:noFill/>
                          <a:ln>
                            <a:noFill/>
                          </a:ln>
                        </wps:spPr>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颗粒物、SO</w:t>
                              </w:r>
                              <w:r>
                                <w:rPr>
                                  <w:rFonts w:hint="eastAsia" w:ascii="Times New Roman" w:hAnsi="Times New Roman" w:cs="Times New Roman"/>
                                  <w:vertAlign w:val="subscript"/>
                                  <w:lang w:val="en-US" w:eastAsia="zh-CN"/>
                                </w:rPr>
                                <w:t>2</w:t>
                              </w:r>
                              <w:r>
                                <w:rPr>
                                  <w:rFonts w:hint="eastAsia" w:ascii="Times New Roman" w:hAnsi="Times New Roman" w:cs="Times New Roman"/>
                                  <w:lang w:val="en-US" w:eastAsia="zh-CN"/>
                                </w:rPr>
                                <w:t>、NO</w:t>
                              </w:r>
                              <w:r>
                                <w:rPr>
                                  <w:rFonts w:hint="eastAsia" w:ascii="Times New Roman" w:hAnsi="Times New Roman" w:cs="Times New Roman"/>
                                  <w:vertAlign w:val="subscript"/>
                                  <w:lang w:val="en-US" w:eastAsia="zh-CN"/>
                                </w:rPr>
                                <w:t>X</w:t>
                              </w:r>
                            </w:p>
                          </w:txbxContent>
                        </wps:txbx>
                        <wps:bodyPr upright="1"/>
                      </wps:wsp>
                      <wps:wsp>
                        <wps:cNvPr id="74" name="矩形 74"/>
                        <wps:cNvSpPr/>
                        <wps:spPr>
                          <a:xfrm>
                            <a:off x="11857" y="382780"/>
                            <a:ext cx="1604" cy="5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ascii="Times New Roman" w:hAnsi="Times New Roman" w:cs="Times New Roman"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cs="Times New Roman"/>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DA005排气筒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矩形 1451"/>
                        <wps:cNvSpPr/>
                        <wps:spPr>
                          <a:xfrm>
                            <a:off x="11925" y="381591"/>
                            <a:ext cx="1218" cy="515"/>
                          </a:xfrm>
                          <a:prstGeom prst="rect">
                            <a:avLst/>
                          </a:prstGeom>
                          <a:noFill/>
                          <a:ln>
                            <a:noFill/>
                          </a:ln>
                        </wps:spPr>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38</w:t>
                              </w:r>
                              <w:r>
                                <w:rPr>
                                  <w:rFonts w:hint="default" w:ascii="Times New Roman" w:hAnsi="Times New Roman" w:cs="Times New Roman"/>
                                  <w:lang w:val="en-US" w:eastAsia="zh-CN"/>
                                </w:rPr>
                                <w:t>m</w:t>
                              </w:r>
                            </w:p>
                          </w:txbxContent>
                        </wps:txbx>
                        <wps:bodyPr upright="1"/>
                      </wps:wsp>
                    </wpg:wgp>
                  </a:graphicData>
                </a:graphic>
              </wp:anchor>
            </w:drawing>
          </mc:Choice>
          <mc:Fallback>
            <w:pict>
              <v:group id="_x0000_s1026" o:spid="_x0000_s1026" o:spt="203" style="position:absolute;left:0pt;margin-left:7.5pt;margin-top:7.65pt;height:86.15pt;width:576.5pt;z-index:251688960;mso-width-relative:page;mso-height-relative:page;" coordorigin="1931,381591" coordsize="11530,1723" o:gfxdata="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">
                <o:lock v:ext="edit" aspectratio="f"/>
                <v:rect id="矩形 1409" o:spid="_x0000_s1026" o:spt="1" style="position:absolute;left:6651;top:382106;height:595;width:3747;" fillcolor="#FFFFFF" filled="t" stroked="t" coordsize="21600,21600"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1260" w:firstLineChars="600"/>
                          <w:rPr>
                            <w:rFonts w:hint="default"/>
                            <w:lang w:val="en-US" w:eastAsia="zh-CN"/>
                          </w:rPr>
                        </w:pPr>
                        <w:r>
                          <w:rPr>
                            <w:rFonts w:hint="eastAsia"/>
                            <w:lang w:val="en-US" w:eastAsia="zh-CN"/>
                          </w:rPr>
                          <w:t>塔体自带除尘器</w:t>
                        </w:r>
                      </w:p>
                      <w:p>
                        <w:pPr>
                          <w:ind w:firstLine="1260" w:firstLineChars="600"/>
                          <w:rPr>
                            <w:rFonts w:hint="default"/>
                            <w:lang w:val="en-US" w:eastAsia="zh-CN"/>
                          </w:rPr>
                        </w:pPr>
                      </w:p>
                      <w:p>
                        <w:pPr>
                          <w:rPr>
                            <w:rFonts w:hint="default"/>
                            <w:lang w:val="en-US" w:eastAsia="zh-CN"/>
                          </w:rPr>
                        </w:pPr>
                      </w:p>
                    </w:txbxContent>
                  </v:textbox>
                </v:rect>
                <v:line id="直线 1415" o:spid="_x0000_s1026" o:spt="20" style="position:absolute;left:10373;top:382473;flip:y;height:2;width:1806;" filled="f" stroked="t" coordsize="21600,21600" o:gfxdata="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ZYW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59" o:spid="_x0000_s1026" o:spt="203" style="position:absolute;left:12254;top:381913;height:952;width:596;" coordorigin="-296029,1136914" coordsize="351521,793344"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rect id="矩形 85" o:spid="_x0000_s1026" o:spt="1" style="position:absolute;left:-296029;top:1806923;height:123335;width:351521;v-text-anchor:middle;" filled="f" stroked="t" coordsize="21600,21600" o:gfxdata="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El47sAAADb&#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textbox>
                      <w:txbxContent>
                        <w:p>
                          <w:pPr>
                            <w:jc w:val="center"/>
                            <w:rPr>
                              <w:color w:val="000000" w:themeColor="text1"/>
                              <w14:textFill>
                                <w14:solidFill>
                                  <w14:schemeClr w14:val="tx1"/>
                                </w14:solidFill>
                              </w14:textFill>
                            </w:rPr>
                          </w:pPr>
                        </w:p>
                      </w:txbxContent>
                    </v:textbox>
                  </v:rect>
                  <v:rect id="矩形 86" o:spid="_x0000_s1026" o:spt="1" style="position:absolute;left:-239998;top:1136914;height:656675;width:212918;v-text-anchor:middle;" filled="f" stroked="t" coordsize="21600,21600" o:gfxdata="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tgHi/&#10;AAAA2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color w:val="000000" w:themeColor="text1"/>
                              <w14:textFill>
                                <w14:solidFill>
                                  <w14:schemeClr w14:val="tx1"/>
                                </w14:solidFill>
                              </w14:textFill>
                            </w:rPr>
                          </w:pPr>
                        </w:p>
                      </w:txbxContent>
                    </v:textbox>
                  </v:rect>
                </v:group>
                <v:rect id="矩形 1405" o:spid="_x0000_s1026" o:spt="1" style="position:absolute;left:1931;top:381998;height:782;width:2976;" fillcolor="#FFFFFF" filled="t" stroked="t" coordsize="21600,21600" o:gfxdata="UEsDBAoAAAAAAIdO4kAAAAAAAAAAAAAAAAAEAAAAZHJzL1BLAwQUAAAACACHTuJA6RQ3j74AAADb&#10;AAAADwAAAGRycy9kb3ducmV2LnhtbEWPwW7CMBBE75X4B2uReis2FFV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Q3j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号植脂末生产线</w:t>
                        </w:r>
                      </w:p>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天然气燃烧废气</w:t>
                        </w:r>
                      </w:p>
                      <w:p>
                        <w:pPr>
                          <w:jc w:val="center"/>
                          <w:rPr>
                            <w:rFonts w:hint="default" w:eastAsiaTheme="minorEastAsia"/>
                            <w:lang w:val="en-US" w:eastAsia="zh-CN"/>
                          </w:rPr>
                        </w:pPr>
                      </w:p>
                    </w:txbxContent>
                  </v:textbox>
                </v:rect>
                <v:line id="直线 1408" o:spid="_x0000_s1026" o:spt="20" style="position:absolute;left:4907;top:382383;flip:y;height:6;width:1732;" filled="f" stroked="t" coordsize="21600,21600" o:gfxdata="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5b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1458" o:spid="_x0000_s1026" o:spt="1" style="position:absolute;left:4722;top:381768;height:463;width:2164;" filled="f" stroked="f" coordsize="21600,21600" o:gfxdata="UEsDBAoAAAAAAIdO4kAAAAAAAAAAAAAAAAAEAAAAZHJzL1BLAwQUAAAACACHTuJAdoeDp74AAADb&#10;AAAADwAAAGRycy9kb3ducmV2LnhtbEWPQWvCQBSE7wX/w/KEXopuYqm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eDp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颗粒物、SO</w:t>
                        </w:r>
                        <w:r>
                          <w:rPr>
                            <w:rFonts w:hint="eastAsia" w:ascii="Times New Roman" w:hAnsi="Times New Roman" w:cs="Times New Roman"/>
                            <w:vertAlign w:val="subscript"/>
                            <w:lang w:val="en-US" w:eastAsia="zh-CN"/>
                          </w:rPr>
                          <w:t>2</w:t>
                        </w:r>
                        <w:r>
                          <w:rPr>
                            <w:rFonts w:hint="eastAsia" w:ascii="Times New Roman" w:hAnsi="Times New Roman" w:cs="Times New Roman"/>
                            <w:lang w:val="en-US" w:eastAsia="zh-CN"/>
                          </w:rPr>
                          <w:t>、NO</w:t>
                        </w:r>
                        <w:r>
                          <w:rPr>
                            <w:rFonts w:hint="eastAsia" w:ascii="Times New Roman" w:hAnsi="Times New Roman" w:cs="Times New Roman"/>
                            <w:vertAlign w:val="subscript"/>
                            <w:lang w:val="en-US" w:eastAsia="zh-CN"/>
                          </w:rPr>
                          <w:t>X</w:t>
                        </w:r>
                      </w:p>
                    </w:txbxContent>
                  </v:textbox>
                </v:rect>
                <v:rect id="_x0000_s1026" o:spid="_x0000_s1026" o:spt="1" style="position:absolute;left:11857;top:382780;height:535;width:1604;v-text-anchor:middle;" filled="f" stroked="f" coordsize="21600,21600" o:gfxdata="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OkxL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jc w:val="both"/>
                          <w:rPr>
                            <w:rFonts w:hint="default" w:ascii="Times New Roman" w:hAnsi="Times New Roman" w:cs="Times New Roman"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cs="Times New Roman"/>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DA005排气筒</w:t>
                        </w:r>
                      </w:p>
                    </w:txbxContent>
                  </v:textbox>
                </v:rect>
                <v:rect id="矩形 1451" o:spid="_x0000_s1026" o:spt="1" style="position:absolute;left:11925;top:381591;height:515;width:1218;" filled="f" stroked="f" coordsize="21600,21600" o:gfxdata="UEsDBAoAAAAAAIdO4kAAAAAAAAAAAAAAAAAEAAAAZHJzL1BLAwQUAAAACACHTuJAkrYikL4AAADb&#10;AAAADwAAAGRycy9kb3ducmV2LnhtbEWPQWvCQBSE7wX/w/KEXopuIqX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Yik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38</w:t>
                        </w:r>
                        <w:r>
                          <w:rPr>
                            <w:rFonts w:hint="default" w:ascii="Times New Roman" w:hAnsi="Times New Roman" w:cs="Times New Roman"/>
                            <w:lang w:val="en-US" w:eastAsia="zh-CN"/>
                          </w:rPr>
                          <w:t>m</w:t>
                        </w:r>
                      </w:p>
                    </w:txbxContent>
                  </v:textbox>
                </v:rect>
              </v:group>
            </w:pict>
          </mc:Fallback>
        </mc:AlternateContent>
      </w:r>
    </w:p>
    <w:p>
      <w:pPr>
        <w:pStyle w:val="40"/>
        <w:rPr>
          <w:rFonts w:hint="default" w:ascii="Times New Roman" w:hAnsi="Times New Roman" w:eastAsia="宋体" w:cs="Times New Roman"/>
        </w:rPr>
      </w:pPr>
    </w:p>
    <w:p>
      <w:pPr>
        <w:pStyle w:val="24"/>
        <w:jc w:val="both"/>
        <w:rPr>
          <w:rFonts w:hint="default" w:ascii="Times New Roman" w:hAnsi="Times New Roman" w:eastAsia="宋体" w:cs="Times New Roman"/>
          <w:color w:val="000000"/>
          <w:sz w:val="24"/>
          <w:szCs w:val="28"/>
        </w:rPr>
      </w:pPr>
    </w:p>
    <w:p>
      <w:pPr>
        <w:rPr>
          <w:rFonts w:hint="default" w:ascii="Times New Roman" w:hAnsi="Times New Roman" w:eastAsia="宋体" w:cs="Times New Roman"/>
          <w:color w:val="000000"/>
          <w:sz w:val="24"/>
          <w:szCs w:val="28"/>
        </w:rPr>
      </w:pPr>
      <w:r>
        <w:rPr>
          <w:rFonts w:hint="default" w:ascii="Times New Roman" w:hAnsi="Times New Roman" w:eastAsia="宋体" w:cs="Times New Roman"/>
          <w:sz w:val="21"/>
        </w:rPr>
        <mc:AlternateContent>
          <mc:Choice Requires="wps">
            <w:drawing>
              <wp:anchor distT="0" distB="0" distL="114300" distR="114300" simplePos="0" relativeHeight="251689984" behindDoc="0" locked="0" layoutInCell="1" allowOverlap="1">
                <wp:simplePos x="0" y="0"/>
                <wp:positionH relativeFrom="column">
                  <wp:posOffset>6506210</wp:posOffset>
                </wp:positionH>
                <wp:positionV relativeFrom="paragraph">
                  <wp:posOffset>196215</wp:posOffset>
                </wp:positionV>
                <wp:extent cx="773430" cy="327025"/>
                <wp:effectExtent l="0" t="0" r="0" b="0"/>
                <wp:wrapNone/>
                <wp:docPr id="98" name="矩形 1451"/>
                <wp:cNvGraphicFramePr/>
                <a:graphic xmlns:a="http://schemas.openxmlformats.org/drawingml/2006/main">
                  <a:graphicData uri="http://schemas.microsoft.com/office/word/2010/wordprocessingShape">
                    <wps:wsp>
                      <wps:cNvSpPr/>
                      <wps:spPr>
                        <a:xfrm>
                          <a:off x="0" y="0"/>
                          <a:ext cx="773430" cy="327025"/>
                        </a:xfrm>
                        <a:prstGeom prst="rect">
                          <a:avLst/>
                        </a:prstGeom>
                        <a:noFill/>
                        <a:ln>
                          <a:noFill/>
                        </a:ln>
                      </wps:spPr>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41</w:t>
                            </w:r>
                            <w:r>
                              <w:rPr>
                                <w:rFonts w:hint="default" w:ascii="Times New Roman" w:hAnsi="Times New Roman" w:cs="Times New Roman"/>
                                <w:lang w:val="en-US" w:eastAsia="zh-CN"/>
                              </w:rPr>
                              <w:t>m</w:t>
                            </w:r>
                          </w:p>
                        </w:txbxContent>
                      </wps:txbx>
                      <wps:bodyPr upright="1"/>
                    </wps:wsp>
                  </a:graphicData>
                </a:graphic>
              </wp:anchor>
            </w:drawing>
          </mc:Choice>
          <mc:Fallback>
            <w:pict>
              <v:rect id="矩形 1451" o:spid="_x0000_s1026" o:spt="1" style="position:absolute;left:0pt;margin-left:512.3pt;margin-top:15.45pt;height:25.75pt;width:60.9pt;z-index:251689984;mso-width-relative:page;mso-height-relative:page;" filled="f" stroked="f" coordsize="21600,21600" o:gfxdata="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ukbO7bAAAACwEA&#10;AA8AAAAAAAAAAQAgAAAAIgAAAGRycy9kb3ducmV2LnhtbFBLAQIUABQAAAAIAIdO4kDOxpIBpQEA&#10;AEQDAAAOAAAAAAAAAAEAIAAAACoBAABkcnMvZTJvRG9jLnhtbFBLBQYAAAAABgAGAFkBAABBBQAA&#10;AAA=&#10;">
                <v:fill on="f" focussize="0,0"/>
                <v:stroke on="f"/>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41</w:t>
                      </w:r>
                      <w:r>
                        <w:rPr>
                          <w:rFonts w:hint="default" w:ascii="Times New Roman" w:hAnsi="Times New Roman" w:cs="Times New Roman"/>
                          <w:lang w:val="en-US" w:eastAsia="zh-CN"/>
                        </w:rPr>
                        <w:t>m</w:t>
                      </w:r>
                    </w:p>
                  </w:txbxContent>
                </v:textbox>
              </v:rect>
            </w:pict>
          </mc:Fallback>
        </mc:AlternateContent>
      </w:r>
    </w:p>
    <w:p>
      <w:pPr>
        <w:pStyle w:val="28"/>
        <w:rPr>
          <w:rFonts w:hint="default" w:ascii="Times New Roman" w:hAnsi="Times New Roman" w:eastAsia="宋体" w:cs="Times New Roman"/>
          <w:color w:val="000000"/>
          <w:sz w:val="24"/>
          <w:szCs w:val="28"/>
        </w:rPr>
      </w:pPr>
      <w:r>
        <w:rPr>
          <w:sz w:val="24"/>
        </w:rPr>
        <mc:AlternateContent>
          <mc:Choice Requires="wpg">
            <w:drawing>
              <wp:anchor distT="0" distB="0" distL="114300" distR="114300" simplePos="0" relativeHeight="251686912" behindDoc="0" locked="0" layoutInCell="1" allowOverlap="1">
                <wp:simplePos x="0" y="0"/>
                <wp:positionH relativeFrom="column">
                  <wp:posOffset>6672580</wp:posOffset>
                </wp:positionH>
                <wp:positionV relativeFrom="paragraph">
                  <wp:posOffset>214630</wp:posOffset>
                </wp:positionV>
                <wp:extent cx="378460" cy="625475"/>
                <wp:effectExtent l="4445" t="4445" r="17145" b="17780"/>
                <wp:wrapNone/>
                <wp:docPr id="97" name="组合 97"/>
                <wp:cNvGraphicFramePr/>
                <a:graphic xmlns:a="http://schemas.openxmlformats.org/drawingml/2006/main">
                  <a:graphicData uri="http://schemas.microsoft.com/office/word/2010/wordprocessingGroup">
                    <wpg:wgp>
                      <wpg:cNvGrpSpPr/>
                      <wpg:grpSpPr>
                        <a:xfrm>
                          <a:off x="0" y="0"/>
                          <a:ext cx="378460" cy="625475"/>
                          <a:chOff x="12598" y="383483"/>
                          <a:chExt cx="596" cy="985"/>
                        </a:xfrm>
                      </wpg:grpSpPr>
                      <wps:wsp>
                        <wps:cNvPr id="126" name="矩形 86"/>
                        <wps:cNvSpPr/>
                        <wps:spPr>
                          <a:xfrm>
                            <a:off x="12725" y="383483"/>
                            <a:ext cx="360" cy="787"/>
                          </a:xfrm>
                          <a:prstGeom prst="rect">
                            <a:avLst/>
                          </a:prstGeom>
                          <a:noFill/>
                          <a:ln w="9525" cap="flat" cmpd="sng">
                            <a:solidFill>
                              <a:srgbClr val="000000"/>
                            </a:solidFill>
                            <a:prstDash val="solid"/>
                            <a:miter lim="800000"/>
                            <a:headEnd type="none" w="med" len="med"/>
                            <a:tailEnd type="none" w="med" len="med"/>
                          </a:ln>
                        </wps:spPr>
                        <wps:txbx>
                          <w:txbxContent>
                            <w:p>
                              <w:pPr>
                                <w:jc w:val="center"/>
                                <w:rPr>
                                  <w:color w:val="000000" w:themeColor="text1"/>
                                  <w14:textFill>
                                    <w14:solidFill>
                                      <w14:schemeClr w14:val="tx1"/>
                                    </w14:solidFill>
                                  </w14:textFill>
                                </w:rPr>
                              </w:pPr>
                            </w:p>
                          </w:txbxContent>
                        </wps:txbx>
                        <wps:bodyPr anchor="ctr" anchorCtr="0" upright="1"/>
                      </wps:wsp>
                      <wps:wsp>
                        <wps:cNvPr id="127" name="矩形 85"/>
                        <wps:cNvSpPr/>
                        <wps:spPr>
                          <a:xfrm>
                            <a:off x="12598" y="384320"/>
                            <a:ext cx="596" cy="148"/>
                          </a:xfrm>
                          <a:prstGeom prst="rect">
                            <a:avLst/>
                          </a:prstGeom>
                          <a:noFill/>
                          <a:ln w="9525" cap="flat" cmpd="sng">
                            <a:solidFill>
                              <a:srgbClr val="000000"/>
                            </a:solidFill>
                            <a:prstDash val="solid"/>
                            <a:miter lim="800000"/>
                            <a:headEnd type="none" w="med" len="med"/>
                            <a:tailEnd type="none" w="med" len="med"/>
                          </a:ln>
                        </wps:spPr>
                        <wps:txbx>
                          <w:txbxContent>
                            <w:p>
                              <w:pPr>
                                <w:jc w:val="center"/>
                                <w:rPr>
                                  <w:color w:val="000000" w:themeColor="text1"/>
                                  <w14:textFill>
                                    <w14:solidFill>
                                      <w14:schemeClr w14:val="tx1"/>
                                    </w14:solidFill>
                                  </w14:textFill>
                                </w:rPr>
                              </w:pPr>
                            </w:p>
                          </w:txbxContent>
                        </wps:txbx>
                        <wps:bodyPr anchor="ctr" anchorCtr="0" upright="1"/>
                      </wps:wsp>
                    </wpg:wgp>
                  </a:graphicData>
                </a:graphic>
              </wp:anchor>
            </w:drawing>
          </mc:Choice>
          <mc:Fallback>
            <w:pict>
              <v:group id="_x0000_s1026" o:spid="_x0000_s1026" o:spt="203" style="position:absolute;left:0pt;margin-left:525.4pt;margin-top:16.9pt;height:49.25pt;width:29.8pt;z-index:251686912;mso-width-relative:page;mso-height-relative:page;" coordorigin="12598,383483" coordsize="596,985" o:gfxdata="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LKu2YraAAAADAEAAA8AAAAAAAAA&#10;AQAgAAAAIgAAAGRycy9kb3ducmV2LnhtbFBLAQIUABQAAAAIAIdO4kCzabaxugIAAK4HAAAOAAAA&#10;AAAAAAEAIAAAACkBAABkcnMvZTJvRG9jLnhtbFBLBQYAAAAABgAGAFkBAABVBgAAAAA=&#10;">
                <o:lock v:ext="edit" aspectratio="f"/>
                <v:rect id="矩形 86" o:spid="_x0000_s1026" o:spt="1" style="position:absolute;left:12725;top:383483;height:787;width:360;v-text-anchor:middle;" filled="f" stroked="t" coordsize="21600,21600" o:gfxdata="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nKN7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jc w:val="center"/>
                          <w:rPr>
                            <w:color w:val="000000" w:themeColor="text1"/>
                            <w14:textFill>
                              <w14:solidFill>
                                <w14:schemeClr w14:val="tx1"/>
                              </w14:solidFill>
                            </w14:textFill>
                          </w:rPr>
                        </w:pPr>
                      </w:p>
                    </w:txbxContent>
                  </v:textbox>
                </v:rect>
                <v:rect id="矩形 85" o:spid="_x0000_s1026" o:spt="1" style="position:absolute;left:12598;top:384320;height:148;width:596;v-text-anchor:middle;" filled="f" stroked="t" coordsize="21600,21600" o:gfxdata="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W+s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jc w:val="center"/>
                          <w:rPr>
                            <w:color w:val="000000" w:themeColor="text1"/>
                            <w14:textFill>
                              <w14:solidFill>
                                <w14:schemeClr w14:val="tx1"/>
                              </w14:solidFill>
                            </w14:textFill>
                          </w:rPr>
                        </w:pPr>
                      </w:p>
                    </w:txbxContent>
                  </v:textbox>
                </v:rect>
              </v:group>
            </w:pict>
          </mc:Fallback>
        </mc:AlternateContent>
      </w:r>
      <w:r>
        <w:rPr>
          <w:rFonts w:hint="default" w:ascii="Times New Roman" w:hAnsi="Times New Roman" w:eastAsia="宋体" w:cs="Times New Roman"/>
        </w:rPr>
        <mc:AlternateContent>
          <mc:Choice Requires="wps">
            <w:drawing>
              <wp:anchor distT="0" distB="0" distL="114300" distR="114300" simplePos="0" relativeHeight="251685888" behindDoc="0" locked="0" layoutInCell="1" allowOverlap="1">
                <wp:simplePos x="0" y="0"/>
                <wp:positionH relativeFrom="column">
                  <wp:posOffset>1891030</wp:posOffset>
                </wp:positionH>
                <wp:positionV relativeFrom="paragraph">
                  <wp:posOffset>62230</wp:posOffset>
                </wp:positionV>
                <wp:extent cx="1374140" cy="294005"/>
                <wp:effectExtent l="0" t="0" r="0" b="0"/>
                <wp:wrapNone/>
                <wp:docPr id="129" name="矩形 1458"/>
                <wp:cNvGraphicFramePr/>
                <a:graphic xmlns:a="http://schemas.openxmlformats.org/drawingml/2006/main">
                  <a:graphicData uri="http://schemas.microsoft.com/office/word/2010/wordprocessingShape">
                    <wps:wsp>
                      <wps:cNvSpPr/>
                      <wps:spPr>
                        <a:xfrm>
                          <a:off x="0" y="0"/>
                          <a:ext cx="1374140" cy="294005"/>
                        </a:xfrm>
                        <a:prstGeom prst="rect">
                          <a:avLst/>
                        </a:prstGeom>
                        <a:noFill/>
                        <a:ln>
                          <a:noFill/>
                        </a:ln>
                      </wps:spPr>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颗粒物、SO</w:t>
                            </w:r>
                            <w:r>
                              <w:rPr>
                                <w:rFonts w:hint="eastAsia" w:ascii="Times New Roman" w:hAnsi="Times New Roman" w:cs="Times New Roman"/>
                                <w:vertAlign w:val="subscript"/>
                                <w:lang w:val="en-US" w:eastAsia="zh-CN"/>
                              </w:rPr>
                              <w:t>2</w:t>
                            </w:r>
                            <w:r>
                              <w:rPr>
                                <w:rFonts w:hint="eastAsia" w:ascii="Times New Roman" w:hAnsi="Times New Roman" w:cs="Times New Roman"/>
                                <w:lang w:val="en-US" w:eastAsia="zh-CN"/>
                              </w:rPr>
                              <w:t>、NO</w:t>
                            </w:r>
                            <w:r>
                              <w:rPr>
                                <w:rFonts w:hint="eastAsia" w:ascii="Times New Roman" w:hAnsi="Times New Roman" w:cs="Times New Roman"/>
                                <w:vertAlign w:val="subscript"/>
                                <w:lang w:val="en-US" w:eastAsia="zh-CN"/>
                              </w:rPr>
                              <w:t>X</w:t>
                            </w:r>
                          </w:p>
                        </w:txbxContent>
                      </wps:txbx>
                      <wps:bodyPr upright="1"/>
                    </wps:wsp>
                  </a:graphicData>
                </a:graphic>
              </wp:anchor>
            </w:drawing>
          </mc:Choice>
          <mc:Fallback>
            <w:pict>
              <v:rect id="矩形 1458" o:spid="_x0000_s1026" o:spt="1" style="position:absolute;left:0pt;margin-left:148.9pt;margin-top:4.9pt;height:23.15pt;width:108.2pt;z-index:251685888;mso-width-relative:page;mso-height-relative:page;" filled="f" stroked="f" coordsize="21600,21600" o:gfxdata="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ivQ/7aAAAACAEA&#10;AA8AAAAAAAAAAQAgAAAAIgAAAGRycy9kb3ducmV2LnhtbFBLAQIUABQAAAAIAIdO4kDaVTAFpgEA&#10;AEYDAAAOAAAAAAAAAAEAIAAAACkBAABkcnMvZTJvRG9jLnhtbFBLBQYAAAAABgAGAFkBAABBBQAA&#10;AAA=&#10;">
                <v:fill on="f" focussize="0,0"/>
                <v:stroke on="f"/>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颗粒物、SO</w:t>
                      </w:r>
                      <w:r>
                        <w:rPr>
                          <w:rFonts w:hint="eastAsia" w:ascii="Times New Roman" w:hAnsi="Times New Roman" w:cs="Times New Roman"/>
                          <w:vertAlign w:val="subscript"/>
                          <w:lang w:val="en-US" w:eastAsia="zh-CN"/>
                        </w:rPr>
                        <w:t>2</w:t>
                      </w:r>
                      <w:r>
                        <w:rPr>
                          <w:rFonts w:hint="eastAsia" w:ascii="Times New Roman" w:hAnsi="Times New Roman" w:cs="Times New Roman"/>
                          <w:lang w:val="en-US" w:eastAsia="zh-CN"/>
                        </w:rPr>
                        <w:t>、NO</w:t>
                      </w:r>
                      <w:r>
                        <w:rPr>
                          <w:rFonts w:hint="eastAsia" w:ascii="Times New Roman" w:hAnsi="Times New Roman" w:cs="Times New Roman"/>
                          <w:vertAlign w:val="subscript"/>
                          <w:lang w:val="en-US" w:eastAsia="zh-CN"/>
                        </w:rPr>
                        <w:t>X</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2816" behindDoc="0" locked="0" layoutInCell="1" allowOverlap="1">
                <wp:simplePos x="0" y="0"/>
                <wp:positionH relativeFrom="column">
                  <wp:posOffset>3108325</wp:posOffset>
                </wp:positionH>
                <wp:positionV relativeFrom="paragraph">
                  <wp:posOffset>214630</wp:posOffset>
                </wp:positionV>
                <wp:extent cx="2379345" cy="377825"/>
                <wp:effectExtent l="5080" t="4445" r="15875" b="17780"/>
                <wp:wrapNone/>
                <wp:docPr id="124" name="矩形 1409"/>
                <wp:cNvGraphicFramePr/>
                <a:graphic xmlns:a="http://schemas.openxmlformats.org/drawingml/2006/main">
                  <a:graphicData uri="http://schemas.microsoft.com/office/word/2010/wordprocessingShape">
                    <wps:wsp>
                      <wps:cNvSpPr/>
                      <wps:spPr>
                        <a:xfrm>
                          <a:off x="0" y="0"/>
                          <a:ext cx="2379345" cy="377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260" w:firstLineChars="600"/>
                              <w:rPr>
                                <w:rFonts w:hint="default"/>
                                <w:lang w:val="en-US" w:eastAsia="zh-CN"/>
                              </w:rPr>
                            </w:pPr>
                            <w:r>
                              <w:rPr>
                                <w:rFonts w:hint="eastAsia"/>
                                <w:lang w:val="en-US" w:eastAsia="zh-CN"/>
                              </w:rPr>
                              <w:t>塔体自带除尘器</w:t>
                            </w:r>
                          </w:p>
                          <w:p>
                            <w:pPr>
                              <w:ind w:firstLine="1260" w:firstLineChars="600"/>
                              <w:jc w:val="center"/>
                              <w:rPr>
                                <w:rFonts w:hint="default"/>
                                <w:lang w:val="en-US" w:eastAsia="zh-CN"/>
                              </w:rPr>
                            </w:pPr>
                          </w:p>
                          <w:p>
                            <w:pPr>
                              <w:rPr>
                                <w:rFonts w:hint="default"/>
                                <w:lang w:val="en-US" w:eastAsia="zh-CN"/>
                              </w:rPr>
                            </w:pPr>
                          </w:p>
                        </w:txbxContent>
                      </wps:txbx>
                      <wps:bodyPr upright="1"/>
                    </wps:wsp>
                  </a:graphicData>
                </a:graphic>
              </wp:anchor>
            </w:drawing>
          </mc:Choice>
          <mc:Fallback>
            <w:pict>
              <v:rect id="矩形 1409" o:spid="_x0000_s1026" o:spt="1" style="position:absolute;left:0pt;margin-left:244.75pt;margin-top:16.9pt;height:29.75pt;width:187.35pt;z-index:251682816;mso-width-relative:page;mso-height-relative:page;" fillcolor="#FFFFFF" filled="t" stroked="t" coordsize="21600,21600" o:gfxdata="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DhwdbYAAAACQEAAA8AAAAAAAAAAQAgAAAAIgAAAGRy&#10;cy9kb3ducmV2LnhtbFBLAQIUABQAAAAIAIdO4kB/TrjABQIAAC4EAAAOAAAAAAAAAAEAIAAAACcB&#10;AABkcnMvZTJvRG9jLnhtbFBLBQYAAAAABgAGAFkBAACeBQAAAAA=&#10;">
                <v:fill on="t" focussize="0,0"/>
                <v:stroke color="#000000" joinstyle="miter"/>
                <v:imagedata o:title=""/>
                <o:lock v:ext="edit" aspectratio="f"/>
                <v:textbox>
                  <w:txbxContent>
                    <w:p>
                      <w:pPr>
                        <w:ind w:firstLine="1260" w:firstLineChars="600"/>
                        <w:rPr>
                          <w:rFonts w:hint="default"/>
                          <w:lang w:val="en-US" w:eastAsia="zh-CN"/>
                        </w:rPr>
                      </w:pPr>
                      <w:r>
                        <w:rPr>
                          <w:rFonts w:hint="eastAsia"/>
                          <w:lang w:val="en-US" w:eastAsia="zh-CN"/>
                        </w:rPr>
                        <w:t>塔体自带除尘器</w:t>
                      </w:r>
                    </w:p>
                    <w:p>
                      <w:pPr>
                        <w:ind w:firstLine="1260" w:firstLineChars="600"/>
                        <w:jc w:val="center"/>
                        <w:rPr>
                          <w:rFonts w:hint="default"/>
                          <w:lang w:val="en-US" w:eastAsia="zh-CN"/>
                        </w:rPr>
                      </w:pPr>
                    </w:p>
                    <w:p>
                      <w:pPr>
                        <w:rPr>
                          <w:rFonts w:hint="default"/>
                          <w:lang w:val="en-US" w:eastAsia="zh-CN"/>
                        </w:rPr>
                      </w:pPr>
                    </w:p>
                  </w:txbxContent>
                </v:textbox>
              </v:rect>
            </w:pict>
          </mc:Fallback>
        </mc:AlternateContent>
      </w:r>
      <w:r>
        <w:rPr>
          <w:rFonts w:hint="default" w:ascii="Times New Roman" w:hAnsi="Times New Roman" w:eastAsia="宋体" w:cs="Times New Roman"/>
        </w:rPr>
        <mc:AlternateContent>
          <mc:Choice Requires="wps">
            <w:drawing>
              <wp:anchor distT="0" distB="0" distL="114300" distR="114300" simplePos="0" relativeHeight="251680768" behindDoc="0" locked="0" layoutInCell="1" allowOverlap="1">
                <wp:simplePos x="0" y="0"/>
                <wp:positionH relativeFrom="column">
                  <wp:posOffset>87630</wp:posOffset>
                </wp:positionH>
                <wp:positionV relativeFrom="paragraph">
                  <wp:posOffset>161290</wp:posOffset>
                </wp:positionV>
                <wp:extent cx="1889760" cy="496570"/>
                <wp:effectExtent l="4445" t="5080" r="10795" b="12700"/>
                <wp:wrapNone/>
                <wp:docPr id="50" name="矩形 1405"/>
                <wp:cNvGraphicFramePr/>
                <a:graphic xmlns:a="http://schemas.openxmlformats.org/drawingml/2006/main">
                  <a:graphicData uri="http://schemas.microsoft.com/office/word/2010/wordprocessingShape">
                    <wps:wsp>
                      <wps:cNvSpPr/>
                      <wps:spPr>
                        <a:xfrm>
                          <a:off x="0" y="0"/>
                          <a:ext cx="1889760" cy="496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号植脂末生产线</w:t>
                            </w:r>
                          </w:p>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天然气燃烧废气</w:t>
                            </w:r>
                          </w:p>
                          <w:p>
                            <w:pPr>
                              <w:jc w:val="center"/>
                              <w:rPr>
                                <w:rFonts w:hint="default" w:eastAsiaTheme="minorEastAsia"/>
                                <w:lang w:val="en-US" w:eastAsia="zh-CN"/>
                              </w:rPr>
                            </w:pPr>
                          </w:p>
                        </w:txbxContent>
                      </wps:txbx>
                      <wps:bodyPr upright="1"/>
                    </wps:wsp>
                  </a:graphicData>
                </a:graphic>
              </wp:anchor>
            </w:drawing>
          </mc:Choice>
          <mc:Fallback>
            <w:pict>
              <v:rect id="矩形 1405" o:spid="_x0000_s1026" o:spt="1" style="position:absolute;left:0pt;margin-left:6.9pt;margin-top:12.7pt;height:39.1pt;width:148.8pt;z-index:251680768;mso-width-relative:page;mso-height-relative:page;" fillcolor="#FFFFFF" filled="t" stroked="t" coordsize="21600,21600" o:gfxdata="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bBBzWAAAACQEAAA8AAAAAAAAAAQAgAAAAIgAAAGRy&#10;cy9kb3ducmV2LnhtbFBLAQIUABQAAAAIAIdO4kDbikLsBwIAAC0EAAAOAAAAAAAAAAEAIAAAACUB&#10;AABkcnMvZTJvRG9jLnhtbFBLBQYAAAAABgAGAFkBAACeBQAAAAA=&#10;">
                <v:fill on="t" focussize="0,0"/>
                <v:stroke color="#000000" joinstyle="miter"/>
                <v:imagedata o:title=""/>
                <o:lock v:ext="edit" aspectratio="f"/>
                <v:textbox>
                  <w:txbxContent>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号植脂末生产线</w:t>
                      </w:r>
                    </w:p>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天然气燃烧废气</w:t>
                      </w:r>
                    </w:p>
                    <w:p>
                      <w:pPr>
                        <w:jc w:val="center"/>
                        <w:rPr>
                          <w:rFonts w:hint="default" w:eastAsiaTheme="minorEastAsia"/>
                          <w:lang w:val="en-US" w:eastAsia="zh-CN"/>
                        </w:rPr>
                      </w:pPr>
                    </w:p>
                  </w:txbxContent>
                </v:textbox>
              </v:rect>
            </w:pict>
          </mc:Fallback>
        </mc:AlternateContent>
      </w:r>
    </w:p>
    <w:p>
      <w:pPr>
        <w:rPr>
          <w:rFonts w:hint="default" w:ascii="Times New Roman" w:hAnsi="Times New Roman" w:eastAsia="宋体" w:cs="Times New Roman"/>
          <w:color w:val="000000"/>
          <w:sz w:val="24"/>
          <w:szCs w:val="28"/>
        </w:rPr>
      </w:pPr>
      <w:r>
        <w:rPr>
          <w:rFonts w:hint="default" w:ascii="Times New Roman" w:hAnsi="Times New Roman" w:eastAsia="宋体" w:cs="Times New Roman"/>
          <w:sz w:val="24"/>
        </w:rPr>
        <mc:AlternateContent>
          <mc:Choice Requires="wps">
            <w:drawing>
              <wp:anchor distT="0" distB="0" distL="114300" distR="114300" simplePos="0" relativeHeight="251683840" behindDoc="0" locked="0" layoutInCell="1" allowOverlap="1">
                <wp:simplePos x="0" y="0"/>
                <wp:positionH relativeFrom="column">
                  <wp:posOffset>5495925</wp:posOffset>
                </wp:positionH>
                <wp:positionV relativeFrom="paragraph">
                  <wp:posOffset>133350</wp:posOffset>
                </wp:positionV>
                <wp:extent cx="1137920" cy="1270"/>
                <wp:effectExtent l="0" t="38100" r="5080" b="36830"/>
                <wp:wrapNone/>
                <wp:docPr id="125" name="直线 1415"/>
                <wp:cNvGraphicFramePr/>
                <a:graphic xmlns:a="http://schemas.openxmlformats.org/drawingml/2006/main">
                  <a:graphicData uri="http://schemas.microsoft.com/office/word/2010/wordprocessingShape">
                    <wps:wsp>
                      <wps:cNvCnPr/>
                      <wps:spPr>
                        <a:xfrm flipV="1">
                          <a:off x="0" y="0"/>
                          <a:ext cx="113792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15" o:spid="_x0000_s1026" o:spt="20" style="position:absolute;left:0pt;flip:y;margin-left:432.75pt;margin-top:10.5pt;height:0.1pt;width:89.6pt;z-index:251683840;mso-width-relative:page;mso-height-relative:page;" filled="f" stroked="t" coordsize="21600,21600" o:gfxdata="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Rw+T7ZAAAACgEAAA8AAAAAAAAAAQAgAAAAIgAAAGRycy9kb3du&#10;cmV2LnhtbFBLAQIUABQAAAAIAIdO4kA2bcXq/gEAAPEDAAAOAAAAAAAAAAEAIAAAACgBAABkcnMv&#10;ZTJvRG9jLnhtbFBLBQYAAAAABgAGAFkBAACYBQAAAAA=&#10;">
                <v:fill on="f" focussize="0,0"/>
                <v:stroke color="#000000" joinstyle="round" endarrow="block"/>
                <v:imagedata o:title=""/>
                <o:lock v:ext="edit" aspectratio="f"/>
              </v:line>
            </w:pict>
          </mc:Fallback>
        </mc:AlternateContent>
      </w:r>
      <w:r>
        <w:rPr>
          <w:rFonts w:hint="default" w:ascii="Times New Roman" w:hAnsi="Times New Roman" w:eastAsia="宋体" w:cs="Times New Roman"/>
        </w:rPr>
        <mc:AlternateContent>
          <mc:Choice Requires="wps">
            <w:drawing>
              <wp:anchor distT="0" distB="0" distL="114300" distR="114300" simplePos="0" relativeHeight="251681792" behindDoc="0" locked="0" layoutInCell="1" allowOverlap="1">
                <wp:simplePos x="0" y="0"/>
                <wp:positionH relativeFrom="column">
                  <wp:posOffset>1993265</wp:posOffset>
                </wp:positionH>
                <wp:positionV relativeFrom="paragraph">
                  <wp:posOffset>131445</wp:posOffset>
                </wp:positionV>
                <wp:extent cx="1099820" cy="3810"/>
                <wp:effectExtent l="0" t="38100" r="5080" b="34290"/>
                <wp:wrapNone/>
                <wp:docPr id="62" name="直线 1408"/>
                <wp:cNvGraphicFramePr/>
                <a:graphic xmlns:a="http://schemas.openxmlformats.org/drawingml/2006/main">
                  <a:graphicData uri="http://schemas.microsoft.com/office/word/2010/wordprocessingShape">
                    <wps:wsp>
                      <wps:cNvCnPr/>
                      <wps:spPr>
                        <a:xfrm flipV="1">
                          <a:off x="0" y="0"/>
                          <a:ext cx="1099820" cy="38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08" o:spid="_x0000_s1026" o:spt="20" style="position:absolute;left:0pt;flip:y;margin-left:156.95pt;margin-top:10.35pt;height:0.3pt;width:86.6pt;z-index:251681792;mso-width-relative:page;mso-height-relative:page;" filled="f" stroked="t" coordsize="21600,21600" o:gfxdata="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Zr1ujZAAAACQEAAA8AAAAAAAAAAQAgAAAAIgAAAGRycy9kb3du&#10;cmV2LnhtbFBLAQIUABQAAAAIAIdO4kCJOcZp/gEAAPADAAAOAAAAAAAAAAEAIAAAACgBAABkcnMv&#10;ZTJvRG9jLnhtbFBLBQYAAAAABgAGAFkBAACYBQAAAAA=&#10;">
                <v:fill on="f" focussize="0,0"/>
                <v:stroke color="#000000" joinstyle="round" endarrow="block"/>
                <v:imagedata o:title=""/>
                <o:lock v:ext="edit" aspectratio="f"/>
              </v:line>
            </w:pict>
          </mc:Fallback>
        </mc:AlternateContent>
      </w:r>
    </w:p>
    <w:p>
      <w:pPr>
        <w:pStyle w:val="24"/>
        <w:rPr>
          <w:rFonts w:hint="default" w:ascii="Times New Roman" w:hAnsi="Times New Roman" w:eastAsia="宋体" w:cs="Times New Roman"/>
          <w:color w:val="000000"/>
          <w:sz w:val="24"/>
          <w:szCs w:val="28"/>
        </w:rPr>
        <w:sectPr>
          <w:pgSz w:w="16838" w:h="11906" w:orient="landscape"/>
          <w:pgMar w:top="1588" w:right="1440" w:bottom="1698"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sz w:val="24"/>
        </w:rPr>
        <mc:AlternateContent>
          <mc:Choice Requires="wps">
            <w:drawing>
              <wp:anchor distT="0" distB="0" distL="114300" distR="114300" simplePos="0" relativeHeight="251684864" behindDoc="0" locked="0" layoutInCell="1" allowOverlap="1">
                <wp:simplePos x="0" y="0"/>
                <wp:positionH relativeFrom="column">
                  <wp:posOffset>6398260</wp:posOffset>
                </wp:positionH>
                <wp:positionV relativeFrom="paragraph">
                  <wp:posOffset>325120</wp:posOffset>
                </wp:positionV>
                <wp:extent cx="1018540" cy="339725"/>
                <wp:effectExtent l="0" t="0" r="0" b="0"/>
                <wp:wrapNone/>
                <wp:docPr id="128" name="矩形 128"/>
                <wp:cNvGraphicFramePr/>
                <a:graphic xmlns:a="http://schemas.openxmlformats.org/drawingml/2006/main">
                  <a:graphicData uri="http://schemas.microsoft.com/office/word/2010/wordprocessingShape">
                    <wps:wsp>
                      <wps:cNvSpPr/>
                      <wps:spPr>
                        <a:xfrm>
                          <a:off x="0" y="0"/>
                          <a:ext cx="1018540" cy="33972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ascii="Times New Roman" w:hAnsi="Times New Roman" w:cs="Times New Roman"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cs="Times New Roman"/>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DA006排气筒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3.8pt;margin-top:25.6pt;height:26.75pt;width:80.2pt;z-index:251684864;v-text-anchor:middle;mso-width-relative:page;mso-height-relative:page;" filled="f" stroked="f" coordsize="21600,21600" o:gfxdata="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9dyU7XAAAADAEAAA8AAAAAAAAAAQAgAAAAIgAAAGRycy9kb3ducmV2LnhtbFBLAQIUABQAAAAI&#10;AIdO4kDg/62uYAIAALEEAAAOAAAAAAAAAAEAIAAAACYBAABkcnMvZTJvRG9jLnhtbFBLBQYAAAAA&#10;BgAGAFkBAAD4BQAAAAA=&#10;">
                <v:fill on="f" focussize="0,0"/>
                <v:stroke on="f" weight="1pt" miterlimit="8" joinstyle="miter"/>
                <v:imagedata o:title=""/>
                <o:lock v:ext="edit" aspectratio="f"/>
                <v:textbox>
                  <w:txbxContent>
                    <w:p>
                      <w:pPr>
                        <w:jc w:val="both"/>
                        <w:rPr>
                          <w:rFonts w:hint="default" w:ascii="Times New Roman" w:hAnsi="Times New Roman" w:cs="Times New Roman"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cs="Times New Roman"/>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DA006排气筒</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3600" behindDoc="0" locked="0" layoutInCell="1" allowOverlap="1">
                <wp:simplePos x="0" y="0"/>
                <wp:positionH relativeFrom="column">
                  <wp:posOffset>1655445</wp:posOffset>
                </wp:positionH>
                <wp:positionV relativeFrom="paragraph">
                  <wp:posOffset>621665</wp:posOffset>
                </wp:positionV>
                <wp:extent cx="4526915" cy="450850"/>
                <wp:effectExtent l="0" t="0" r="0" b="0"/>
                <wp:wrapNone/>
                <wp:docPr id="109" name="矩形 1484"/>
                <wp:cNvGraphicFramePr/>
                <a:graphic xmlns:a="http://schemas.openxmlformats.org/drawingml/2006/main">
                  <a:graphicData uri="http://schemas.microsoft.com/office/word/2010/wordprocessingShape">
                    <wps:wsp>
                      <wps:cNvSpPr/>
                      <wps:spPr>
                        <a:xfrm>
                          <a:off x="2569845" y="5026025"/>
                          <a:ext cx="4526915" cy="450850"/>
                        </a:xfrm>
                        <a:prstGeom prst="rect">
                          <a:avLst/>
                        </a:prstGeom>
                        <a:noFill/>
                        <a:ln>
                          <a:noFill/>
                        </a:ln>
                      </wps:spPr>
                      <wps:txbx>
                        <w:txbxContent>
                          <w:p>
                            <w:pPr>
                              <w:jc w:val="center"/>
                              <w:rPr>
                                <w:rFonts w:hint="eastAsia" w:ascii="黑体" w:hAnsi="黑体" w:eastAsia="黑体" w:cs="黑体"/>
                                <w:lang w:val="en-US" w:eastAsia="zh-CN"/>
                              </w:rPr>
                            </w:pPr>
                            <w:r>
                              <w:rPr>
                                <w:rFonts w:hint="eastAsia" w:ascii="黑体" w:hAnsi="黑体" w:eastAsia="黑体" w:cs="黑体"/>
                                <w:lang w:val="en-US" w:eastAsia="zh-CN"/>
                              </w:rPr>
                              <w:t>图4-1：废气处理示意图</w:t>
                            </w:r>
                          </w:p>
                        </w:txbxContent>
                      </wps:txbx>
                      <wps:bodyPr upright="1"/>
                    </wps:wsp>
                  </a:graphicData>
                </a:graphic>
              </wp:anchor>
            </w:drawing>
          </mc:Choice>
          <mc:Fallback>
            <w:pict>
              <v:rect id="矩形 1484" o:spid="_x0000_s1026" o:spt="1" style="position:absolute;left:0pt;margin-left:130.35pt;margin-top:48.95pt;height:35.5pt;width:356.45pt;z-index:251673600;mso-width-relative:page;mso-height-relative:page;" filled="f" stroked="f" coordsize="21600,21600" o:gfxdata="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cTRa/bAAAACgEAAA8AAAAAAAAAAQAgAAAAIgAAAGRycy9kb3ducmV2LnhtbFBLAQIUABQA&#10;AAAIAIdO4kCg+69PtAEAAFIDAAAOAAAAAAAAAAEAIAAAACoBAABkcnMvZTJvRG9jLnhtbFBLBQYA&#10;AAAABgAGAFkBAABQBQAAAAA=&#10;">
                <v:fill on="f" focussize="0,0"/>
                <v:stroke on="f"/>
                <v:imagedata o:title=""/>
                <o:lock v:ext="edit" aspectratio="f"/>
                <v:textbox>
                  <w:txbxContent>
                    <w:p>
                      <w:pPr>
                        <w:jc w:val="center"/>
                        <w:rPr>
                          <w:rFonts w:hint="eastAsia" w:ascii="黑体" w:hAnsi="黑体" w:eastAsia="黑体" w:cs="黑体"/>
                          <w:lang w:val="en-US" w:eastAsia="zh-CN"/>
                        </w:rPr>
                      </w:pPr>
                      <w:r>
                        <w:rPr>
                          <w:rFonts w:hint="eastAsia" w:ascii="黑体" w:hAnsi="黑体" w:eastAsia="黑体" w:cs="黑体"/>
                          <w:lang w:val="en-US" w:eastAsia="zh-CN"/>
                        </w:rPr>
                        <w:t>图4-1：废气处理示意图</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0528" behindDoc="0" locked="0" layoutInCell="1" allowOverlap="1">
                <wp:simplePos x="0" y="0"/>
                <wp:positionH relativeFrom="column">
                  <wp:posOffset>7320280</wp:posOffset>
                </wp:positionH>
                <wp:positionV relativeFrom="paragraph">
                  <wp:posOffset>285115</wp:posOffset>
                </wp:positionV>
                <wp:extent cx="895350" cy="450850"/>
                <wp:effectExtent l="0" t="0" r="0" b="0"/>
                <wp:wrapNone/>
                <wp:docPr id="61" name="矩形 1425"/>
                <wp:cNvGraphicFramePr/>
                <a:graphic xmlns:a="http://schemas.openxmlformats.org/drawingml/2006/main">
                  <a:graphicData uri="http://schemas.microsoft.com/office/word/2010/wordprocessingShape">
                    <wps:wsp>
                      <wps:cNvSpPr/>
                      <wps:spPr>
                        <a:xfrm>
                          <a:off x="8234680" y="4689475"/>
                          <a:ext cx="895350" cy="450850"/>
                        </a:xfrm>
                        <a:prstGeom prst="rect">
                          <a:avLst/>
                        </a:prstGeom>
                        <a:noFill/>
                        <a:ln>
                          <a:noFill/>
                        </a:ln>
                      </wps:spPr>
                      <wps:txbx>
                        <w:txbxContent>
                          <w:p>
                            <w:pPr>
                              <w:rPr>
                                <w:rFonts w:hint="default"/>
                                <w:lang w:val="en-US" w:eastAsia="zh-CN"/>
                              </w:rPr>
                            </w:pPr>
                          </w:p>
                        </w:txbxContent>
                      </wps:txbx>
                      <wps:bodyPr upright="1"/>
                    </wps:wsp>
                  </a:graphicData>
                </a:graphic>
              </wp:anchor>
            </w:drawing>
          </mc:Choice>
          <mc:Fallback>
            <w:pict>
              <v:rect id="矩形 1425" o:spid="_x0000_s1026" o:spt="1" style="position:absolute;left:0pt;margin-left:576.4pt;margin-top:22.45pt;height:35.5pt;width:70.5pt;z-index:251670528;mso-width-relative:page;mso-height-relative:page;" filled="f" stroked="f" coordsize="21600,21600" o:gfxdata="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W&#10;rWD12gAAAAwBAAAPAAAAAAAAAAEAIAAAACIAAABkcnMvZG93bnJldi54bWxQSwECFAAUAAAACACH&#10;TuJAlRxLvrABAABQAwAADgAAAAAAAAABACAAAAApAQAAZHJzL2Uyb0RvYy54bWxQSwUGAAAAAAYA&#10;BgBZAQAASwUAAAAA&#10;">
                <v:fill on="f" focussize="0,0"/>
                <v:stroke on="f"/>
                <v:imagedata o:title=""/>
                <o:lock v:ext="edit" aspectratio="f"/>
                <v:textbox>
                  <w:txbxContent>
                    <w:p>
                      <w:pPr>
                        <w:rPr>
                          <w:rFonts w:hint="default"/>
                          <w:lang w:val="en-US" w:eastAsia="zh-CN"/>
                        </w:rPr>
                      </w:pPr>
                    </w:p>
                  </w:txbxContent>
                </v:textbox>
              </v:rect>
            </w:pict>
          </mc:Fallback>
        </mc:AlternateConten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项目现场环保设施见图4-</w:t>
      </w:r>
      <w:r>
        <w:rPr>
          <w:rFonts w:hint="default" w:ascii="Times New Roman" w:hAnsi="Times New Roman" w:eastAsia="宋体" w:cs="Times New Roman"/>
          <w:color w:val="000000"/>
          <w:sz w:val="24"/>
          <w:szCs w:val="28"/>
          <w:lang w:val="en-US" w:eastAsia="zh-CN"/>
        </w:rPr>
        <w:t>2</w:t>
      </w:r>
      <w:r>
        <w:rPr>
          <w:rFonts w:hint="default" w:ascii="Times New Roman" w:hAnsi="Times New Roman" w:eastAsia="宋体" w:cs="Times New Roman"/>
          <w:color w:val="000000"/>
          <w:sz w:val="24"/>
          <w:szCs w:val="28"/>
        </w:rPr>
        <w:t>。</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8"/>
        <w:gridCol w:w="4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2715895" cy="2037080"/>
                  <wp:effectExtent l="0" t="0" r="8255" b="1270"/>
                  <wp:docPr id="24" name="图片 24" descr="ec5fe95af263bb0681f99be69b2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c5fe95af263bb0681f99be69b21213"/>
                          <pic:cNvPicPr>
                            <a:picLocks noChangeAspect="1"/>
                          </pic:cNvPicPr>
                        </pic:nvPicPr>
                        <pic:blipFill>
                          <a:blip r:embed="rId19"/>
                          <a:stretch>
                            <a:fillRect/>
                          </a:stretch>
                        </pic:blipFill>
                        <pic:spPr>
                          <a:xfrm>
                            <a:off x="0" y="0"/>
                            <a:ext cx="2715895" cy="2037080"/>
                          </a:xfrm>
                          <a:prstGeom prst="rect">
                            <a:avLst/>
                          </a:prstGeom>
                        </pic:spPr>
                      </pic:pic>
                    </a:graphicData>
                  </a:graphic>
                </wp:inline>
              </w:drawing>
            </w:r>
          </w:p>
        </w:tc>
        <w:tc>
          <w:tcPr>
            <w:tcW w:w="0" w:type="auto"/>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color w:val="000000"/>
                <w:sz w:val="24"/>
                <w:szCs w:val="28"/>
                <w:vertAlign w:val="baseline"/>
                <w:lang w:val="en-US" w:eastAsia="zh-CN"/>
              </w:rPr>
              <w:drawing>
                <wp:inline distT="0" distB="0" distL="114300" distR="114300">
                  <wp:extent cx="2715895" cy="2037080"/>
                  <wp:effectExtent l="0" t="0" r="8255" b="1270"/>
                  <wp:docPr id="20" name="图片 20" descr="5a55ef3c83079e2d3bec794f0b0b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a55ef3c83079e2d3bec794f0b0b556"/>
                          <pic:cNvPicPr>
                            <a:picLocks noChangeAspect="1"/>
                          </pic:cNvPicPr>
                        </pic:nvPicPr>
                        <pic:blipFill>
                          <a:blip r:embed="rId20"/>
                          <a:stretch>
                            <a:fillRect/>
                          </a:stretch>
                        </pic:blipFill>
                        <pic:spPr>
                          <a:xfrm>
                            <a:off x="0" y="0"/>
                            <a:ext cx="2715895" cy="2037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ind w:firstLine="420" w:firstLineChars="20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DA00</w:t>
            </w:r>
            <w:r>
              <w:rPr>
                <w:rFonts w:hint="eastAsia" w:ascii="Times New Roman" w:hAnsi="Times New Roman" w:eastAsia="宋体" w:cs="Times New Roman"/>
                <w:color w:val="000000"/>
                <w:sz w:val="21"/>
                <w:szCs w:val="21"/>
                <w:vertAlign w:val="baseline"/>
                <w:lang w:val="en-US" w:eastAsia="zh-CN"/>
              </w:rPr>
              <w:t>4</w:t>
            </w:r>
          </w:p>
        </w:tc>
        <w:tc>
          <w:tcPr>
            <w:tcW w:w="0" w:type="auto"/>
            <w:vAlign w:val="center"/>
          </w:tcPr>
          <w:p>
            <w:pPr>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DA005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0" w:type="auto"/>
            <w:vAlign w:val="center"/>
          </w:tcPr>
          <w:p>
            <w:pPr>
              <w:pStyle w:val="24"/>
              <w:jc w:val="center"/>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drawing>
                <wp:inline distT="0" distB="0" distL="114300" distR="114300">
                  <wp:extent cx="2715895" cy="2037080"/>
                  <wp:effectExtent l="0" t="0" r="8255" b="1270"/>
                  <wp:docPr id="18" name="图片 18" descr="b2f8179dbbbc83590b96425dec5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2f8179dbbbc83590b96425dec55414"/>
                          <pic:cNvPicPr>
                            <a:picLocks noChangeAspect="1"/>
                          </pic:cNvPicPr>
                        </pic:nvPicPr>
                        <pic:blipFill>
                          <a:blip r:embed="rId21"/>
                          <a:stretch>
                            <a:fillRect/>
                          </a:stretch>
                        </pic:blipFill>
                        <pic:spPr>
                          <a:xfrm>
                            <a:off x="0" y="0"/>
                            <a:ext cx="2715895" cy="2037080"/>
                          </a:xfrm>
                          <a:prstGeom prst="rect">
                            <a:avLst/>
                          </a:prstGeom>
                        </pic:spPr>
                      </pic:pic>
                    </a:graphicData>
                  </a:graphic>
                </wp:inline>
              </w:drawing>
            </w:r>
          </w:p>
        </w:tc>
        <w:tc>
          <w:tcPr>
            <w:tcW w:w="0" w:type="auto"/>
            <w:vAlign w:val="center"/>
          </w:tcPr>
          <w:p>
            <w:pPr>
              <w:pStyle w:val="24"/>
              <w:jc w:val="center"/>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drawing>
                <wp:inline distT="0" distB="0" distL="114300" distR="114300">
                  <wp:extent cx="2605405" cy="1953895"/>
                  <wp:effectExtent l="0" t="0" r="4445" b="8255"/>
                  <wp:docPr id="26" name="图片 26" descr="6d0250b884e6a54b8ae267e8364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d0250b884e6a54b8ae267e83642270"/>
                          <pic:cNvPicPr>
                            <a:picLocks noChangeAspect="1"/>
                          </pic:cNvPicPr>
                        </pic:nvPicPr>
                        <pic:blipFill>
                          <a:blip r:embed="rId22"/>
                          <a:stretch>
                            <a:fillRect/>
                          </a:stretch>
                        </pic:blipFill>
                        <pic:spPr>
                          <a:xfrm>
                            <a:off x="0" y="0"/>
                            <a:ext cx="2605405" cy="19538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0" w:type="auto"/>
            <w:vAlign w:val="center"/>
          </w:tcPr>
          <w:p>
            <w:pPr>
              <w:pStyle w:val="24"/>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DA00</w:t>
            </w:r>
            <w:r>
              <w:rPr>
                <w:rFonts w:hint="eastAsia" w:ascii="Times New Roman" w:eastAsia="宋体" w:cs="Times New Roman"/>
                <w:color w:val="000000"/>
                <w:sz w:val="21"/>
                <w:szCs w:val="21"/>
                <w:vertAlign w:val="baseline"/>
                <w:lang w:val="en-US" w:eastAsia="zh-CN"/>
              </w:rPr>
              <w:t>6</w:t>
            </w:r>
          </w:p>
        </w:tc>
        <w:tc>
          <w:tcPr>
            <w:tcW w:w="0" w:type="auto"/>
            <w:vAlign w:val="center"/>
          </w:tcPr>
          <w:p>
            <w:pPr>
              <w:pStyle w:val="24"/>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天然气空气直燃加热燃烧器</w:t>
            </w:r>
          </w:p>
        </w:tc>
      </w:tr>
    </w:tbl>
    <w:p>
      <w:pPr>
        <w:pStyle w:val="11"/>
        <w:spacing w:after="0" w:line="360" w:lineRule="auto"/>
        <w:ind w:left="0"/>
        <w:jc w:val="center"/>
        <w:rPr>
          <w:b/>
          <w:color w:val="000000" w:themeColor="text1"/>
          <w:sz w:val="22"/>
          <w:szCs w:val="24"/>
          <w14:textFill>
            <w14:solidFill>
              <w14:schemeClr w14:val="tx1"/>
            </w14:solidFill>
          </w14:textFill>
        </w:rPr>
      </w:pPr>
      <w:r>
        <w:rPr>
          <w:b/>
          <w:color w:val="000000" w:themeColor="text1"/>
          <w:sz w:val="22"/>
          <w:szCs w:val="24"/>
          <w14:textFill>
            <w14:solidFill>
              <w14:schemeClr w14:val="tx1"/>
            </w14:solidFill>
          </w14:textFill>
        </w:rPr>
        <w:t>图</w:t>
      </w:r>
      <w:r>
        <w:rPr>
          <w:rFonts w:hint="eastAsia"/>
          <w:b/>
          <w:color w:val="000000" w:themeColor="text1"/>
          <w:sz w:val="22"/>
          <w:szCs w:val="24"/>
          <w14:textFill>
            <w14:solidFill>
              <w14:schemeClr w14:val="tx1"/>
            </w14:solidFill>
          </w14:textFill>
        </w:rPr>
        <w:t>4-</w:t>
      </w:r>
      <w:r>
        <w:rPr>
          <w:rFonts w:hint="eastAsia"/>
          <w:b/>
          <w:color w:val="000000" w:themeColor="text1"/>
          <w:sz w:val="22"/>
          <w:szCs w:val="24"/>
          <w:lang w:val="en-US" w:eastAsia="zh-CN"/>
          <w14:textFill>
            <w14:solidFill>
              <w14:schemeClr w14:val="tx1"/>
            </w14:solidFill>
          </w14:textFill>
        </w:rPr>
        <w:t>2</w:t>
      </w:r>
      <w:r>
        <w:rPr>
          <w:b/>
          <w:color w:val="000000" w:themeColor="text1"/>
          <w:sz w:val="22"/>
          <w:szCs w:val="24"/>
          <w14:textFill>
            <w14:solidFill>
              <w14:schemeClr w14:val="tx1"/>
            </w14:solidFill>
          </w14:textFill>
        </w:rPr>
        <w:t xml:space="preserve">  </w:t>
      </w:r>
      <w:r>
        <w:rPr>
          <w:rFonts w:hint="eastAsia"/>
          <w:b/>
          <w:color w:val="000000" w:themeColor="text1"/>
          <w:sz w:val="22"/>
          <w:szCs w:val="24"/>
          <w14:textFill>
            <w14:solidFill>
              <w14:schemeClr w14:val="tx1"/>
            </w14:solidFill>
          </w14:textFill>
        </w:rPr>
        <w:t>现场环保设施图</w:t>
      </w:r>
    </w:p>
    <w:p>
      <w:pPr>
        <w:pStyle w:val="24"/>
        <w:jc w:val="both"/>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4.1.3噪声</w:t>
      </w:r>
    </w:p>
    <w:p>
      <w:pPr>
        <w:spacing w:line="360" w:lineRule="auto"/>
        <w:ind w:firstLine="480" w:firstLineChars="200"/>
        <w:rPr>
          <w:rFonts w:hint="default" w:ascii="Times New Roman" w:hAnsi="Times New Roman" w:eastAsia="宋体" w:cs="Times New Roman"/>
          <w:color w:val="000000"/>
          <w:sz w:val="24"/>
          <w:szCs w:val="28"/>
        </w:rPr>
      </w:pPr>
      <w:bookmarkStart w:id="32" w:name="_Toc502264707"/>
      <w:bookmarkStart w:id="33" w:name="_Toc502264587"/>
      <w:r>
        <w:rPr>
          <w:rFonts w:hint="default" w:ascii="Times New Roman" w:hAnsi="Times New Roman" w:eastAsia="宋体" w:cs="Times New Roman"/>
          <w:color w:val="000000"/>
          <w:sz w:val="24"/>
          <w:szCs w:val="28"/>
        </w:rPr>
        <w:t>该项目主要噪声为生产使用设备运转产生的噪声，设备噪声源强为9</w:t>
      </w:r>
      <w:r>
        <w:rPr>
          <w:rFonts w:hint="default" w:ascii="Times New Roman" w:hAnsi="Times New Roman" w:eastAsia="宋体" w:cs="Times New Roman"/>
          <w:color w:val="000000"/>
          <w:sz w:val="24"/>
          <w:szCs w:val="28"/>
          <w:lang w:val="en-US" w:eastAsia="zh-CN"/>
        </w:rPr>
        <w:t>0</w:t>
      </w:r>
      <w:r>
        <w:rPr>
          <w:rFonts w:hint="default" w:ascii="Times New Roman" w:hAnsi="Times New Roman" w:eastAsia="宋体" w:cs="Times New Roman"/>
          <w:color w:val="000000"/>
          <w:sz w:val="24"/>
          <w:szCs w:val="28"/>
        </w:rPr>
        <w:t>dB（A）以下。针对该项目产噪设备的特点采取选用低噪声设备，在合理布局的基础上，对车间生产设备噪声源采取选用高效、低噪声设备，室内安装、基础减震降噪等措施。</w:t>
      </w:r>
    </w:p>
    <w:bookmarkEnd w:id="32"/>
    <w:bookmarkEnd w:id="33"/>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4.1.4固（液）体废物</w:t>
      </w:r>
    </w:p>
    <w:p>
      <w:pPr>
        <w:autoSpaceDE w:val="0"/>
        <w:autoSpaceDN w:val="0"/>
        <w:adjustRightInd w:val="0"/>
        <w:spacing w:line="348" w:lineRule="auto"/>
        <w:ind w:firstLine="477" w:firstLineChars="199"/>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固体废物按照“资源化、减量化、无害化”的处置原则落实各类固体废物的收集、处理。该项目技改后不新增固废。</w:t>
      </w:r>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34" w:name="_Toc31438"/>
      <w:r>
        <w:rPr>
          <w:rFonts w:hint="default" w:ascii="Times New Roman" w:hAnsi="Times New Roman" w:eastAsia="宋体" w:cs="Times New Roman"/>
          <w:b/>
          <w:sz w:val="28"/>
          <w:szCs w:val="32"/>
        </w:rPr>
        <w:t>4.2其他环保设施</w:t>
      </w:r>
      <w:bookmarkEnd w:id="34"/>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4.2.1风险因素分析</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根据该项目特点，可能发生风险的因素主要为火灾风险，只要因某个因素，如电路问题、偶尔火星问题以及人为的故意行为或不经意行为都可导</w:t>
      </w:r>
      <w:r>
        <w:rPr>
          <w:rFonts w:hint="default" w:ascii="Times New Roman" w:hAnsi="Times New Roman" w:eastAsia="宋体" w:cs="Times New Roman"/>
          <w:sz w:val="24"/>
          <w:szCs w:val="28"/>
          <w:lang w:val="en-US" w:eastAsia="zh-CN"/>
        </w:rPr>
        <w:t>设备短路</w:t>
      </w:r>
      <w:r>
        <w:rPr>
          <w:rFonts w:hint="default" w:ascii="Times New Roman" w:hAnsi="Times New Roman" w:eastAsia="宋体" w:cs="Times New Roman"/>
          <w:sz w:val="24"/>
          <w:szCs w:val="28"/>
        </w:rPr>
        <w:t>燃烧。</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4.2.2风险防范措施</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1、加强公司设备管理，加强员工消防技能的培训。</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2、设立警示牌，严禁带火种进入车间。</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3、厂区设灭火器，消防器材要在保质期内使用，过期应及时更换。</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4、车间设安全通道，安全通道要时刻畅通，以保证发生意外时，人员疏通以及消防车辆进出畅通。</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4.2.3事故应急措施</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1、最早发现者，立即向生产科、办公室报警，并采取一切有效措施，切断事故源。</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2、办公室接到报警后，应迅速通知生产车间，要求查明火灾发生的部位(装置)和原因，同时，发出报警电话，通知指挥部成员及消防队和各专业救援队伍，迅速赶往事故现场。</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3、指挥部成员，迅速向上级主管部门、</w:t>
      </w:r>
      <w:r>
        <w:rPr>
          <w:rFonts w:hint="default" w:ascii="Times New Roman" w:hAnsi="Times New Roman" w:eastAsia="宋体" w:cs="Times New Roman"/>
          <w:sz w:val="24"/>
          <w:szCs w:val="28"/>
          <w:lang w:val="en-US" w:eastAsia="zh-CN"/>
        </w:rPr>
        <w:t>政府部门</w:t>
      </w:r>
      <w:r>
        <w:rPr>
          <w:rFonts w:hint="default" w:ascii="Times New Roman" w:hAnsi="Times New Roman" w:eastAsia="宋体" w:cs="Times New Roman"/>
          <w:sz w:val="24"/>
          <w:szCs w:val="28"/>
        </w:rPr>
        <w:t>、</w:t>
      </w:r>
      <w:r>
        <w:rPr>
          <w:rFonts w:hint="default" w:ascii="Times New Roman" w:hAnsi="Times New Roman" w:eastAsia="宋体" w:cs="Times New Roman"/>
          <w:sz w:val="24"/>
          <w:szCs w:val="28"/>
          <w:lang w:val="en-US" w:eastAsia="zh-CN"/>
        </w:rPr>
        <w:t>应急管理部门</w:t>
      </w:r>
      <w:r>
        <w:rPr>
          <w:rFonts w:hint="default" w:ascii="Times New Roman" w:hAnsi="Times New Roman" w:eastAsia="宋体" w:cs="Times New Roman"/>
          <w:sz w:val="24"/>
          <w:szCs w:val="28"/>
        </w:rPr>
        <w:t>、劳动环保等机关报告事故情况。</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4、生产车间主任迅速查明事故发生位置和原因，凡能通过灭火器等处理的，应向指挥部报告，并提出灭火的具体措施，同时，生产现场应切断电源，消除一切火源。</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5、消防队到达事故现场后，首先查明现场有无受伤人员，以最快速度将受伤者脱离现场，严重者尽快送到医院抢救。</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6、指挥部成员到达事故现场后，根据事故状态及危害程度，做出相应的应急决定，并命令各应急救援队，立即开展救援工作，如事故扩大时，应请求外界支援。</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7、办公室到达事故现场后，会同发生事故的车间主任、班长，在查明火灾部位和范围后，分析能否控制，必要时对现场人员进行撤离。</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8、保卫人员达到现场后，担负治安和交通指挥，在事故现场周围设岗，划分禁区，并巡逻检查，如有火种扩散危及公司内、外人员安全时，应迅速组织有关人员协助友邻单位、厂外过往行人，在办事处、市指挥部指挥协调下向安全地带疏散。</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9、医疗救护到达现场后与消防人员配合，应立即抢救伤员和中毒人员，并采取相应的急救措施，对伤员进行清洗、包扎，并把伤员送往医院抢救。</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10、抢险到达事故现场后，根据指挥部下达的抢修指令迅速进行设备抢修，控制事故扩大。</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通过采取上述措施，该项目能尽量避免油类燃烧对空气造成的环境影响，并能有效地降低环境风险发生的概率。</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4.2.4环境风险应急预案</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对于重大的风险(主要是火灾爆炸造成人员伤亡等)，制定应急响应方案，建立应急反应体系，当事件一旦发生时可迅速加以控制，使危害和损失降低到尽可能低的程度。</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作为事故风险防范和应急对策的重要组成部分，应急组织机构应制定应急计划，其基本内容包括应急组织、应急设施、应急通讯、应急监测、应急安全保卫、应急撤离措施、应急救援、应激状态终止</w:t>
      </w:r>
      <w:r>
        <w:rPr>
          <w:rFonts w:hint="default" w:ascii="Times New Roman" w:hAnsi="Times New Roman" w:eastAsia="宋体" w:cs="Times New Roman"/>
          <w:sz w:val="24"/>
          <w:szCs w:val="28"/>
          <w:lang w:val="en-US" w:eastAsia="zh-CN"/>
        </w:rPr>
        <w:t xml:space="preserve"> </w:t>
      </w:r>
      <w:r>
        <w:rPr>
          <w:rFonts w:hint="default" w:ascii="Times New Roman" w:hAnsi="Times New Roman" w:eastAsia="宋体" w:cs="Times New Roman"/>
          <w:sz w:val="24"/>
          <w:szCs w:val="28"/>
        </w:rPr>
        <w:t>、事故后果评价、应急报告等。根据导则的要求，该项目制定的相关环境保护应急预案内容摘要见下表4-1。</w:t>
      </w:r>
    </w:p>
    <w:p>
      <w:pPr>
        <w:pStyle w:val="11"/>
        <w:spacing w:after="0" w:line="360" w:lineRule="auto"/>
        <w:ind w:left="0"/>
        <w:jc w:val="center"/>
        <w:rPr>
          <w:rFonts w:hint="default" w:ascii="Times New Roman" w:hAnsi="Times New Roman" w:eastAsia="宋体" w:cs="Times New Roman"/>
          <w:b/>
          <w:sz w:val="22"/>
          <w:szCs w:val="24"/>
        </w:rPr>
      </w:pPr>
      <w:r>
        <w:rPr>
          <w:rFonts w:hint="default" w:ascii="Times New Roman" w:hAnsi="Times New Roman" w:eastAsia="宋体" w:cs="Times New Roman"/>
          <w:b/>
          <w:sz w:val="22"/>
          <w:szCs w:val="24"/>
        </w:rPr>
        <w:t>表4-1  环境风险的突发性事故应急预案</w:t>
      </w:r>
    </w:p>
    <w:tbl>
      <w:tblPr>
        <w:tblStyle w:val="30"/>
        <w:tblW w:w="883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72"/>
        <w:gridCol w:w="1524"/>
        <w:gridCol w:w="66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1524"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w:t>
            </w:r>
          </w:p>
        </w:tc>
        <w:tc>
          <w:tcPr>
            <w:tcW w:w="6640"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内容及要求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524"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应急计划区</w:t>
            </w:r>
          </w:p>
        </w:tc>
        <w:tc>
          <w:tcPr>
            <w:tcW w:w="6640"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主要危险源为</w:t>
            </w:r>
            <w:r>
              <w:rPr>
                <w:rFonts w:hint="default" w:ascii="Times New Roman" w:hAnsi="Times New Roman" w:eastAsia="宋体" w:cs="Times New Roman"/>
                <w:szCs w:val="21"/>
                <w:lang w:val="en-US" w:eastAsia="zh-CN"/>
              </w:rPr>
              <w:t>天然气管道、生产车间</w:t>
            </w:r>
            <w:r>
              <w:rPr>
                <w:rFonts w:hint="default" w:ascii="Times New Roman" w:hAnsi="Times New Roman" w:eastAsia="宋体" w:cs="Times New Roman"/>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524"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应急组织结构</w:t>
            </w:r>
          </w:p>
        </w:tc>
        <w:tc>
          <w:tcPr>
            <w:tcW w:w="6640"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厂区实施应急组织机构，主要负责人为应急计划、协调第一人，应急人员必须培训上岗熟练工。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524"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预案分级响应条件</w:t>
            </w:r>
          </w:p>
        </w:tc>
        <w:tc>
          <w:tcPr>
            <w:tcW w:w="6640"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根据事故的严重程度制定相应级别的应急预案，以及合适的处理措施。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1524"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报警、通讯方式</w:t>
            </w:r>
          </w:p>
        </w:tc>
        <w:tc>
          <w:tcPr>
            <w:tcW w:w="6640"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逐一细化应急状态下各主要负责单位的报警通讯方式、地点、电话号码以及相关配套的交通保障、管制、消防联络方法，涉及相关区域环境保护部门和上级环保部门保持联系，及时通报事故处理情况，以获得区域性支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1524"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应急环境监测</w:t>
            </w:r>
          </w:p>
        </w:tc>
        <w:tc>
          <w:tcPr>
            <w:tcW w:w="6640"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组织专业队伍负责对事故现场进行侦察监测，对事故性质、参数与后果进行评估，专为指挥部门提供决策依据。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1524"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抢险、救援控制措施</w:t>
            </w:r>
          </w:p>
        </w:tc>
        <w:tc>
          <w:tcPr>
            <w:tcW w:w="6640"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严格规定事故多发区、事故现场、邻近区域、控制防火区域设置控制和清除污染措施及相应设备的数量、使用方法、使用人员。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1524"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人员紧急撤离、疏散计划</w:t>
            </w:r>
          </w:p>
        </w:tc>
        <w:tc>
          <w:tcPr>
            <w:tcW w:w="6640"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事故现场、工厂邻近区、受事故影响的区域人员及公众对有毒有害物质应急剂量控制规定，制定紧急撤离组织计划和救护，医疗救护与公众健康。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1524"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事故应急救援关闭程序</w:t>
            </w:r>
          </w:p>
        </w:tc>
        <w:tc>
          <w:tcPr>
            <w:tcW w:w="6640"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制定相关应急状态终止程序，事故现场、受影响范围内的善后处理、恢复措施，邻近区域解除事故警戒及善后恢复措施。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1524"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事故恢复措施</w:t>
            </w:r>
          </w:p>
        </w:tc>
        <w:tc>
          <w:tcPr>
            <w:tcW w:w="6640"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制定有关的环境恢复措施(包括地表水体)，组织专业人员对事故后的环境变化进行监测，对事故应急措施的环境可行性进行后影响评价。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1524"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应急培训计划</w:t>
            </w:r>
          </w:p>
        </w:tc>
        <w:tc>
          <w:tcPr>
            <w:tcW w:w="6640"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定期安排有关人员进行培训与演练。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1524"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公众教育和信息</w:t>
            </w:r>
          </w:p>
        </w:tc>
        <w:tc>
          <w:tcPr>
            <w:tcW w:w="6640"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对工厂邻近地区展开公众教育、培训和发布有关消息。</w:t>
            </w:r>
          </w:p>
        </w:tc>
      </w:tr>
    </w:tbl>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根据《建设项目环境风险评价技术导则》(HJ169-2018)、《关于进一步加强环境影响评价管理防范环境风险的通知》(环发[2012]77号)，采取以上事故风险防范措施和应急预案情况下，项目对周围环境的风险影响在可接受的范围之内。</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本次评价建议项目建设单位成立安全环保管理小组，做好防火、防电等工作，并切实落实消防设施的配备工作。经上述措施处理后，该项目对周边环境影响可以接受。同时因项目周围无食品、医药等敏感企业，故该项目对周围环境的环境风险影响较小，在可接受范围之内。</w:t>
      </w:r>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35" w:name="_Toc29998"/>
      <w:r>
        <w:rPr>
          <w:rFonts w:hint="default" w:ascii="Times New Roman" w:hAnsi="Times New Roman" w:eastAsia="宋体" w:cs="Times New Roman"/>
          <w:b/>
          <w:sz w:val="28"/>
          <w:szCs w:val="32"/>
        </w:rPr>
        <w:t>4.3环保设施投资及“三同时”落实情况</w:t>
      </w:r>
      <w:bookmarkEnd w:id="35"/>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1、项目投资</w:t>
      </w:r>
    </w:p>
    <w:p>
      <w:pPr>
        <w:autoSpaceDE w:val="0"/>
        <w:autoSpaceDN w:val="0"/>
        <w:spacing w:line="360" w:lineRule="auto"/>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该工程</w:t>
      </w:r>
      <w:r>
        <w:rPr>
          <w:rFonts w:hint="default" w:ascii="Times New Roman" w:hAnsi="Times New Roman" w:eastAsia="宋体" w:cs="Times New Roman"/>
          <w:kern w:val="0"/>
          <w:sz w:val="24"/>
          <w:szCs w:val="24"/>
          <w:lang w:val="en-US" w:eastAsia="zh-CN"/>
        </w:rPr>
        <w:t>实际</w:t>
      </w:r>
      <w:r>
        <w:rPr>
          <w:rFonts w:hint="default" w:ascii="Times New Roman" w:hAnsi="Times New Roman" w:eastAsia="宋体" w:cs="Times New Roman"/>
          <w:kern w:val="0"/>
          <w:sz w:val="24"/>
          <w:szCs w:val="24"/>
        </w:rPr>
        <w:t>总</w:t>
      </w:r>
      <w:r>
        <w:rPr>
          <w:rFonts w:hint="default" w:ascii="Times New Roman" w:hAnsi="Times New Roman" w:eastAsia="宋体" w:cs="Times New Roman"/>
          <w:color w:val="000000"/>
          <w:kern w:val="0"/>
          <w:sz w:val="24"/>
          <w:szCs w:val="24"/>
        </w:rPr>
        <w:t>投资</w:t>
      </w:r>
      <w:r>
        <w:rPr>
          <w:rFonts w:hint="default" w:ascii="Times New Roman" w:hAnsi="Times New Roman" w:eastAsia="宋体" w:cs="Times New Roman"/>
          <w:color w:val="000000"/>
          <w:kern w:val="0"/>
          <w:sz w:val="24"/>
          <w:szCs w:val="24"/>
          <w:lang w:val="en-US" w:eastAsia="zh-CN"/>
        </w:rPr>
        <w:t>2000</w:t>
      </w:r>
      <w:r>
        <w:rPr>
          <w:rFonts w:hint="default" w:ascii="Times New Roman" w:hAnsi="Times New Roman" w:eastAsia="宋体" w:cs="Times New Roman"/>
          <w:color w:val="000000"/>
          <w:kern w:val="0"/>
          <w:sz w:val="24"/>
          <w:szCs w:val="24"/>
          <w:lang w:eastAsia="zh-CN"/>
        </w:rPr>
        <w:t>万</w:t>
      </w:r>
      <w:r>
        <w:rPr>
          <w:rFonts w:hint="default" w:ascii="Times New Roman" w:hAnsi="Times New Roman" w:eastAsia="宋体" w:cs="Times New Roman"/>
          <w:color w:val="000000"/>
          <w:kern w:val="0"/>
          <w:sz w:val="24"/>
          <w:szCs w:val="24"/>
        </w:rPr>
        <w:t>元，其中环保投资</w:t>
      </w:r>
      <w:r>
        <w:rPr>
          <w:rFonts w:hint="default" w:ascii="Times New Roman" w:hAnsi="Times New Roman" w:eastAsia="宋体" w:cs="Times New Roman"/>
          <w:color w:val="000000"/>
          <w:kern w:val="0"/>
          <w:sz w:val="24"/>
          <w:szCs w:val="24"/>
          <w:lang w:val="en-US" w:eastAsia="zh-CN"/>
        </w:rPr>
        <w:t>20</w:t>
      </w:r>
      <w:r>
        <w:rPr>
          <w:rFonts w:hint="eastAsia" w:ascii="Times New Roman" w:hAnsi="Times New Roman" w:eastAsia="宋体" w:cs="Times New Roman"/>
          <w:color w:val="000000"/>
          <w:kern w:val="0"/>
          <w:sz w:val="24"/>
          <w:szCs w:val="24"/>
          <w:lang w:val="en-US" w:eastAsia="zh-CN"/>
        </w:rPr>
        <w:t>0</w:t>
      </w:r>
      <w:r>
        <w:rPr>
          <w:rFonts w:hint="default" w:ascii="Times New Roman" w:hAnsi="Times New Roman" w:eastAsia="宋体" w:cs="Times New Roman"/>
          <w:color w:val="000000"/>
          <w:kern w:val="0"/>
          <w:sz w:val="24"/>
          <w:szCs w:val="24"/>
          <w:lang w:eastAsia="zh-CN"/>
        </w:rPr>
        <w:t>万</w:t>
      </w:r>
      <w:r>
        <w:rPr>
          <w:rFonts w:hint="default" w:ascii="Times New Roman" w:hAnsi="Times New Roman" w:eastAsia="宋体" w:cs="Times New Roman"/>
          <w:color w:val="000000"/>
          <w:kern w:val="0"/>
          <w:sz w:val="24"/>
          <w:szCs w:val="24"/>
        </w:rPr>
        <w:t>元，占</w:t>
      </w:r>
      <w:r>
        <w:rPr>
          <w:rFonts w:hint="default" w:ascii="Times New Roman" w:hAnsi="Times New Roman" w:eastAsia="宋体" w:cs="Times New Roman"/>
          <w:kern w:val="0"/>
          <w:sz w:val="24"/>
          <w:szCs w:val="24"/>
        </w:rPr>
        <w:t>总投资的</w:t>
      </w:r>
      <w:r>
        <w:rPr>
          <w:rFonts w:hint="default" w:ascii="Times New Roman" w:hAnsi="Times New Roman" w:eastAsia="宋体" w:cs="Times New Roman"/>
          <w:kern w:val="0"/>
          <w:sz w:val="24"/>
          <w:szCs w:val="24"/>
          <w:lang w:val="en-US" w:eastAsia="zh-CN"/>
        </w:rPr>
        <w:t>10</w:t>
      </w:r>
      <w:r>
        <w:rPr>
          <w:rFonts w:hint="default" w:ascii="Times New Roman" w:hAnsi="Times New Roman" w:eastAsia="宋体" w:cs="Times New Roman"/>
          <w:kern w:val="0"/>
          <w:sz w:val="24"/>
          <w:szCs w:val="24"/>
        </w:rPr>
        <w:t>%。该工程环保设施(措施)及投资估算情况见表</w:t>
      </w:r>
      <w:r>
        <w:rPr>
          <w:rFonts w:hint="default" w:ascii="Times New Roman" w:hAnsi="Times New Roman" w:eastAsia="宋体" w:cs="Times New Roman"/>
          <w:kern w:val="0"/>
          <w:sz w:val="24"/>
          <w:szCs w:val="24"/>
          <w:lang w:val="en-US" w:eastAsia="zh-CN"/>
        </w:rPr>
        <w:t>4-2</w:t>
      </w:r>
      <w:r>
        <w:rPr>
          <w:rFonts w:hint="default" w:ascii="Times New Roman" w:hAnsi="Times New Roman" w:eastAsia="宋体" w:cs="Times New Roman"/>
          <w:kern w:val="0"/>
          <w:sz w:val="24"/>
          <w:szCs w:val="24"/>
        </w:rPr>
        <w:t>。</w:t>
      </w:r>
    </w:p>
    <w:p>
      <w:pPr>
        <w:widowControl/>
        <w:adjustRightInd w:val="0"/>
        <w:snapToGrid w:val="0"/>
        <w:ind w:firstLine="422" w:firstLineChars="20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表</w:t>
      </w:r>
      <w:r>
        <w:rPr>
          <w:rFonts w:hint="default" w:ascii="Times New Roman" w:hAnsi="Times New Roman" w:eastAsia="宋体" w:cs="Times New Roman"/>
          <w:b/>
          <w:kern w:val="0"/>
          <w:szCs w:val="21"/>
          <w:lang w:val="en-US" w:eastAsia="zh-CN"/>
        </w:rPr>
        <w:t>4-2</w:t>
      </w:r>
      <w:r>
        <w:rPr>
          <w:rFonts w:hint="default" w:ascii="Times New Roman" w:hAnsi="Times New Roman" w:eastAsia="宋体" w:cs="Times New Roman"/>
          <w:b/>
          <w:kern w:val="0"/>
          <w:szCs w:val="21"/>
        </w:rPr>
        <w:t xml:space="preserve"> 环保投资估算表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652"/>
        <w:gridCol w:w="3412"/>
        <w:gridCol w:w="3094"/>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6"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652"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治理项目</w:t>
            </w:r>
          </w:p>
        </w:tc>
        <w:tc>
          <w:tcPr>
            <w:tcW w:w="6506"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治理方案</w:t>
            </w:r>
          </w:p>
        </w:tc>
        <w:tc>
          <w:tcPr>
            <w:tcW w:w="1082"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96"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w:t>
            </w:r>
          </w:p>
        </w:tc>
        <w:tc>
          <w:tcPr>
            <w:tcW w:w="652"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color w:val="auto"/>
                <w:lang w:eastAsia="zh-CN"/>
              </w:rPr>
              <w:t>废气治理</w:t>
            </w:r>
          </w:p>
        </w:tc>
        <w:tc>
          <w:tcPr>
            <w:tcW w:w="341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1号植脂末生产线天然气燃烧废气</w:t>
            </w:r>
          </w:p>
        </w:tc>
        <w:tc>
          <w:tcPr>
            <w:tcW w:w="3094"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低氮燃烧器</w:t>
            </w:r>
          </w:p>
        </w:tc>
        <w:tc>
          <w:tcPr>
            <w:tcW w:w="1082"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9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lang w:val="en-US" w:eastAsia="zh-CN"/>
              </w:rPr>
            </w:pPr>
          </w:p>
        </w:tc>
        <w:tc>
          <w:tcPr>
            <w:tcW w:w="65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lang w:eastAsia="zh-CN"/>
              </w:rPr>
            </w:pPr>
          </w:p>
        </w:tc>
        <w:tc>
          <w:tcPr>
            <w:tcW w:w="3412"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2"/>
                <w:lang w:val="en-US" w:eastAsia="zh-CN" w:bidi="ar-SA"/>
              </w:rPr>
              <w:t>2号植脂末生产线天然气燃烧废气</w:t>
            </w:r>
          </w:p>
        </w:tc>
        <w:tc>
          <w:tcPr>
            <w:tcW w:w="3094"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低氮燃烧器</w:t>
            </w:r>
          </w:p>
        </w:tc>
        <w:tc>
          <w:tcPr>
            <w:tcW w:w="108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rPr>
            </w:pPr>
          </w:p>
        </w:tc>
        <w:tc>
          <w:tcPr>
            <w:tcW w:w="65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rPr>
            </w:pPr>
          </w:p>
        </w:tc>
        <w:tc>
          <w:tcPr>
            <w:tcW w:w="3412"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kern w:val="2"/>
                <w:sz w:val="21"/>
                <w:szCs w:val="22"/>
                <w:lang w:val="en-US" w:eastAsia="zh-CN" w:bidi="ar-SA"/>
              </w:rPr>
              <w:t>3号植脂末生产线天然气燃烧废气</w:t>
            </w:r>
          </w:p>
        </w:tc>
        <w:tc>
          <w:tcPr>
            <w:tcW w:w="3094"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2"/>
                <w:lang w:val="en-US" w:eastAsia="zh-CN" w:bidi="ar-SA"/>
              </w:rPr>
              <w:t>低氮燃烧器</w:t>
            </w:r>
          </w:p>
        </w:tc>
        <w:tc>
          <w:tcPr>
            <w:tcW w:w="108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6"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2</w:t>
            </w:r>
          </w:p>
        </w:tc>
        <w:tc>
          <w:tcPr>
            <w:tcW w:w="7158" w:type="dxa"/>
            <w:gridSpan w:val="3"/>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合计</w:t>
            </w:r>
          </w:p>
        </w:tc>
        <w:tc>
          <w:tcPr>
            <w:tcW w:w="1082"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200</w:t>
            </w:r>
          </w:p>
        </w:tc>
      </w:tr>
    </w:tbl>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2、“三同时”落实情况</w:t>
      </w:r>
    </w:p>
    <w:p>
      <w:pPr>
        <w:pStyle w:val="11"/>
        <w:spacing w:after="0" w:line="360" w:lineRule="auto"/>
        <w:ind w:left="0" w:firstLine="480" w:firstLineChars="200"/>
        <w:rPr>
          <w:rFonts w:hint="default" w:ascii="Times New Roman" w:hAnsi="Times New Roman" w:eastAsia="宋体" w:cs="Times New Roman"/>
          <w:color w:val="000000"/>
          <w:sz w:val="24"/>
          <w:szCs w:val="28"/>
        </w:rPr>
      </w:pPr>
      <w:bookmarkStart w:id="36" w:name="_Toc502264597"/>
      <w:r>
        <w:rPr>
          <w:rFonts w:hint="default" w:ascii="Times New Roman" w:hAnsi="Times New Roman" w:eastAsia="宋体" w:cs="Times New Roman"/>
          <w:sz w:val="24"/>
          <w:szCs w:val="28"/>
        </w:rPr>
        <w:t>目前厂区已正常生产，配套环保处理装置均按初步设计</w:t>
      </w:r>
      <w:r>
        <w:rPr>
          <w:rFonts w:hint="default" w:ascii="Times New Roman" w:hAnsi="Times New Roman" w:eastAsia="宋体" w:cs="Times New Roman"/>
          <w:color w:val="000000"/>
          <w:sz w:val="24"/>
          <w:szCs w:val="28"/>
        </w:rPr>
        <w:t>情况安装并可以正常运行。各项目环保措施基本落实到位。</w:t>
      </w:r>
      <w:bookmarkEnd w:id="36"/>
    </w:p>
    <w:p>
      <w:pPr>
        <w:widowControl/>
        <w:adjustRightInd w:val="0"/>
        <w:snapToGrid w:val="0"/>
        <w:ind w:firstLine="422" w:firstLineChars="20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表4-3  环保“三同时”验收一览表</w:t>
      </w:r>
    </w:p>
    <w:tbl>
      <w:tblPr>
        <w:tblStyle w:val="3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39"/>
        <w:gridCol w:w="798"/>
        <w:gridCol w:w="2715"/>
        <w:gridCol w:w="2454"/>
        <w:gridCol w:w="22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8" w:hRule="atLeast"/>
          <w:jc w:val="center"/>
        </w:trPr>
        <w:tc>
          <w:tcPr>
            <w:tcW w:w="639" w:type="dxa"/>
            <w:vAlign w:val="center"/>
          </w:tcPr>
          <w:p>
            <w:pPr>
              <w:autoSpaceDE w:val="0"/>
              <w:autoSpaceDN w:val="0"/>
              <w:adjustRightIn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类别</w:t>
            </w:r>
          </w:p>
        </w:tc>
        <w:tc>
          <w:tcPr>
            <w:tcW w:w="798" w:type="dxa"/>
            <w:vAlign w:val="center"/>
          </w:tcPr>
          <w:p>
            <w:pPr>
              <w:autoSpaceDE w:val="0"/>
              <w:autoSpaceDN w:val="0"/>
              <w:adjustRightIn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项目</w:t>
            </w:r>
          </w:p>
        </w:tc>
        <w:tc>
          <w:tcPr>
            <w:tcW w:w="2715" w:type="dxa"/>
            <w:vAlign w:val="center"/>
          </w:tcPr>
          <w:p>
            <w:pPr>
              <w:autoSpaceDE w:val="0"/>
              <w:autoSpaceDN w:val="0"/>
              <w:adjustRightIn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主要设施/设备/措施</w:t>
            </w:r>
          </w:p>
        </w:tc>
        <w:tc>
          <w:tcPr>
            <w:tcW w:w="2454" w:type="dxa"/>
            <w:vAlign w:val="center"/>
          </w:tcPr>
          <w:p>
            <w:pPr>
              <w:autoSpaceDE w:val="0"/>
              <w:autoSpaceDN w:val="0"/>
              <w:adjustRightIn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验收指标</w:t>
            </w:r>
          </w:p>
        </w:tc>
        <w:tc>
          <w:tcPr>
            <w:tcW w:w="2230" w:type="dxa"/>
            <w:vAlign w:val="center"/>
          </w:tcPr>
          <w:p>
            <w:pPr>
              <w:autoSpaceDE w:val="0"/>
              <w:autoSpaceDN w:val="0"/>
              <w:adjustRightIn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验收标准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639" w:type="dxa"/>
            <w:vAlign w:val="center"/>
          </w:tcPr>
          <w:p>
            <w:pPr>
              <w:autoSpaceDE w:val="0"/>
              <w:autoSpaceDN w:val="0"/>
              <w:adjustRightIn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798" w:type="dxa"/>
            <w:vAlign w:val="center"/>
          </w:tcPr>
          <w:p>
            <w:pPr>
              <w:autoSpaceDE w:val="0"/>
              <w:autoSpaceDN w:val="0"/>
              <w:adjustRightIn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颗粒物</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lang w:val="en-US" w:eastAsia="zh-CN"/>
              </w:rPr>
              <w:t>SO</w:t>
            </w:r>
            <w:r>
              <w:rPr>
                <w:rFonts w:hint="default"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lang w:val="en-US" w:eastAsia="zh-CN"/>
              </w:rPr>
              <w:t>、NO</w:t>
            </w:r>
            <w:r>
              <w:rPr>
                <w:rFonts w:hint="default" w:ascii="Times New Roman" w:hAnsi="Times New Roman" w:eastAsia="宋体" w:cs="Times New Roman"/>
                <w:szCs w:val="21"/>
                <w:vertAlign w:val="subscript"/>
                <w:lang w:val="en-US" w:eastAsia="zh-CN"/>
              </w:rPr>
              <w:t>X</w:t>
            </w:r>
          </w:p>
        </w:tc>
        <w:tc>
          <w:tcPr>
            <w:tcW w:w="2715" w:type="dxa"/>
            <w:vAlign w:val="center"/>
          </w:tcPr>
          <w:p>
            <w:pPr>
              <w:autoSpaceDE w:val="0"/>
              <w:autoSpaceDN w:val="0"/>
              <w:adjustRightIn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三条植脂末生产线天然气空气自燃加热燃烧器均安装低氮燃烧器，1号植脂末生产线天然气然后废气经41m高排气筒DA00</w:t>
            </w:r>
            <w:r>
              <w:rPr>
                <w:rFonts w:hint="eastAsia" w:ascii="Times New Roman" w:hAnsi="Times New Roman" w:eastAsia="宋体" w:cs="Times New Roman"/>
                <w:szCs w:val="21"/>
                <w:lang w:val="en-US" w:eastAsia="zh-CN"/>
              </w:rPr>
              <w:t>4</w:t>
            </w:r>
            <w:r>
              <w:rPr>
                <w:rFonts w:hint="default" w:ascii="Times New Roman" w:hAnsi="Times New Roman" w:eastAsia="宋体" w:cs="Times New Roman"/>
                <w:szCs w:val="21"/>
                <w:lang w:val="en-US" w:eastAsia="zh-CN"/>
              </w:rPr>
              <w:t>排放；2号植脂末生产线天然气燃烧废气经38m高排气筒DA00</w:t>
            </w:r>
            <w:r>
              <w:rPr>
                <w:rFonts w:hint="eastAsia" w:ascii="Times New Roman" w:hAnsi="Times New Roman" w:eastAsia="宋体" w:cs="Times New Roman"/>
                <w:szCs w:val="21"/>
                <w:lang w:val="en-US" w:eastAsia="zh-CN"/>
              </w:rPr>
              <w:t>5</w:t>
            </w:r>
            <w:r>
              <w:rPr>
                <w:rFonts w:hint="default" w:ascii="Times New Roman" w:hAnsi="Times New Roman" w:eastAsia="宋体" w:cs="Times New Roman"/>
                <w:szCs w:val="21"/>
                <w:lang w:val="en-US" w:eastAsia="zh-CN"/>
              </w:rPr>
              <w:t>排放；3号植脂末生产线天然气燃烧废气经41m高排气筒DA00</w:t>
            </w:r>
            <w:r>
              <w:rPr>
                <w:rFonts w:hint="eastAsia" w:ascii="Times New Roman" w:hAnsi="Times New Roman" w:eastAsia="宋体" w:cs="Times New Roman"/>
                <w:szCs w:val="21"/>
                <w:lang w:val="en-US" w:eastAsia="zh-CN"/>
              </w:rPr>
              <w:t>6</w:t>
            </w:r>
            <w:r>
              <w:rPr>
                <w:rFonts w:hint="default" w:ascii="Times New Roman" w:hAnsi="Times New Roman" w:eastAsia="宋体" w:cs="Times New Roman"/>
                <w:szCs w:val="21"/>
                <w:lang w:val="en-US" w:eastAsia="zh-CN"/>
              </w:rPr>
              <w:t>排放。</w:t>
            </w:r>
          </w:p>
        </w:tc>
        <w:tc>
          <w:tcPr>
            <w:tcW w:w="2454" w:type="dxa"/>
            <w:vAlign w:val="center"/>
          </w:tcPr>
          <w:p>
            <w:pPr>
              <w:autoSpaceDE w:val="0"/>
              <w:autoSpaceDN w:val="0"/>
              <w:adjustRightInd w:val="0"/>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颗粒物、SO</w:t>
            </w:r>
            <w:r>
              <w:rPr>
                <w:rFonts w:hint="default"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vertAlign w:val="baseline"/>
                <w:lang w:val="en-US" w:eastAsia="zh-CN"/>
              </w:rPr>
              <w:t>、NO</w:t>
            </w:r>
            <w:r>
              <w:rPr>
                <w:rFonts w:hint="default" w:ascii="Times New Roman" w:hAnsi="Times New Roman" w:eastAsia="宋体" w:cs="Times New Roman"/>
                <w:szCs w:val="21"/>
                <w:vertAlign w:val="subscript"/>
                <w:lang w:val="en-US" w:eastAsia="zh-CN"/>
              </w:rPr>
              <w:t>X</w:t>
            </w:r>
            <w:r>
              <w:rPr>
                <w:rFonts w:hint="default" w:ascii="Times New Roman" w:hAnsi="Times New Roman" w:eastAsia="宋体" w:cs="Times New Roman"/>
                <w:szCs w:val="21"/>
                <w:vertAlign w:val="baseline"/>
                <w:lang w:val="en-US" w:eastAsia="zh-CN"/>
              </w:rPr>
              <w:t>排放须满足山东省《区域性大气污染物综合排放排放标准》（DB37/2376-2019）中表1中重点控制区限值要求，排放速率满足《大气污染物综合排放标准》（GB16297-1996）表2中二级标准要求。</w:t>
            </w:r>
          </w:p>
        </w:tc>
        <w:tc>
          <w:tcPr>
            <w:tcW w:w="2230" w:type="dxa"/>
            <w:vAlign w:val="center"/>
          </w:tcPr>
          <w:p>
            <w:pPr>
              <w:autoSpaceDE w:val="0"/>
              <w:autoSpaceDN w:val="0"/>
              <w:adjustRightInd w:val="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vertAlign w:val="baseline"/>
                <w:lang w:val="en-US" w:eastAsia="zh-CN"/>
              </w:rPr>
              <w:t>颗粒物、SO</w:t>
            </w:r>
            <w:r>
              <w:rPr>
                <w:rFonts w:hint="default"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vertAlign w:val="baseline"/>
                <w:lang w:val="en-US" w:eastAsia="zh-CN"/>
              </w:rPr>
              <w:t>、NO</w:t>
            </w:r>
            <w:r>
              <w:rPr>
                <w:rFonts w:hint="default" w:ascii="Times New Roman" w:hAnsi="Times New Roman" w:eastAsia="宋体" w:cs="Times New Roman"/>
                <w:szCs w:val="21"/>
                <w:vertAlign w:val="subscript"/>
                <w:lang w:val="en-US" w:eastAsia="zh-CN"/>
              </w:rPr>
              <w:t>X</w:t>
            </w:r>
            <w:r>
              <w:rPr>
                <w:rFonts w:hint="default" w:ascii="Times New Roman" w:hAnsi="Times New Roman" w:eastAsia="宋体" w:cs="Times New Roman"/>
                <w:szCs w:val="21"/>
                <w:vertAlign w:val="baseline"/>
                <w:lang w:val="en-US" w:eastAsia="zh-CN"/>
              </w:rPr>
              <w:t>排放须满足山东省《区域性大气污染物综合排放排放标准》（DB37/2376-2019）中表1中重点控制区限值要求，排放速率满足《大气污染物综合排放标准》（GB16297-1996）表2中二级标准要求。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jc w:val="center"/>
        </w:trPr>
        <w:tc>
          <w:tcPr>
            <w:tcW w:w="639" w:type="dxa"/>
            <w:vAlign w:val="center"/>
          </w:tcPr>
          <w:p>
            <w:pPr>
              <w:autoSpaceDE w:val="0"/>
              <w:autoSpaceDN w:val="0"/>
              <w:adjustRightIn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8197" w:type="dxa"/>
            <w:gridSpan w:val="4"/>
            <w:vAlign w:val="center"/>
          </w:tcPr>
          <w:p>
            <w:pPr>
              <w:autoSpaceDE w:val="0"/>
              <w:autoSpaceDN w:val="0"/>
              <w:adjustRightIn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本次技改不新增废水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23" w:hRule="atLeast"/>
          <w:jc w:val="center"/>
        </w:trPr>
        <w:tc>
          <w:tcPr>
            <w:tcW w:w="639" w:type="dxa"/>
            <w:vAlign w:val="center"/>
          </w:tcPr>
          <w:p>
            <w:pPr>
              <w:autoSpaceDE w:val="0"/>
              <w:autoSpaceDN w:val="0"/>
              <w:adjustRightIn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噪声</w:t>
            </w:r>
          </w:p>
        </w:tc>
        <w:tc>
          <w:tcPr>
            <w:tcW w:w="798" w:type="dxa"/>
            <w:vAlign w:val="center"/>
          </w:tcPr>
          <w:p>
            <w:pPr>
              <w:autoSpaceDE w:val="0"/>
              <w:autoSpaceDN w:val="0"/>
              <w:adjustRightIn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设备噪声</w:t>
            </w:r>
          </w:p>
        </w:tc>
        <w:tc>
          <w:tcPr>
            <w:tcW w:w="2715" w:type="dxa"/>
            <w:tcBorders>
              <w:bottom w:val="single" w:color="auto" w:sz="4" w:space="0"/>
            </w:tcBorders>
            <w:vAlign w:val="center"/>
          </w:tcPr>
          <w:p>
            <w:pPr>
              <w:autoSpaceDE w:val="0"/>
              <w:autoSpaceDN w:val="0"/>
              <w:adjustRightInd w:val="0"/>
              <w:jc w:val="center"/>
              <w:rPr>
                <w:rFonts w:hint="default" w:ascii="Times New Roman" w:hAnsi="Times New Roman" w:eastAsia="宋体" w:cs="Times New Roman"/>
                <w:szCs w:val="21"/>
              </w:rPr>
            </w:pPr>
            <w:r>
              <w:rPr>
                <w:rFonts w:hint="default" w:ascii="Times New Roman" w:hAnsi="Times New Roman" w:eastAsia="宋体" w:cs="Times New Roman"/>
                <w:szCs w:val="21"/>
              </w:rPr>
              <w:t>选用运行噪声低的设备，设备的底座安装减振器，振动设备定期润滑检修，保证正常运行，厂房隔声，再经过距离衰减</w:t>
            </w:r>
          </w:p>
        </w:tc>
        <w:tc>
          <w:tcPr>
            <w:tcW w:w="2454" w:type="dxa"/>
            <w:tcBorders>
              <w:bottom w:val="single" w:color="auto" w:sz="4" w:space="0"/>
            </w:tcBorders>
            <w:vAlign w:val="center"/>
          </w:tcPr>
          <w:p>
            <w:pPr>
              <w:autoSpaceDE w:val="0"/>
              <w:autoSpaceDN w:val="0"/>
              <w:adjustRightInd w:val="0"/>
              <w:jc w:val="center"/>
              <w:rPr>
                <w:rFonts w:hint="default" w:ascii="Times New Roman" w:hAnsi="Times New Roman" w:eastAsia="宋体" w:cs="Times New Roman"/>
                <w:szCs w:val="21"/>
              </w:rPr>
            </w:pPr>
            <w:r>
              <w:rPr>
                <w:rFonts w:hint="default" w:ascii="Times New Roman" w:hAnsi="Times New Roman" w:eastAsia="宋体" w:cs="Times New Roman"/>
                <w:szCs w:val="21"/>
              </w:rPr>
              <w:t>东、西、北、南厂界</w:t>
            </w:r>
          </w:p>
          <w:p>
            <w:pPr>
              <w:autoSpaceDE w:val="0"/>
              <w:autoSpaceDN w:val="0"/>
              <w:adjustRightIn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昼间：6</w:t>
            </w:r>
            <w:r>
              <w:rPr>
                <w:rFonts w:hint="default" w:ascii="Times New Roman" w:hAnsi="Times New Roman" w:eastAsia="宋体" w:cs="Times New Roman"/>
                <w:szCs w:val="21"/>
                <w:lang w:val="en-US" w:eastAsia="zh-CN"/>
              </w:rPr>
              <w:t>0</w:t>
            </w:r>
            <w:r>
              <w:rPr>
                <w:rFonts w:hint="default" w:ascii="Times New Roman" w:hAnsi="Times New Roman" w:eastAsia="宋体" w:cs="Times New Roman"/>
                <w:szCs w:val="21"/>
              </w:rPr>
              <w:t>dB(A)</w:t>
            </w:r>
          </w:p>
          <w:p>
            <w:pPr>
              <w:autoSpaceDE w:val="0"/>
              <w:autoSpaceDN w:val="0"/>
              <w:adjustRightInd w:val="0"/>
              <w:jc w:val="center"/>
              <w:rPr>
                <w:rFonts w:hint="default" w:ascii="Times New Roman" w:hAnsi="Times New Roman" w:eastAsia="宋体" w:cs="Times New Roman"/>
                <w:szCs w:val="21"/>
              </w:rPr>
            </w:pPr>
          </w:p>
        </w:tc>
        <w:tc>
          <w:tcPr>
            <w:tcW w:w="2230" w:type="dxa"/>
            <w:tcBorders>
              <w:bottom w:val="single" w:color="auto" w:sz="4" w:space="0"/>
            </w:tcBorders>
            <w:vAlign w:val="center"/>
          </w:tcPr>
          <w:p>
            <w:pPr>
              <w:autoSpaceDE w:val="0"/>
              <w:autoSpaceDN w:val="0"/>
              <w:adjustRightIn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《工业企业厂界环境噪声排放标准》（GB12348-2008）</w:t>
            </w:r>
          </w:p>
          <w:p>
            <w:pPr>
              <w:autoSpaceDE w:val="0"/>
              <w:autoSpaceDN w:val="0"/>
              <w:adjustRightInd w:val="0"/>
              <w:jc w:val="center"/>
              <w:rPr>
                <w:rFonts w:hint="default" w:ascii="Times New Roman" w:hAnsi="Times New Roman" w:eastAsia="宋体" w:cs="Times New Roman"/>
                <w:szCs w:val="21"/>
              </w:rPr>
            </w:pPr>
            <w:r>
              <w:rPr>
                <w:rFonts w:hint="default" w:ascii="Times New Roman" w:hAnsi="Times New Roman" w:eastAsia="宋体" w:cs="Times New Roman"/>
                <w:szCs w:val="21"/>
              </w:rPr>
              <w:t>中</w:t>
            </w:r>
            <w:r>
              <w:rPr>
                <w:rFonts w:hint="default" w:ascii="Times New Roman" w:hAnsi="Times New Roman" w:eastAsia="宋体" w:cs="Times New Roman"/>
                <w:szCs w:val="21"/>
                <w:lang w:val="en-US" w:eastAsia="zh-CN"/>
              </w:rPr>
              <w:t>2</w:t>
            </w:r>
            <w:r>
              <w:rPr>
                <w:rFonts w:hint="default" w:ascii="Times New Roman" w:hAnsi="Times New Roman" w:eastAsia="宋体" w:cs="Times New Roman"/>
                <w:szCs w:val="21"/>
              </w:rPr>
              <w:t>类标准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41" w:hRule="atLeast"/>
          <w:jc w:val="center"/>
        </w:trPr>
        <w:tc>
          <w:tcPr>
            <w:tcW w:w="639" w:type="dxa"/>
            <w:vAlign w:val="center"/>
          </w:tcPr>
          <w:p>
            <w:pPr>
              <w:autoSpaceDE w:val="0"/>
              <w:autoSpaceDN w:val="0"/>
              <w:adjustRightIn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固废</w:t>
            </w:r>
          </w:p>
        </w:tc>
        <w:tc>
          <w:tcPr>
            <w:tcW w:w="8197" w:type="dxa"/>
            <w:gridSpan w:val="4"/>
            <w:vAlign w:val="center"/>
          </w:tcPr>
          <w:p>
            <w:pPr>
              <w:autoSpaceDE w:val="0"/>
              <w:autoSpaceDN w:val="0"/>
              <w:adjustRightIn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本次技改项目不新增固废</w:t>
            </w:r>
          </w:p>
        </w:tc>
      </w:tr>
    </w:tbl>
    <w:p>
      <w:pPr>
        <w:pStyle w:val="11"/>
        <w:spacing w:after="0" w:line="360" w:lineRule="auto"/>
        <w:ind w:left="0"/>
        <w:jc w:val="center"/>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br w:type="page"/>
      </w:r>
    </w:p>
    <w:p>
      <w:pPr>
        <w:pStyle w:val="47"/>
        <w:spacing w:line="360" w:lineRule="auto"/>
        <w:ind w:left="-210" w:leftChars="-100" w:firstLine="0" w:firstLineChars="0"/>
        <w:jc w:val="center"/>
        <w:outlineLvl w:val="0"/>
        <w:rPr>
          <w:rFonts w:hint="default" w:ascii="Times New Roman" w:hAnsi="Times New Roman" w:eastAsia="宋体" w:cs="Times New Roman"/>
          <w:b/>
          <w:sz w:val="32"/>
          <w:szCs w:val="32"/>
        </w:rPr>
        <w:sectPr>
          <w:pgSz w:w="11906" w:h="16838"/>
          <w:pgMar w:top="1440" w:right="1698" w:bottom="1440" w:left="158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7"/>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37" w:name="_Toc8839"/>
      <w:r>
        <w:rPr>
          <w:rFonts w:hint="default" w:ascii="Times New Roman" w:hAnsi="Times New Roman" w:eastAsia="宋体" w:cs="Times New Roman"/>
          <w:b/>
          <w:sz w:val="32"/>
          <w:szCs w:val="32"/>
        </w:rPr>
        <w:t>5、建设项目环评报告表的主要结论与建议及审批部门审批决定</w:t>
      </w:r>
      <w:bookmarkEnd w:id="37"/>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38" w:name="_Toc8191"/>
      <w:r>
        <w:rPr>
          <w:rFonts w:hint="default" w:ascii="Times New Roman" w:hAnsi="Times New Roman" w:eastAsia="宋体" w:cs="Times New Roman"/>
          <w:b/>
          <w:sz w:val="28"/>
          <w:szCs w:val="32"/>
        </w:rPr>
        <w:t>5.1建设项目环评报告书表的主要结论与建议</w:t>
      </w:r>
      <w:bookmarkEnd w:id="38"/>
    </w:p>
    <w:p>
      <w:pPr>
        <w:spacing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一、结论</w:t>
      </w:r>
    </w:p>
    <w:p>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1.1项目概况</w:t>
      </w:r>
    </w:p>
    <w:p>
      <w:pPr>
        <w:spacing w:line="360" w:lineRule="auto"/>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山东大树达孚特膳食品有限公司位于菏泽市鲁西新区吕陵镇黄河路东段山东大树达孚特膳食品有限公司院内，项目总投资2000万元，环保投资20</w:t>
      </w:r>
      <w:r>
        <w:rPr>
          <w:rFonts w:hint="eastAsia" w:ascii="Times New Roman" w:hAnsi="Times New Roman" w:eastAsia="宋体" w:cs="Times New Roman"/>
          <w:color w:val="auto"/>
          <w:kern w:val="0"/>
          <w:sz w:val="24"/>
          <w:szCs w:val="22"/>
          <w:lang w:val="en-US" w:eastAsia="zh-CN" w:bidi="ar-SA"/>
        </w:rPr>
        <w:t>0</w:t>
      </w:r>
      <w:r>
        <w:rPr>
          <w:rFonts w:hint="default" w:ascii="Times New Roman" w:hAnsi="Times New Roman" w:eastAsia="宋体" w:cs="Times New Roman"/>
          <w:color w:val="auto"/>
          <w:kern w:val="0"/>
          <w:sz w:val="24"/>
          <w:szCs w:val="22"/>
          <w:lang w:val="en-US" w:eastAsia="zh-CN" w:bidi="ar-SA"/>
        </w:rPr>
        <w:t>万元，因产品升级，新增三台天然气空气自燃加热燃烧器为三条植脂末生产线提供热量，原供热方式不在使用。本次技改项目不新增劳动定员，实行3班制，每天8小时工作制度，全年生产300天。</w:t>
      </w:r>
    </w:p>
    <w:p>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1.2项目相符性分析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根据《产业结构调整指导目录》（2019年本），本项目不属于鼓励类、限制类和淘汰类，属于允许建设项目，符合国家产业政策要求。该项目已在山东省政务服务平台进行了备案，项目代码为：2305-371772-89-02-322711。因此，本项目符合国家及地方产业政策。</w:t>
      </w:r>
    </w:p>
    <w:p>
      <w:pPr>
        <w:pStyle w:val="26"/>
        <w:spacing w:before="0" w:beforeAutospacing="0" w:after="0" w:afterAutospacing="0" w:line="360" w:lineRule="auto"/>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1.</w:t>
      </w:r>
      <w:r>
        <w:rPr>
          <w:rFonts w:hint="default" w:ascii="Times New Roman" w:hAnsi="Times New Roman" w:eastAsia="宋体" w:cs="Times New Roman"/>
          <w:b/>
          <w:bCs/>
          <w:color w:val="auto"/>
          <w:lang w:val="en-US" w:eastAsia="zh-CN"/>
        </w:rPr>
        <w:t>3环境空气质量现状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项目所在区域环境空气基本能够满足《环境空气质量标准》（GB3095-2012）二级标准要求；根据菏泽市智慧平台发布的数据202</w:t>
      </w:r>
      <w:r>
        <w:rPr>
          <w:rFonts w:hint="eastAsia" w:ascii="Times New Roman" w:hAnsi="Times New Roman" w:eastAsia="宋体" w:cs="Times New Roman"/>
          <w:color w:val="auto"/>
          <w:kern w:val="0"/>
          <w:sz w:val="24"/>
          <w:szCs w:val="22"/>
          <w:lang w:val="en-US" w:eastAsia="zh-CN" w:bidi="ar-SA"/>
        </w:rPr>
        <w:t>3</w:t>
      </w:r>
      <w:r>
        <w:rPr>
          <w:rFonts w:hint="default" w:ascii="Times New Roman" w:hAnsi="Times New Roman" w:eastAsia="宋体" w:cs="Times New Roman"/>
          <w:color w:val="auto"/>
          <w:kern w:val="0"/>
          <w:sz w:val="24"/>
          <w:szCs w:val="22"/>
          <w:lang w:val="en-US" w:eastAsia="zh-CN" w:bidi="ar-SA"/>
        </w:rPr>
        <w:t>年吕陵镇监测数据。</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PM</w:t>
      </w:r>
      <w:r>
        <w:rPr>
          <w:rFonts w:hint="default" w:ascii="Times New Roman" w:hAnsi="Times New Roman" w:eastAsia="宋体" w:cs="Times New Roman"/>
          <w:sz w:val="24"/>
          <w:vertAlign w:val="subscript"/>
        </w:rPr>
        <w:t>2.5</w:t>
      </w:r>
      <w:r>
        <w:rPr>
          <w:rFonts w:hint="eastAsia" w:ascii="Times New Roman" w:hAnsi="Times New Roman" w:eastAsia="宋体" w:cs="Times New Roman"/>
          <w:sz w:val="24"/>
          <w:vertAlign w:val="baseline"/>
          <w:lang w:val="en-US" w:eastAsia="zh-CN"/>
        </w:rPr>
        <w:t>年</w:t>
      </w:r>
      <w:r>
        <w:rPr>
          <w:rFonts w:hint="default" w:ascii="Times New Roman" w:hAnsi="Times New Roman" w:eastAsia="宋体" w:cs="Times New Roman"/>
          <w:sz w:val="24"/>
        </w:rPr>
        <w:t>均值为</w:t>
      </w:r>
      <w:r>
        <w:rPr>
          <w:rFonts w:hint="default" w:ascii="Times New Roman" w:hAnsi="Times New Roman" w:eastAsia="宋体" w:cs="Times New Roman"/>
          <w:sz w:val="24"/>
          <w:lang w:val="en-US" w:eastAsia="zh-CN"/>
        </w:rPr>
        <w:t>4</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µg/m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，PM</w:t>
      </w:r>
      <w:r>
        <w:rPr>
          <w:rFonts w:hint="default" w:ascii="Times New Roman" w:hAnsi="Times New Roman" w:eastAsia="宋体" w:cs="Times New Roman"/>
          <w:sz w:val="24"/>
          <w:vertAlign w:val="subscript"/>
        </w:rPr>
        <w:t>10</w:t>
      </w:r>
      <w:r>
        <w:rPr>
          <w:rFonts w:hint="eastAsia" w:ascii="Times New Roman" w:hAnsi="Times New Roman" w:eastAsia="宋体" w:cs="Times New Roman"/>
          <w:sz w:val="24"/>
          <w:vertAlign w:val="baseline"/>
          <w:lang w:val="en-US" w:eastAsia="zh-CN"/>
        </w:rPr>
        <w:t>年</w:t>
      </w:r>
      <w:r>
        <w:rPr>
          <w:rFonts w:hint="default" w:ascii="Times New Roman" w:hAnsi="Times New Roman" w:eastAsia="宋体" w:cs="Times New Roman"/>
          <w:sz w:val="24"/>
        </w:rPr>
        <w:t>均值为</w:t>
      </w:r>
      <w:r>
        <w:rPr>
          <w:rFonts w:hint="eastAsia" w:ascii="Times New Roman" w:hAnsi="Times New Roman" w:eastAsia="宋体" w:cs="Times New Roman"/>
          <w:sz w:val="24"/>
          <w:lang w:val="en-US" w:eastAsia="zh-CN"/>
        </w:rPr>
        <w:t>85</w:t>
      </w:r>
      <w:r>
        <w:rPr>
          <w:rFonts w:hint="default" w:ascii="Times New Roman" w:hAnsi="Times New Roman" w:eastAsia="宋体" w:cs="Times New Roman"/>
          <w:sz w:val="24"/>
        </w:rPr>
        <w:t>µg/m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，O</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日最大8小时平均浓度为</w:t>
      </w:r>
      <w:r>
        <w:rPr>
          <w:rFonts w:hint="default" w:ascii="Times New Roman" w:hAnsi="Times New Roman" w:eastAsia="宋体" w:cs="Times New Roman"/>
          <w:sz w:val="24"/>
          <w:lang w:val="en-US" w:eastAsia="zh-CN"/>
        </w:rPr>
        <w:t>1</w:t>
      </w:r>
      <w:r>
        <w:rPr>
          <w:rFonts w:hint="eastAsia" w:ascii="Times New Roman" w:hAnsi="Times New Roman" w:eastAsia="宋体" w:cs="Times New Roman"/>
          <w:sz w:val="24"/>
          <w:lang w:val="en-US" w:eastAsia="zh-CN"/>
        </w:rPr>
        <w:t>76</w:t>
      </w:r>
      <w:r>
        <w:rPr>
          <w:rFonts w:hint="default" w:ascii="Times New Roman" w:hAnsi="Times New Roman" w:eastAsia="宋体" w:cs="Times New Roman"/>
          <w:sz w:val="24"/>
        </w:rPr>
        <w:t>µg/m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不能满足《环境空气质量标准》（GB3095-2012）二级标准要求。SO</w:t>
      </w:r>
      <w:r>
        <w:rPr>
          <w:rFonts w:hint="default" w:ascii="Times New Roman" w:hAnsi="Times New Roman" w:eastAsia="宋体" w:cs="Times New Roman"/>
          <w:sz w:val="24"/>
          <w:vertAlign w:val="subscript"/>
        </w:rPr>
        <w:t>2</w:t>
      </w:r>
      <w:r>
        <w:rPr>
          <w:rFonts w:hint="eastAsia" w:ascii="Times New Roman" w:hAnsi="Times New Roman" w:eastAsia="宋体" w:cs="Times New Roman"/>
          <w:sz w:val="24"/>
          <w:vertAlign w:val="baseline"/>
          <w:lang w:val="en-US" w:eastAsia="zh-CN"/>
        </w:rPr>
        <w:t>年均值</w:t>
      </w:r>
      <w:r>
        <w:rPr>
          <w:rFonts w:hint="default" w:ascii="Times New Roman" w:hAnsi="Times New Roman" w:eastAsia="宋体" w:cs="Times New Roman"/>
          <w:sz w:val="24"/>
        </w:rPr>
        <w:t>为</w:t>
      </w:r>
      <w:r>
        <w:rPr>
          <w:rFonts w:hint="default" w:ascii="Times New Roman" w:hAnsi="Times New Roman" w:eastAsia="宋体" w:cs="Times New Roman"/>
          <w:sz w:val="24"/>
          <w:lang w:val="en-US" w:eastAsia="zh-CN"/>
        </w:rPr>
        <w:t>9</w:t>
      </w:r>
      <w:r>
        <w:rPr>
          <w:rFonts w:hint="default" w:ascii="Times New Roman" w:hAnsi="Times New Roman" w:eastAsia="宋体" w:cs="Times New Roman"/>
          <w:sz w:val="24"/>
        </w:rPr>
        <w:t>µg/m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、NO</w:t>
      </w:r>
      <w:r>
        <w:rPr>
          <w:rFonts w:hint="default" w:ascii="Times New Roman" w:hAnsi="Times New Roman" w:eastAsia="宋体" w:cs="Times New Roman"/>
          <w:sz w:val="24"/>
          <w:vertAlign w:val="subscript"/>
        </w:rPr>
        <w:t>2</w:t>
      </w:r>
      <w:r>
        <w:rPr>
          <w:rFonts w:hint="eastAsia" w:ascii="Times New Roman" w:hAnsi="Times New Roman" w:eastAsia="宋体" w:cs="Times New Roman"/>
          <w:sz w:val="24"/>
          <w:vertAlign w:val="baseline"/>
          <w:lang w:val="en-US" w:eastAsia="zh-CN"/>
        </w:rPr>
        <w:t>年均值</w:t>
      </w:r>
      <w:r>
        <w:rPr>
          <w:rFonts w:hint="default" w:ascii="Times New Roman" w:hAnsi="Times New Roman" w:eastAsia="宋体" w:cs="Times New Roman"/>
          <w:sz w:val="24"/>
        </w:rPr>
        <w:t>3</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rPr>
        <w:t>µg/m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、CO24小时平均第95百分位数为</w:t>
      </w:r>
      <w:r>
        <w:rPr>
          <w:rFonts w:hint="default" w:ascii="Times New Roman" w:hAnsi="Times New Roman" w:eastAsia="宋体" w:cs="Times New Roman"/>
          <w:sz w:val="24"/>
          <w:lang w:val="en-US" w:eastAsia="zh-CN"/>
        </w:rPr>
        <w:t>1.</w:t>
      </w:r>
      <w:r>
        <w:rPr>
          <w:rFonts w:hint="eastAsia" w:ascii="Times New Roman" w:hAnsi="Times New Roman" w:eastAsia="宋体" w:cs="Times New Roman"/>
          <w:sz w:val="24"/>
          <w:lang w:val="en-US" w:eastAsia="zh-CN"/>
        </w:rPr>
        <w:t>2</w:t>
      </w:r>
      <w:r>
        <w:rPr>
          <w:rFonts w:hint="default" w:ascii="Times New Roman" w:hAnsi="Times New Roman" w:eastAsia="宋体" w:cs="Times New Roman"/>
          <w:sz w:val="24"/>
        </w:rPr>
        <w:t>mg/m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，可以满足《环境空气质量标准》（GB3095-2012）二级标准，本地区为不达标区。PM</w:t>
      </w:r>
      <w:r>
        <w:rPr>
          <w:rFonts w:hint="default" w:ascii="Times New Roman" w:hAnsi="Times New Roman" w:eastAsia="宋体" w:cs="Times New Roman"/>
          <w:sz w:val="24"/>
          <w:vertAlign w:val="subscript"/>
        </w:rPr>
        <w:t>2.5</w:t>
      </w:r>
      <w:r>
        <w:rPr>
          <w:rFonts w:hint="default" w:ascii="Times New Roman" w:hAnsi="Times New Roman" w:eastAsia="宋体" w:cs="Times New Roman"/>
          <w:sz w:val="24"/>
        </w:rPr>
        <w:t>、PM</w:t>
      </w:r>
      <w:r>
        <w:rPr>
          <w:rFonts w:hint="default" w:ascii="Times New Roman" w:hAnsi="Times New Roman" w:eastAsia="宋体" w:cs="Times New Roman"/>
          <w:sz w:val="24"/>
          <w:vertAlign w:val="subscript"/>
        </w:rPr>
        <w:t>10</w:t>
      </w:r>
      <w:r>
        <w:rPr>
          <w:rFonts w:hint="default" w:ascii="Times New Roman" w:hAnsi="Times New Roman" w:eastAsia="宋体" w:cs="Times New Roman"/>
          <w:sz w:val="24"/>
        </w:rPr>
        <w:t>超标原因为评价区地处北方地区、干旱少雨、风沙较大。</w:t>
      </w:r>
    </w:p>
    <w:p>
      <w:pPr>
        <w:pStyle w:val="29"/>
        <w:spacing w:after="0" w:line="360" w:lineRule="auto"/>
        <w:ind w:left="0" w:leftChars="0" w:firstLine="480"/>
        <w:rPr>
          <w:rFonts w:hint="default" w:ascii="Times New Roman" w:hAnsi="Times New Roman" w:eastAsia="宋体" w:cs="Times New Roman"/>
          <w:lang w:val="en-US" w:eastAsia="zh-CN"/>
        </w:rPr>
      </w:pPr>
      <w:r>
        <w:rPr>
          <w:rFonts w:hint="default" w:ascii="Times New Roman" w:hAnsi="Times New Roman" w:eastAsia="宋体" w:cs="Times New Roman"/>
          <w:sz w:val="24"/>
          <w:lang w:val="en-US" w:eastAsia="zh-CN"/>
        </w:rPr>
        <w:t>本项目为山东大树达孚特膳食品有限公司技改项目，由于生产需求原有管道蒸汽供热不能满足生产需求，先将管道蒸汽供热技改为天然气空气直燃加热燃烧器，空气直燃加热燃烧器安装了低氮燃烧器产生的污染物颗粒物、氮氧化物和二氧化硫达标排放。</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sz w:val="24"/>
        </w:rPr>
        <w:t>针对上述问题，菏泽市将采取</w:t>
      </w:r>
      <w:r>
        <w:rPr>
          <w:rFonts w:hint="default" w:ascii="Times New Roman" w:hAnsi="Times New Roman" w:eastAsia="宋体" w:cs="Times New Roman"/>
          <w:sz w:val="24"/>
          <w:shd w:val="clear" w:color="auto" w:fill="FFFFFF"/>
        </w:rPr>
        <w:t>加大“散乱污”企业取缔力度、推进冬季清洁采暖、调整能源结构、加强企业管理、强化城市管理、加强运输管理对行政区域内，新污染物进行污染物倍量替代计划等一系列措施，</w:t>
      </w:r>
      <w:r>
        <w:rPr>
          <w:rFonts w:hint="default" w:ascii="Times New Roman" w:hAnsi="Times New Roman" w:eastAsia="宋体" w:cs="Times New Roman"/>
          <w:sz w:val="24"/>
        </w:rPr>
        <w:t>环境空气质量状况能得到一定的改善，使区域内空气环境指标能够满足</w:t>
      </w:r>
      <w:r>
        <w:rPr>
          <w:rFonts w:hint="default" w:ascii="Times New Roman" w:hAnsi="Times New Roman" w:eastAsia="宋体" w:cs="Times New Roman"/>
          <w:sz w:val="24"/>
          <w:shd w:val="clear" w:color="auto" w:fill="FFFFFF"/>
        </w:rPr>
        <w:t>《环境空气质量标准》（GB3095-2012）二级标准要求。</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1.4环境影响分析</w:t>
      </w:r>
    </w:p>
    <w:p>
      <w:pPr>
        <w:pStyle w:val="28"/>
        <w:keepNext w:val="0"/>
        <w:keepLines w:val="0"/>
        <w:pageBreakBefore w:val="0"/>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1.4.1施工期影响分析</w:t>
      </w:r>
    </w:p>
    <w:p>
      <w:pPr>
        <w:pStyle w:val="24"/>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1.4.1.1水环境影响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施工期废水主要包括施工人员的生活污水，生活废水产生量较少，产生的生活废水经化粪池处理后进入厂内污水处理站处理，施工期产生的生活废水对环境影响的较小。</w:t>
      </w:r>
    </w:p>
    <w:p>
      <w:pPr>
        <w:pStyle w:val="24"/>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1.4.1.2大气环境影响</w:t>
      </w:r>
    </w:p>
    <w:p>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施工期的大气污染主要为施工扬尘，以及车辆和施工机械产生的废气。通过对施工场地、道路定期洒水进行洒水抑尘，易产生扬尘的物料及运输车辆进行篷布覆盖，避免大风天气施工等，可大大降低施工扬尘的环境影响；拟建项目施工作业周期短，施工过程中使用的机械较少，施工过程中尽量选用低能耗、低污染的施工机械和车辆，同时加强施工机械和车辆的管理，可大大减少施工机械产生的空气污染。</w:t>
      </w:r>
    </w:p>
    <w:p>
      <w:pPr>
        <w:pStyle w:val="24"/>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
          <w:sz w:val="24"/>
          <w:szCs w:val="22"/>
          <w:lang w:val="en-US" w:eastAsia="zh-CN" w:bidi="ar-SA"/>
        </w:rPr>
      </w:pPr>
      <w:r>
        <w:rPr>
          <w:rFonts w:hint="default" w:ascii="Times New Roman" w:hAnsi="Times New Roman" w:eastAsia="宋体" w:cs="Times New Roman"/>
          <w:b/>
          <w:bCs/>
          <w:color w:val="auto"/>
          <w:kern w:val="2"/>
          <w:sz w:val="24"/>
          <w:szCs w:val="22"/>
          <w:lang w:val="en-US" w:eastAsia="zh-CN" w:bidi="ar-SA"/>
        </w:rPr>
        <w:t>1.4.1.3噪声环境影响</w:t>
      </w:r>
    </w:p>
    <w:p>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 xml:space="preserve">施工机械及运输车辆等在运行过程中都会产生噪声，主要发生在小型打桩、混凝土搅拌、土方运载等过程中，噪声级约在 70~105dB(A)左右。通过采取合理安排施工时间，禁止在夜间进行高噪声施工作业;合理布局施工场地，避免在同一地点安排大量动力机械设备以免局部声级过高;施工设备的选型上尽量采用低噪声设备并对高噪声设备采取降噪措施:尽量减少人为噪声和运输噪声等措施，可大大减少噪声环境影响。   </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1.4.1.4固体废物环境影响</w:t>
      </w:r>
    </w:p>
    <w:p>
      <w:pPr>
        <w:pStyle w:val="28"/>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项目施工期间固体废物主要来源于施工建筑废弃物和施工人员的生活垃圾。施工剩余废物料，产生量较少，送指定城市建筑垃圾堆放场处理;施工人员生活垃圾要严格管理，集中收集后交环卫部门清理处置等措施，可大大减少固体废物的产生和排放。</w:t>
      </w:r>
    </w:p>
    <w:p>
      <w:pPr>
        <w:pStyle w:val="28"/>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1.4.2运营期对环境的影响</w:t>
      </w:r>
    </w:p>
    <w:p>
      <w:pPr>
        <w:pStyle w:val="24"/>
        <w:keepNext w:val="0"/>
        <w:keepLines w:val="0"/>
        <w:pageBreakBefore w:val="0"/>
        <w:widowControl w:val="0"/>
        <w:kinsoku/>
        <w:wordWrap/>
        <w:overflowPunct/>
        <w:topLinePunct w:val="0"/>
        <w:autoSpaceDE/>
        <w:autoSpaceDN/>
        <w:bidi w:val="0"/>
        <w:adjustRightInd/>
        <w:snapToGrid/>
        <w:spacing w:line="360" w:lineRule="auto"/>
        <w:ind w:firstLine="241" w:firstLineChars="1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bCs/>
          <w:color w:val="auto"/>
          <w:sz w:val="24"/>
          <w:lang w:val="en-US" w:eastAsia="zh-CN"/>
        </w:rPr>
        <w:t>1.4.2.1环境空气影响</w:t>
      </w:r>
    </w:p>
    <w:p>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项目生产过程中，三条植脂末生产线天然气空气直燃加热燃烧器均安装低氮燃烧器，1号植脂末生产线天然气燃烧废气经41m高排气筒DA00</w:t>
      </w:r>
      <w:r>
        <w:rPr>
          <w:rFonts w:hint="eastAsia" w:ascii="Times New Roman" w:eastAsia="宋体" w:cs="Times New Roman"/>
          <w:color w:val="auto"/>
          <w:kern w:val="0"/>
          <w:sz w:val="24"/>
          <w:szCs w:val="22"/>
          <w:lang w:val="en-US" w:eastAsia="zh-CN" w:bidi="ar-SA"/>
        </w:rPr>
        <w:t>4</w:t>
      </w:r>
      <w:r>
        <w:rPr>
          <w:rFonts w:hint="default" w:ascii="Times New Roman" w:hAnsi="Times New Roman" w:eastAsia="宋体" w:cs="Times New Roman"/>
          <w:color w:val="auto"/>
          <w:kern w:val="0"/>
          <w:sz w:val="24"/>
          <w:szCs w:val="22"/>
          <w:lang w:val="en-US" w:eastAsia="zh-CN" w:bidi="ar-SA"/>
        </w:rPr>
        <w:t>排放；2号植脂末生产线天燃气燃烧废气经38m高排气筒DA00</w:t>
      </w:r>
      <w:r>
        <w:rPr>
          <w:rFonts w:hint="eastAsia" w:ascii="Times New Roman" w:eastAsia="宋体" w:cs="Times New Roman"/>
          <w:color w:val="auto"/>
          <w:kern w:val="0"/>
          <w:sz w:val="24"/>
          <w:szCs w:val="22"/>
          <w:lang w:val="en-US" w:eastAsia="zh-CN" w:bidi="ar-SA"/>
        </w:rPr>
        <w:t>5</w:t>
      </w:r>
      <w:r>
        <w:rPr>
          <w:rFonts w:hint="default" w:ascii="Times New Roman" w:hAnsi="Times New Roman" w:eastAsia="宋体" w:cs="Times New Roman"/>
          <w:color w:val="auto"/>
          <w:kern w:val="0"/>
          <w:sz w:val="24"/>
          <w:szCs w:val="22"/>
          <w:lang w:val="en-US" w:eastAsia="zh-CN" w:bidi="ar-SA"/>
        </w:rPr>
        <w:t>排放；3号植脂末生产线天然气燃烧废气经41m高排气筒</w:t>
      </w:r>
      <w:r>
        <w:rPr>
          <w:rFonts w:hint="eastAsia" w:ascii="Times New Roman" w:eastAsia="宋体" w:cs="Times New Roman"/>
          <w:color w:val="auto"/>
          <w:kern w:val="0"/>
          <w:sz w:val="24"/>
          <w:szCs w:val="22"/>
          <w:lang w:val="en-US" w:eastAsia="zh-CN" w:bidi="ar-SA"/>
        </w:rPr>
        <w:t>DA006</w:t>
      </w:r>
      <w:r>
        <w:rPr>
          <w:rFonts w:hint="default" w:ascii="Times New Roman" w:hAnsi="Times New Roman" w:eastAsia="宋体" w:cs="Times New Roman"/>
          <w:color w:val="auto"/>
          <w:kern w:val="0"/>
          <w:sz w:val="24"/>
          <w:szCs w:val="22"/>
          <w:lang w:val="en-US" w:eastAsia="zh-CN" w:bidi="ar-SA"/>
        </w:rPr>
        <w:t>排放。颗粒物、SO</w:t>
      </w:r>
      <w:r>
        <w:rPr>
          <w:rFonts w:hint="default" w:ascii="Times New Roman" w:hAnsi="Times New Roman" w:eastAsia="宋体" w:cs="Times New Roman"/>
          <w:color w:val="auto"/>
          <w:kern w:val="0"/>
          <w:sz w:val="24"/>
          <w:szCs w:val="22"/>
          <w:vertAlign w:val="subscript"/>
          <w:lang w:val="en-US" w:eastAsia="zh-CN" w:bidi="ar-SA"/>
        </w:rPr>
        <w:t>2</w:t>
      </w:r>
      <w:r>
        <w:rPr>
          <w:rFonts w:hint="default" w:ascii="Times New Roman" w:hAnsi="Times New Roman" w:eastAsia="宋体" w:cs="Times New Roman"/>
          <w:color w:val="auto"/>
          <w:kern w:val="0"/>
          <w:sz w:val="24"/>
          <w:szCs w:val="22"/>
          <w:lang w:val="en-US" w:eastAsia="zh-CN" w:bidi="ar-SA"/>
        </w:rPr>
        <w:t>、NO</w:t>
      </w:r>
      <w:r>
        <w:rPr>
          <w:rFonts w:hint="default" w:ascii="Times New Roman" w:hAnsi="Times New Roman" w:eastAsia="宋体" w:cs="Times New Roman"/>
          <w:color w:val="auto"/>
          <w:kern w:val="0"/>
          <w:sz w:val="24"/>
          <w:szCs w:val="22"/>
          <w:vertAlign w:val="subscript"/>
          <w:lang w:val="en-US" w:eastAsia="zh-CN" w:bidi="ar-SA"/>
        </w:rPr>
        <w:t>X</w:t>
      </w:r>
      <w:r>
        <w:rPr>
          <w:rFonts w:hint="default" w:ascii="Times New Roman" w:hAnsi="Times New Roman" w:eastAsia="宋体" w:cs="Times New Roman"/>
          <w:color w:val="auto"/>
          <w:kern w:val="0"/>
          <w:sz w:val="24"/>
          <w:szCs w:val="22"/>
          <w:vertAlign w:val="baseline"/>
          <w:lang w:val="en-US" w:eastAsia="zh-CN" w:bidi="ar-SA"/>
        </w:rPr>
        <w:t>排放需满足山东省《区域性大气污染物综合排放标准》（BD37/2376-2019）中表1重点控制区限值要求（颗粒物10mg/m</w:t>
      </w:r>
      <w:r>
        <w:rPr>
          <w:rFonts w:hint="default" w:ascii="Times New Roman" w:hAnsi="Times New Roman" w:eastAsia="宋体" w:cs="Times New Roman"/>
          <w:color w:val="auto"/>
          <w:kern w:val="0"/>
          <w:sz w:val="24"/>
          <w:szCs w:val="22"/>
          <w:vertAlign w:val="superscript"/>
          <w:lang w:val="en-US" w:eastAsia="zh-CN" w:bidi="ar-SA"/>
        </w:rPr>
        <w:t>3</w:t>
      </w:r>
      <w:r>
        <w:rPr>
          <w:rFonts w:hint="default" w:ascii="Times New Roman" w:hAnsi="Times New Roman" w:eastAsia="宋体" w:cs="Times New Roman"/>
          <w:color w:val="auto"/>
          <w:kern w:val="0"/>
          <w:sz w:val="24"/>
          <w:szCs w:val="22"/>
          <w:vertAlign w:val="baseline"/>
          <w:lang w:val="en-US" w:eastAsia="zh-CN" w:bidi="ar-SA"/>
        </w:rPr>
        <w:t>、SO</w:t>
      </w:r>
      <w:r>
        <w:rPr>
          <w:rFonts w:hint="default" w:ascii="Times New Roman" w:hAnsi="Times New Roman" w:eastAsia="宋体" w:cs="Times New Roman"/>
          <w:color w:val="auto"/>
          <w:kern w:val="0"/>
          <w:sz w:val="24"/>
          <w:szCs w:val="22"/>
          <w:vertAlign w:val="subscript"/>
          <w:lang w:val="en-US" w:eastAsia="zh-CN" w:bidi="ar-SA"/>
        </w:rPr>
        <w:t>2</w:t>
      </w:r>
      <w:r>
        <w:rPr>
          <w:rFonts w:hint="default" w:ascii="Times New Roman" w:hAnsi="Times New Roman" w:eastAsia="宋体" w:cs="Times New Roman"/>
          <w:color w:val="auto"/>
          <w:kern w:val="0"/>
          <w:sz w:val="24"/>
          <w:szCs w:val="22"/>
          <w:vertAlign w:val="baseline"/>
          <w:lang w:val="en-US" w:eastAsia="zh-CN" w:bidi="ar-SA"/>
        </w:rPr>
        <w:t>50mg/m</w:t>
      </w:r>
      <w:r>
        <w:rPr>
          <w:rFonts w:hint="default" w:ascii="Times New Roman" w:hAnsi="Times New Roman" w:eastAsia="宋体" w:cs="Times New Roman"/>
          <w:color w:val="auto"/>
          <w:kern w:val="0"/>
          <w:sz w:val="24"/>
          <w:szCs w:val="22"/>
          <w:vertAlign w:val="superscript"/>
          <w:lang w:val="en-US" w:eastAsia="zh-CN" w:bidi="ar-SA"/>
        </w:rPr>
        <w:t>3</w:t>
      </w:r>
      <w:r>
        <w:rPr>
          <w:rFonts w:hint="default" w:ascii="Times New Roman" w:hAnsi="Times New Roman" w:eastAsia="宋体" w:cs="Times New Roman"/>
          <w:color w:val="auto"/>
          <w:kern w:val="0"/>
          <w:sz w:val="24"/>
          <w:szCs w:val="22"/>
          <w:vertAlign w:val="baseline"/>
          <w:lang w:val="en-US" w:eastAsia="zh-CN" w:bidi="ar-SA"/>
        </w:rPr>
        <w:t>、NO</w:t>
      </w:r>
      <w:r>
        <w:rPr>
          <w:rFonts w:hint="default" w:ascii="Times New Roman" w:hAnsi="Times New Roman" w:eastAsia="宋体" w:cs="Times New Roman"/>
          <w:color w:val="auto"/>
          <w:kern w:val="0"/>
          <w:sz w:val="24"/>
          <w:szCs w:val="22"/>
          <w:vertAlign w:val="subscript"/>
          <w:lang w:val="en-US" w:eastAsia="zh-CN" w:bidi="ar-SA"/>
        </w:rPr>
        <w:t>X</w:t>
      </w:r>
      <w:r>
        <w:rPr>
          <w:rFonts w:hint="default" w:ascii="Times New Roman" w:hAnsi="Times New Roman" w:eastAsia="宋体" w:cs="Times New Roman"/>
          <w:color w:val="auto"/>
          <w:kern w:val="0"/>
          <w:sz w:val="24"/>
          <w:szCs w:val="22"/>
          <w:vertAlign w:val="baseline"/>
          <w:lang w:val="en-US" w:eastAsia="zh-CN" w:bidi="ar-SA"/>
        </w:rPr>
        <w:t>100mg/m</w:t>
      </w:r>
      <w:r>
        <w:rPr>
          <w:rFonts w:hint="default" w:ascii="Times New Roman" w:hAnsi="Times New Roman" w:eastAsia="宋体" w:cs="Times New Roman"/>
          <w:color w:val="auto"/>
          <w:kern w:val="0"/>
          <w:sz w:val="24"/>
          <w:szCs w:val="22"/>
          <w:vertAlign w:val="superscript"/>
          <w:lang w:val="en-US" w:eastAsia="zh-CN" w:bidi="ar-SA"/>
        </w:rPr>
        <w:t>3</w:t>
      </w:r>
      <w:r>
        <w:rPr>
          <w:rFonts w:hint="default" w:ascii="Times New Roman" w:hAnsi="Times New Roman" w:eastAsia="宋体" w:cs="Times New Roman"/>
          <w:color w:val="auto"/>
          <w:kern w:val="0"/>
          <w:sz w:val="24"/>
          <w:szCs w:val="22"/>
          <w:vertAlign w:val="baseline"/>
          <w:lang w:val="en-US" w:eastAsia="zh-CN" w:bidi="ar-SA"/>
        </w:rPr>
        <w:t>），排放速率须满足《大气污染物综合排放标准》（GB16297-1996）表2中二级标准要求（颗粒物41.1kg/h（41m）、35.8kg/h（38m），SO</w:t>
      </w:r>
      <w:r>
        <w:rPr>
          <w:rFonts w:hint="default" w:ascii="Times New Roman" w:hAnsi="Times New Roman" w:eastAsia="宋体" w:cs="Times New Roman"/>
          <w:color w:val="auto"/>
          <w:kern w:val="0"/>
          <w:sz w:val="24"/>
          <w:szCs w:val="22"/>
          <w:vertAlign w:val="subscript"/>
          <w:lang w:val="en-US" w:eastAsia="zh-CN" w:bidi="ar-SA"/>
        </w:rPr>
        <w:t>2</w:t>
      </w:r>
      <w:r>
        <w:rPr>
          <w:rFonts w:hint="default" w:ascii="Times New Roman" w:hAnsi="Times New Roman" w:eastAsia="宋体" w:cs="Times New Roman"/>
          <w:color w:val="auto"/>
          <w:kern w:val="0"/>
          <w:sz w:val="24"/>
          <w:szCs w:val="22"/>
          <w:vertAlign w:val="baseline"/>
          <w:lang w:val="en-US" w:eastAsia="zh-CN" w:bidi="ar-SA"/>
        </w:rPr>
        <w:t>26.4kg/h（41m）、23kg/h（38m），</w:t>
      </w:r>
      <w:r>
        <w:rPr>
          <w:rFonts w:hint="default" w:ascii="Times New Roman" w:hAnsi="Times New Roman" w:eastAsia="宋体" w:cs="Times New Roman"/>
          <w:color w:val="auto"/>
          <w:kern w:val="0"/>
          <w:sz w:val="24"/>
          <w:szCs w:val="22"/>
          <w:lang w:val="en-US" w:eastAsia="zh-CN" w:bidi="ar-SA"/>
        </w:rPr>
        <w:t>NO</w:t>
      </w:r>
      <w:r>
        <w:rPr>
          <w:rFonts w:hint="default" w:ascii="Times New Roman" w:hAnsi="Times New Roman" w:eastAsia="宋体" w:cs="Times New Roman"/>
          <w:color w:val="auto"/>
          <w:kern w:val="0"/>
          <w:sz w:val="24"/>
          <w:szCs w:val="22"/>
          <w:vertAlign w:val="subscript"/>
          <w:lang w:val="en-US" w:eastAsia="zh-CN" w:bidi="ar-SA"/>
        </w:rPr>
        <w:t>X</w:t>
      </w:r>
      <w:r>
        <w:rPr>
          <w:rFonts w:hint="default" w:ascii="Times New Roman" w:hAnsi="Times New Roman" w:eastAsia="宋体" w:cs="Times New Roman"/>
          <w:color w:val="auto"/>
          <w:kern w:val="0"/>
          <w:sz w:val="24"/>
          <w:szCs w:val="22"/>
          <w:vertAlign w:val="baseline"/>
          <w:lang w:val="en-US" w:eastAsia="zh-CN" w:bidi="ar-SA"/>
        </w:rPr>
        <w:t>7.95kg/h（41m）、6.88kg/h（38m）。</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1.4.2.2水环境影响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本项目为技改项目，不新增工艺废水，不新增加劳动定员工，因此无生活污水产生。因此本项目无废水产生。</w:t>
      </w:r>
    </w:p>
    <w:p>
      <w:pPr>
        <w:pStyle w:val="24"/>
        <w:keepNext w:val="0"/>
        <w:keepLines w:val="0"/>
        <w:pageBreakBefore w:val="0"/>
        <w:widowControl w:val="0"/>
        <w:kinsoku/>
        <w:wordWrap/>
        <w:overflowPunct/>
        <w:topLinePunct w:val="0"/>
        <w:autoSpaceDE/>
        <w:autoSpaceDN/>
        <w:bidi w:val="0"/>
        <w:adjustRightInd/>
        <w:snapToGrid/>
        <w:spacing w:line="360" w:lineRule="auto"/>
        <w:ind w:firstLine="241" w:firstLineChars="10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1.4.2.3声环境影响</w:t>
      </w:r>
    </w:p>
    <w:p>
      <w:pPr>
        <w:pStyle w:val="28"/>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本项目噪声主要来源于燃烧机风机、泵等设备运转过程产生的噪声，噪声源强在80~85</w:t>
      </w:r>
      <w:r>
        <w:rPr>
          <w:rFonts w:hint="default" w:ascii="Times New Roman" w:hAnsi="Times New Roman" w:eastAsia="宋体" w:cs="Times New Roman"/>
          <w:color w:val="000000"/>
          <w:sz w:val="24"/>
        </w:rPr>
        <w:t>dB（A）之间</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设备设置减震基础、添加隔声装置；加强设备的日常保养和维护，避免在不良状态下运行，合理布局，将燃烧器布置在车间内，风机等高噪声源设备加隔声罩，并布置在远离厂区边界位置，加大噪声的距离衰减，采取以上措施后，噪声可减少30~35dB（A），</w:t>
      </w:r>
      <w:r>
        <w:rPr>
          <w:rFonts w:hint="default" w:ascii="Times New Roman" w:hAnsi="Times New Roman" w:eastAsia="宋体" w:cs="Times New Roman"/>
          <w:color w:val="auto"/>
          <w:kern w:val="0"/>
          <w:sz w:val="24"/>
          <w:szCs w:val="22"/>
          <w:lang w:val="en-US" w:eastAsia="zh-CN" w:bidi="ar-SA"/>
        </w:rPr>
        <w:t>满足《工业企业厂界环境噪声排放标准》(GB12348-2008)中规定的 2 类标准限值。对外界声环境影响很小。</w:t>
      </w:r>
    </w:p>
    <w:p>
      <w:pPr>
        <w:pStyle w:val="28"/>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1.4.2.4固废影响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本项目供热方式由热蒸汽管道技改为</w:t>
      </w:r>
      <w:r>
        <w:rPr>
          <w:rFonts w:hint="default" w:ascii="Times New Roman" w:hAnsi="Times New Roman" w:eastAsia="宋体" w:cs="Times New Roman"/>
          <w:kern w:val="0"/>
          <w:sz w:val="24"/>
          <w:lang w:val="en-US" w:eastAsia="zh-CN"/>
        </w:rPr>
        <w:t>天然气空气直燃加热燃烧器</w:t>
      </w:r>
      <w:r>
        <w:rPr>
          <w:rFonts w:hint="default" w:ascii="Times New Roman" w:hAnsi="Times New Roman" w:eastAsia="宋体" w:cs="Times New Roman"/>
          <w:sz w:val="24"/>
          <w:szCs w:val="24"/>
          <w:lang w:val="en-US" w:eastAsia="zh-CN"/>
        </w:rPr>
        <w:t>项目，不新增加劳动定员工，本次固废不新增新的固废。</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auto"/>
          <w:sz w:val="24"/>
          <w:highlight w:val="none"/>
          <w:lang w:val="en-US" w:eastAsia="zh-CN"/>
        </w:rPr>
        <w:t>综上所述：</w:t>
      </w:r>
      <w:r>
        <w:rPr>
          <w:rFonts w:hint="default" w:ascii="Times New Roman" w:hAnsi="Times New Roman" w:eastAsia="宋体" w:cs="Times New Roman"/>
          <w:color w:val="000000"/>
          <w:sz w:val="24"/>
        </w:rPr>
        <w:t>项目建设符合国家产业政策，项目选址和平面布置合理。本项目针对各种可能影响环境的环节，采取了预防措施，污染物能够实现达标排放。在充分做好本环评提出的防治污染的前提下，并在各项污染治理措施运行良好的状态下，对周围环境的影响可满足环境保护的要求，其环境安全是有保证的。从环境保护的角度分析，</w:t>
      </w:r>
      <w:r>
        <w:rPr>
          <w:rFonts w:hint="default" w:ascii="Times New Roman" w:hAnsi="Times New Roman" w:eastAsia="宋体" w:cs="Times New Roman"/>
          <w:color w:val="000000"/>
          <w:sz w:val="24"/>
          <w:lang w:eastAsia="zh-CN"/>
        </w:rPr>
        <w:t>山东大树达孚特膳食品有限公司</w:t>
      </w:r>
      <w:r>
        <w:rPr>
          <w:rFonts w:hint="default" w:ascii="Times New Roman" w:hAnsi="Times New Roman" w:eastAsia="宋体" w:cs="Times New Roman"/>
          <w:color w:val="000000"/>
          <w:sz w:val="24"/>
          <w:lang w:val="en-US" w:eastAsia="zh-CN"/>
        </w:rPr>
        <w:t>技改</w:t>
      </w:r>
      <w:r>
        <w:rPr>
          <w:rFonts w:hint="default" w:ascii="Times New Roman" w:hAnsi="Times New Roman" w:eastAsia="宋体" w:cs="Times New Roman"/>
          <w:color w:val="000000"/>
          <w:sz w:val="24"/>
        </w:rPr>
        <w:t>项目的建设是合理可行的。</w:t>
      </w:r>
    </w:p>
    <w:p>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2措施与建议</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1、确保废气处理设施正常运行，保证废气稳定达标排放。</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2、增强环境保护意识，加强管理，降低能耗、物耗，实行清洁生产。</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3、加强环境管理，落实环保措施，并保证其正常运行。</w:t>
      </w:r>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39" w:name="_Toc17983"/>
      <w:r>
        <w:rPr>
          <w:rFonts w:hint="default" w:ascii="Times New Roman" w:hAnsi="Times New Roman" w:eastAsia="宋体" w:cs="Times New Roman"/>
          <w:b/>
          <w:sz w:val="28"/>
          <w:szCs w:val="32"/>
        </w:rPr>
        <w:t>5.2审批部门审批决定</w:t>
      </w:r>
      <w:bookmarkEnd w:id="39"/>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 xml:space="preserve">该项目为技改项目，项目位于菏泽市鲁西新区吕陵镇黄河路东段山东大树达孚特膳食品有限公司内，项目总投资2000万元，其中环保投资200万元。因产品升级，新增三台天然气空气直燃加热燃烧器为三条植脂末生产线提供热量，原供热方式不再使用。项目已完成备案(2305-371772-89-02-322711)，符合产业政策。经审查，在落实该报告表提出的污染防治措施后，可满足污染物达标排放要求，从环保角度同意项目建设。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二、该项目在设计、建设和运营中，要全面落实环评报告表提出的污染防治措施和本批复要求。</w:t>
      </w:r>
    </w:p>
    <w:p>
      <w:pPr>
        <w:pStyle w:val="47"/>
        <w:spacing w:line="360" w:lineRule="auto"/>
        <w:ind w:left="269" w:leftChars="128" w:firstLine="480" w:firstLineChars="200"/>
        <w:jc w:val="both"/>
        <w:outlineLvl w:val="9"/>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1、厂区采取“雨污分流”原则，设计、建设给排水系统。该项目技改后不新增废水。地下水保护与污染防治按照“源头控制、分区防治、污染监控、应急响应”的原则，按照有关设计规范和技术规定，对化粪池、危废暂存间等采取严格防渗措施，防止污染地下水和土壤。</w:t>
      </w:r>
    </w:p>
    <w:p>
      <w:pPr>
        <w:pStyle w:val="47"/>
        <w:spacing w:line="360" w:lineRule="auto"/>
        <w:ind w:left="269" w:leftChars="128" w:firstLine="480" w:firstLineChars="200"/>
        <w:jc w:val="both"/>
        <w:outlineLvl w:val="9"/>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2、技改项目废气主要为1号、2号及3号植脂末生产线天然气燃烧废气。</w:t>
      </w:r>
    </w:p>
    <w:p>
      <w:pPr>
        <w:pStyle w:val="47"/>
        <w:spacing w:line="360" w:lineRule="auto"/>
        <w:ind w:left="269" w:leftChars="128" w:firstLine="480" w:firstLineChars="200"/>
        <w:jc w:val="both"/>
        <w:outlineLvl w:val="9"/>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三条植脂末生产线天然气空气直燃加热燃烧器均安装低氮燃烧器，1号植脂末生产线天然气燃烧废气经41m高排气筒DA001排放；2号植脂末生产线天然气燃烧废气经38m高排气筒DA002排放；3号植脂末生产线天然气燃烧废气经41m高排气筒DA003排放。颗粒物、SO</w:t>
      </w:r>
      <w:r>
        <w:rPr>
          <w:rFonts w:hint="default" w:ascii="Times New Roman" w:hAnsi="Times New Roman" w:eastAsia="宋体" w:cs="Times New Roman"/>
          <w:color w:val="auto"/>
          <w:kern w:val="2"/>
          <w:sz w:val="24"/>
          <w:szCs w:val="22"/>
          <w:highlight w:val="none"/>
          <w:vertAlign w:val="subscript"/>
          <w:lang w:val="en-US" w:eastAsia="zh-CN" w:bidi="ar-SA"/>
        </w:rPr>
        <w:t>2</w:t>
      </w:r>
      <w:r>
        <w:rPr>
          <w:rFonts w:hint="default" w:ascii="Times New Roman" w:hAnsi="Times New Roman" w:eastAsia="宋体" w:cs="Times New Roman"/>
          <w:color w:val="auto"/>
          <w:kern w:val="2"/>
          <w:sz w:val="24"/>
          <w:szCs w:val="22"/>
          <w:highlight w:val="none"/>
          <w:lang w:val="en-US" w:eastAsia="zh-CN" w:bidi="ar-SA"/>
        </w:rPr>
        <w:t>、NOx排放须满足山东省《区域性大气污染物综合排放标准》(DB37/2376-2019)中表1中重点控制区限值要求，排放速率须满足《大气污染物综合排放标准》(GB16297-1996)表2中二级标准要求。排气筒上设置规范的永久性测试孔、采样平台和排污口标志。</w:t>
      </w:r>
    </w:p>
    <w:p>
      <w:pPr>
        <w:pStyle w:val="47"/>
        <w:spacing w:line="360" w:lineRule="auto"/>
        <w:ind w:left="269" w:leftChars="128" w:firstLine="480" w:firstLineChars="200"/>
        <w:jc w:val="both"/>
        <w:outlineLvl w:val="9"/>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3、固体废物按照“资源化、减量化、无害化”的处置原则，落实各类固体废物的收集、处理。该项目技改后不新增固废。</w:t>
      </w:r>
    </w:p>
    <w:p>
      <w:pPr>
        <w:pStyle w:val="47"/>
        <w:spacing w:line="360" w:lineRule="auto"/>
        <w:ind w:left="269" w:leftChars="128" w:firstLine="480" w:firstLineChars="200"/>
        <w:jc w:val="both"/>
        <w:outlineLvl w:val="9"/>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4、项目运营期采用低噪声设备，采取设备减震、风机安装消音机、合理布局等措施，噪声须满足《工业企业厂界环境噪声排放标准》(GB12348-2008)2类标准要求。</w:t>
      </w:r>
    </w:p>
    <w:p>
      <w:pPr>
        <w:pStyle w:val="47"/>
        <w:spacing w:line="360" w:lineRule="auto"/>
        <w:ind w:left="269" w:leftChars="128" w:firstLine="480" w:firstLineChars="200"/>
        <w:jc w:val="both"/>
        <w:outlineLvl w:val="9"/>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5、报告表须按照《环境影响评价技术导则大气环境》(HJ2.2-2018)、《环境空气质量标准》(GB3095-2012)相关标准要求设置大气环境防护距离。</w:t>
      </w:r>
    </w:p>
    <w:p>
      <w:pPr>
        <w:pStyle w:val="47"/>
        <w:spacing w:line="360" w:lineRule="auto"/>
        <w:ind w:left="269" w:leftChars="128" w:firstLine="480" w:firstLineChars="200"/>
        <w:jc w:val="both"/>
        <w:outlineLvl w:val="9"/>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6、运行期需申请污染物排放总量的项目，须严格执行区域污染物排放总量控制要求，确保各类污染物排放总量控制在核定指标内。需申请排污许可证的项目，投产前须依法取得排污许可。</w:t>
      </w:r>
    </w:p>
    <w:p>
      <w:pPr>
        <w:pStyle w:val="47"/>
        <w:spacing w:line="360" w:lineRule="auto"/>
        <w:ind w:left="269" w:leftChars="128" w:firstLine="480" w:firstLineChars="200"/>
        <w:jc w:val="both"/>
        <w:outlineLvl w:val="9"/>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7、严格落实报告表提出的环境风险防范措施和应急预案要求落实各类污染物排放、噪声等监测计划。配备必要的应急设备，并定期演练，防止污染事故发生。</w:t>
      </w:r>
    </w:p>
    <w:p>
      <w:pPr>
        <w:pStyle w:val="47"/>
        <w:spacing w:line="360" w:lineRule="auto"/>
        <w:ind w:left="269" w:leftChars="128" w:firstLine="480" w:firstLineChars="200"/>
        <w:jc w:val="both"/>
        <w:outlineLvl w:val="9"/>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三、请菏泽市生态环境局高新区分局做好项目施工期和运营期环境保护措施落实情况的监督检查。</w:t>
      </w:r>
    </w:p>
    <w:p>
      <w:pPr>
        <w:pStyle w:val="47"/>
        <w:spacing w:line="360" w:lineRule="auto"/>
        <w:ind w:left="269" w:leftChars="128" w:firstLine="480" w:firstLineChars="200"/>
        <w:jc w:val="both"/>
        <w:outlineLvl w:val="9"/>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四、你单位须对环保设施和项目开展安全风险辨识管理，健全内部管理责任制度，严格依据标准规范建设环保设施和项目。</w:t>
      </w:r>
    </w:p>
    <w:p>
      <w:pPr>
        <w:pStyle w:val="47"/>
        <w:spacing w:line="360" w:lineRule="auto"/>
        <w:ind w:left="269" w:leftChars="128" w:firstLine="480" w:firstLineChars="200"/>
        <w:jc w:val="both"/>
        <w:outlineLvl w:val="9"/>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五、在工程施工和运营过程中，应建立畅通的公众参与平台，及时解决公众提出的环境问题，满足公众合理的环境保护要求，并主动接受社会监督。</w:t>
      </w:r>
    </w:p>
    <w:p>
      <w:pPr>
        <w:pStyle w:val="47"/>
        <w:spacing w:line="360" w:lineRule="auto"/>
        <w:ind w:left="269" w:leftChars="128" w:firstLine="480" w:firstLineChars="200"/>
        <w:jc w:val="both"/>
        <w:outlineLvl w:val="9"/>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六、你单位必须严格执行配套建设的环境保护设施与主体工程同时设计、同时施工、同时投入使用的“三同时”制度。项目竣工后，你单位须按程序申领排污许可证及进行竣工环境保护验收，经验收合格方可投产</w:t>
      </w:r>
    </w:p>
    <w:p>
      <w:pPr>
        <w:pStyle w:val="47"/>
        <w:spacing w:line="360" w:lineRule="auto"/>
        <w:ind w:left="269" w:leftChars="128" w:firstLine="480" w:firstLineChars="200"/>
        <w:jc w:val="both"/>
        <w:outlineLvl w:val="9"/>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七、严格执行生态环境部办公厅《关于印发污染影响类建设项目重大变动清单(试行)的通知》(环办环评函[2020]688号)规定，若该建设项目发生清单中所列重大变动的，应按照法律法规的规定，重新报批环评文件。该项目自批准之日起超过五年开工建设的，须重新向我局报批环境影响评价文件。国家和省、市有新规定的，从其规定。</w:t>
      </w:r>
    </w:p>
    <w:p>
      <w:pPr>
        <w:pStyle w:val="47"/>
        <w:spacing w:line="360" w:lineRule="auto"/>
        <w:ind w:left="269" w:leftChars="128" w:firstLine="480" w:firstLineChars="200"/>
        <w:jc w:val="both"/>
        <w:outlineLvl w:val="9"/>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八、你单位自收到本批复10日内，将批准后的环境影响报告表及本批复送至菏泽市生态环境局高新区分局，并按规定接受生态环境部门的监督检查。</w:t>
      </w: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40" w:name="_Toc10737"/>
      <w:r>
        <w:rPr>
          <w:rFonts w:hint="default" w:ascii="Times New Roman" w:hAnsi="Times New Roman" w:eastAsia="宋体" w:cs="Times New Roman"/>
          <w:b/>
          <w:sz w:val="32"/>
          <w:szCs w:val="32"/>
        </w:rPr>
        <w:t>6、验收执行标准</w:t>
      </w:r>
      <w:bookmarkEnd w:id="40"/>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受</w:t>
      </w:r>
      <w:r>
        <w:rPr>
          <w:rFonts w:hint="default" w:ascii="Times New Roman" w:hAnsi="Times New Roman" w:eastAsia="宋体" w:cs="Times New Roman"/>
          <w:color w:val="000000"/>
          <w:sz w:val="24"/>
          <w:szCs w:val="28"/>
          <w:lang w:eastAsia="zh-CN"/>
        </w:rPr>
        <w:t>山东大树达孚特膳食品有限公司</w:t>
      </w:r>
      <w:r>
        <w:rPr>
          <w:rFonts w:hint="default" w:ascii="Times New Roman" w:hAnsi="Times New Roman" w:eastAsia="宋体" w:cs="Times New Roman"/>
          <w:color w:val="000000"/>
          <w:sz w:val="24"/>
          <w:szCs w:val="28"/>
        </w:rPr>
        <w:t>委托，根据《关于</w:t>
      </w:r>
      <w:r>
        <w:rPr>
          <w:rFonts w:hint="default" w:ascii="Times New Roman" w:hAnsi="Times New Roman" w:eastAsia="宋体" w:cs="Times New Roman"/>
          <w:color w:val="000000"/>
          <w:sz w:val="24"/>
          <w:szCs w:val="28"/>
          <w:lang w:eastAsia="zh-CN"/>
        </w:rPr>
        <w:t>山东大树达孚特膳食品有限</w:t>
      </w:r>
      <w:r>
        <w:rPr>
          <w:rFonts w:hint="default" w:ascii="Times New Roman" w:hAnsi="Times New Roman" w:eastAsia="宋体" w:cs="Times New Roman"/>
          <w:color w:val="000000" w:themeColor="text1"/>
          <w:sz w:val="24"/>
          <w:szCs w:val="28"/>
          <w:lang w:eastAsia="zh-CN"/>
          <w14:textFill>
            <w14:solidFill>
              <w14:schemeClr w14:val="tx1"/>
            </w14:solidFill>
          </w14:textFill>
        </w:rPr>
        <w:t>公司供热方式技改项目</w:t>
      </w:r>
      <w:r>
        <w:rPr>
          <w:rFonts w:hint="default" w:ascii="Times New Roman" w:hAnsi="Times New Roman" w:eastAsia="宋体" w:cs="Times New Roman"/>
          <w:color w:val="000000" w:themeColor="text1"/>
          <w:sz w:val="24"/>
          <w:szCs w:val="28"/>
          <w14:textFill>
            <w14:solidFill>
              <w14:schemeClr w14:val="tx1"/>
            </w14:solidFill>
          </w14:textFill>
        </w:rPr>
        <w:t>环境影响报告表的批复》（</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定环审【2017】112号</w:t>
      </w:r>
      <w:r>
        <w:rPr>
          <w:rFonts w:hint="default" w:ascii="Times New Roman" w:hAnsi="Times New Roman" w:eastAsia="宋体" w:cs="Times New Roman"/>
          <w:color w:val="000000" w:themeColor="text1"/>
          <w:sz w:val="24"/>
          <w:szCs w:val="28"/>
          <w14:textFill>
            <w14:solidFill>
              <w14:schemeClr w14:val="tx1"/>
            </w14:solidFill>
          </w14:textFill>
        </w:rPr>
        <w:t>）的要求，</w:t>
      </w:r>
      <w:r>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t>山东汇成检测科技有限公司</w:t>
      </w:r>
      <w:r>
        <w:rPr>
          <w:rFonts w:hint="default" w:ascii="Times New Roman" w:hAnsi="Times New Roman" w:eastAsia="宋体" w:cs="Times New Roman"/>
          <w:color w:val="000000" w:themeColor="text1"/>
          <w:sz w:val="24"/>
          <w:szCs w:val="28"/>
          <w:highlight w:val="none"/>
          <w14:textFill>
            <w14:solidFill>
              <w14:schemeClr w14:val="tx1"/>
            </w14:solidFill>
          </w14:textFill>
        </w:rPr>
        <w:t>分别对该项目废气和厂界噪声进行现场监测，</w:t>
      </w:r>
      <w:r>
        <w:rPr>
          <w:rFonts w:hint="default" w:ascii="Times New Roman" w:hAnsi="Times New Roman" w:eastAsia="宋体" w:cs="Times New Roman"/>
          <w:color w:val="000000"/>
          <w:sz w:val="24"/>
          <w:szCs w:val="28"/>
        </w:rPr>
        <w:t>项目处于正常运行状态，环保设施运行正常。具体见表6-1。</w:t>
      </w:r>
    </w:p>
    <w:p>
      <w:pPr>
        <w:pStyle w:val="11"/>
        <w:spacing w:after="0" w:line="240" w:lineRule="auto"/>
        <w:ind w:left="0"/>
        <w:jc w:val="center"/>
        <w:rPr>
          <w:rFonts w:hint="default" w:ascii="Times New Roman" w:hAnsi="Times New Roman" w:eastAsia="宋体" w:cs="Times New Roman"/>
          <w:b/>
          <w:sz w:val="22"/>
          <w:szCs w:val="24"/>
        </w:rPr>
      </w:pPr>
      <w:r>
        <w:rPr>
          <w:rFonts w:hint="default" w:ascii="Times New Roman" w:hAnsi="Times New Roman" w:eastAsia="宋体" w:cs="Times New Roman"/>
          <w:b/>
          <w:sz w:val="22"/>
          <w:szCs w:val="24"/>
        </w:rPr>
        <w:t>表6-1  监测项目执行标准及限值</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078"/>
        <w:gridCol w:w="1027"/>
        <w:gridCol w:w="3671"/>
        <w:gridCol w:w="2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593"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监测类别</w:t>
            </w:r>
          </w:p>
        </w:tc>
        <w:tc>
          <w:tcPr>
            <w:tcW w:w="565"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监测项目</w:t>
            </w:r>
          </w:p>
        </w:tc>
        <w:tc>
          <w:tcPr>
            <w:tcW w:w="2019"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执行标准</w:t>
            </w:r>
          </w:p>
        </w:tc>
        <w:tc>
          <w:tcPr>
            <w:tcW w:w="1425"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vMerge w:val="restar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593" w:type="pct"/>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有组织废气</w:t>
            </w:r>
          </w:p>
        </w:tc>
        <w:tc>
          <w:tcPr>
            <w:tcW w:w="565" w:type="pct"/>
            <w:vMerge w:val="restar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颗粒物、SO2、NOX</w:t>
            </w:r>
          </w:p>
        </w:tc>
        <w:tc>
          <w:tcPr>
            <w:tcW w:w="2019" w:type="pct"/>
            <w:vMerge w:val="restar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山东省《区域性大气无污染物综合排放排放标准》（DB37/2376-2019）中表1重点控制区限值要求，排放速率须满足《大气污染物综合排放标准》（GB16297-1996）表2中二级标准要求</w:t>
            </w:r>
          </w:p>
        </w:tc>
        <w:tc>
          <w:tcPr>
            <w:tcW w:w="1425" w:type="pct"/>
            <w:vMerge w:val="restar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颗粒物10</w:t>
            </w: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lang w:val="en-US" w:eastAsia="zh-CN"/>
              </w:rPr>
              <w:t>41.1kg/h（41m）、35.8kg/h（38m），SO</w:t>
            </w:r>
            <w:r>
              <w:rPr>
                <w:rFonts w:hint="default"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lang w:val="en-US" w:eastAsia="zh-CN"/>
              </w:rPr>
              <w:t>50</w:t>
            </w: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lang w:val="en-US" w:eastAsia="zh-CN"/>
              </w:rPr>
              <w:t>26.4kg/h（41m）、23kg/h（38m）</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lang w:val="en-US" w:eastAsia="zh-CN"/>
              </w:rPr>
              <w:t>NOx100</w:t>
            </w: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lang w:val="en-US" w:eastAsia="zh-CN"/>
              </w:rPr>
              <w:t>7.95kg/h（41m）、6.88kg/h（38m）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vMerge w:val="continue"/>
            <w:vAlign w:val="center"/>
          </w:tcPr>
          <w:p>
            <w:pPr>
              <w:spacing w:line="300" w:lineRule="exact"/>
              <w:jc w:val="center"/>
              <w:rPr>
                <w:rFonts w:hint="default" w:ascii="Times New Roman" w:hAnsi="Times New Roman" w:eastAsia="宋体" w:cs="Times New Roman"/>
                <w:szCs w:val="21"/>
                <w:lang w:val="en-US" w:eastAsia="zh-CN"/>
              </w:rPr>
            </w:pPr>
          </w:p>
        </w:tc>
        <w:tc>
          <w:tcPr>
            <w:tcW w:w="593" w:type="pct"/>
            <w:vMerge w:val="continue"/>
            <w:vAlign w:val="center"/>
          </w:tcPr>
          <w:p>
            <w:pPr>
              <w:spacing w:line="300" w:lineRule="exact"/>
              <w:jc w:val="center"/>
              <w:rPr>
                <w:rFonts w:hint="default" w:ascii="Times New Roman" w:hAnsi="Times New Roman" w:eastAsia="宋体" w:cs="Times New Roman"/>
                <w:szCs w:val="21"/>
              </w:rPr>
            </w:pPr>
          </w:p>
        </w:tc>
        <w:tc>
          <w:tcPr>
            <w:tcW w:w="565" w:type="pct"/>
            <w:vMerge w:val="continue"/>
            <w:vAlign w:val="center"/>
          </w:tcPr>
          <w:p>
            <w:pPr>
              <w:spacing w:line="300" w:lineRule="exact"/>
              <w:jc w:val="center"/>
              <w:rPr>
                <w:rFonts w:hint="default" w:ascii="Times New Roman" w:hAnsi="Times New Roman" w:eastAsia="宋体" w:cs="Times New Roman"/>
                <w:szCs w:val="21"/>
              </w:rPr>
            </w:pPr>
          </w:p>
        </w:tc>
        <w:tc>
          <w:tcPr>
            <w:tcW w:w="2019" w:type="pct"/>
            <w:vMerge w:val="continue"/>
            <w:vAlign w:val="center"/>
          </w:tcPr>
          <w:p>
            <w:pPr>
              <w:tabs>
                <w:tab w:val="left" w:pos="296"/>
              </w:tabs>
              <w:spacing w:line="300" w:lineRule="exact"/>
              <w:jc w:val="left"/>
              <w:rPr>
                <w:rFonts w:hint="default" w:ascii="Times New Roman" w:hAnsi="Times New Roman" w:eastAsia="宋体" w:cs="Times New Roman"/>
                <w:szCs w:val="21"/>
                <w:lang w:val="en-US" w:eastAsia="zh-CN"/>
              </w:rPr>
            </w:pPr>
          </w:p>
        </w:tc>
        <w:tc>
          <w:tcPr>
            <w:tcW w:w="1425" w:type="pct"/>
            <w:vMerge w:val="continue"/>
            <w:vAlign w:val="center"/>
          </w:tcPr>
          <w:p>
            <w:pPr>
              <w:spacing w:line="300" w:lineRule="exact"/>
              <w:jc w:val="center"/>
              <w:rPr>
                <w:rFonts w:hint="default"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593" w:type="pc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厂界噪声</w:t>
            </w:r>
          </w:p>
        </w:tc>
        <w:tc>
          <w:tcPr>
            <w:tcW w:w="565" w:type="pc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LAeq</w:t>
            </w:r>
          </w:p>
        </w:tc>
        <w:tc>
          <w:tcPr>
            <w:tcW w:w="2019" w:type="pc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《工业企业厂界环境噪声排放标准》</w:t>
            </w:r>
            <w:r>
              <w:rPr>
                <w:rFonts w:hint="default" w:ascii="Times New Roman" w:hAnsi="Times New Roman" w:eastAsia="宋体" w:cs="Times New Roman"/>
                <w:szCs w:val="21"/>
                <w:lang w:val="en-US" w:eastAsia="zh-CN"/>
              </w:rPr>
              <w:t>2</w:t>
            </w:r>
            <w:r>
              <w:rPr>
                <w:rFonts w:hint="default" w:ascii="Times New Roman" w:hAnsi="Times New Roman" w:eastAsia="宋体" w:cs="Times New Roman"/>
                <w:szCs w:val="21"/>
              </w:rPr>
              <w:t>级标准</w:t>
            </w:r>
          </w:p>
        </w:tc>
        <w:tc>
          <w:tcPr>
            <w:tcW w:w="1425" w:type="pc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昼间：6</w:t>
            </w:r>
            <w:r>
              <w:rPr>
                <w:rFonts w:hint="default" w:ascii="Times New Roman" w:hAnsi="Times New Roman" w:eastAsia="宋体" w:cs="Times New Roman"/>
                <w:szCs w:val="21"/>
                <w:lang w:val="en-US" w:eastAsia="zh-CN"/>
              </w:rPr>
              <w:t>0</w:t>
            </w:r>
            <w:r>
              <w:rPr>
                <w:rFonts w:hint="default" w:ascii="Times New Roman" w:hAnsi="Times New Roman" w:eastAsia="宋体" w:cs="Times New Roman"/>
                <w:szCs w:val="21"/>
              </w:rPr>
              <w:t>dB</w:t>
            </w:r>
          </w:p>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夜间：5</w:t>
            </w:r>
            <w:r>
              <w:rPr>
                <w:rFonts w:hint="default" w:ascii="Times New Roman" w:hAnsi="Times New Roman" w:eastAsia="宋体" w:cs="Times New Roman"/>
                <w:szCs w:val="21"/>
                <w:lang w:val="en-US" w:eastAsia="zh-CN"/>
              </w:rPr>
              <w:t>0</w:t>
            </w:r>
            <w:r>
              <w:rPr>
                <w:rFonts w:hint="default" w:ascii="Times New Roman" w:hAnsi="Times New Roman" w:eastAsia="宋体" w:cs="Times New Roman"/>
                <w:szCs w:val="21"/>
              </w:rPr>
              <w:t>dB</w:t>
            </w:r>
          </w:p>
        </w:tc>
      </w:tr>
    </w:tbl>
    <w:p>
      <w:pPr>
        <w:widowControl/>
        <w:jc w:val="lef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br w:type="page"/>
      </w:r>
    </w:p>
    <w:p>
      <w:pPr>
        <w:pStyle w:val="47"/>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41" w:name="_Toc9269"/>
      <w:r>
        <w:rPr>
          <w:rFonts w:hint="default" w:ascii="Times New Roman" w:hAnsi="Times New Roman" w:eastAsia="宋体" w:cs="Times New Roman"/>
          <w:b/>
          <w:sz w:val="32"/>
          <w:szCs w:val="32"/>
        </w:rPr>
        <w:t>7、验收监测内容</w:t>
      </w:r>
      <w:bookmarkEnd w:id="41"/>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42" w:name="_Toc2895"/>
      <w:bookmarkStart w:id="43" w:name="_Toc15397"/>
      <w:r>
        <w:rPr>
          <w:rFonts w:hint="default" w:ascii="Times New Roman" w:hAnsi="Times New Roman" w:eastAsia="宋体" w:cs="Times New Roman"/>
          <w:b/>
          <w:sz w:val="28"/>
          <w:szCs w:val="32"/>
        </w:rPr>
        <w:t>7.1 环境保护设施调试效果</w:t>
      </w:r>
      <w:bookmarkEnd w:id="42"/>
      <w:bookmarkEnd w:id="43"/>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为核查该工程主要污染源和污染物及环保设施运转情况，确定本次验收主要监测内容为厂界噪声、有组织废气、无组织废气。</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7.1.1废气</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7.1.1.1有组织排放</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1、监测点位</w:t>
      </w:r>
    </w:p>
    <w:p>
      <w:pPr>
        <w:pStyle w:val="11"/>
        <w:spacing w:after="0" w:line="360" w:lineRule="auto"/>
        <w:ind w:left="0" w:firstLine="480" w:firstLineChars="200"/>
        <w:rPr>
          <w:rFonts w:hint="default" w:ascii="Times New Roman" w:hAnsi="Times New Roman" w:eastAsia="宋体" w:cs="Times New Roman"/>
          <w:color w:val="000000"/>
          <w:sz w:val="24"/>
          <w:szCs w:val="28"/>
        </w:rPr>
      </w:pPr>
      <w:bookmarkStart w:id="44" w:name="_Toc27679"/>
      <w:bookmarkStart w:id="45" w:name="_Toc4253"/>
      <w:r>
        <w:rPr>
          <w:rFonts w:hint="default" w:ascii="Times New Roman" w:hAnsi="Times New Roman" w:eastAsia="宋体" w:cs="Times New Roman"/>
          <w:color w:val="000000"/>
          <w:sz w:val="24"/>
          <w:szCs w:val="28"/>
        </w:rPr>
        <w:t>监测点位：根据项目生产情况及环保设施设置情况，在废气</w:t>
      </w:r>
      <w:r>
        <w:rPr>
          <w:rFonts w:hint="default" w:ascii="Times New Roman" w:hAnsi="Times New Roman" w:eastAsia="宋体" w:cs="Times New Roman"/>
          <w:color w:val="000000"/>
          <w:sz w:val="24"/>
          <w:szCs w:val="28"/>
          <w:lang w:val="en-US" w:eastAsia="zh-CN"/>
        </w:rPr>
        <w:t>排气筒</w:t>
      </w:r>
      <w:r>
        <w:rPr>
          <w:rFonts w:hint="default" w:ascii="Times New Roman" w:hAnsi="Times New Roman" w:eastAsia="宋体" w:cs="Times New Roman"/>
          <w:color w:val="000000"/>
          <w:sz w:val="24"/>
          <w:szCs w:val="28"/>
        </w:rPr>
        <w:t>处设置监测点位。</w:t>
      </w:r>
      <w:bookmarkEnd w:id="44"/>
      <w:bookmarkEnd w:id="45"/>
    </w:p>
    <w:p>
      <w:pPr>
        <w:pStyle w:val="11"/>
        <w:spacing w:after="0" w:line="360" w:lineRule="auto"/>
        <w:ind w:left="0"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rPr>
        <w:t>2、</w:t>
      </w:r>
      <w:r>
        <w:rPr>
          <w:rFonts w:hint="default" w:ascii="Times New Roman" w:hAnsi="Times New Roman" w:eastAsia="宋体" w:cs="Times New Roman"/>
          <w:color w:val="000000"/>
          <w:sz w:val="24"/>
          <w:szCs w:val="28"/>
          <w:lang w:val="en-US" w:eastAsia="zh-CN"/>
        </w:rPr>
        <w:t>监测方法/依据、监测仪器</w:t>
      </w:r>
    </w:p>
    <w:p>
      <w:pPr>
        <w:pStyle w:val="11"/>
        <w:spacing w:after="0" w:line="360" w:lineRule="auto"/>
        <w:ind w:left="0"/>
        <w:jc w:val="center"/>
        <w:rPr>
          <w:rFonts w:hint="default" w:ascii="Times New Roman" w:hAnsi="Times New Roman" w:eastAsia="宋体" w:cs="Times New Roman"/>
          <w:b/>
          <w:sz w:val="22"/>
          <w:szCs w:val="24"/>
          <w:lang w:val="en-US" w:eastAsia="zh-CN"/>
        </w:rPr>
      </w:pPr>
      <w:r>
        <w:rPr>
          <w:rFonts w:hint="default" w:ascii="Times New Roman" w:hAnsi="Times New Roman" w:eastAsia="宋体" w:cs="Times New Roman"/>
          <w:b/>
          <w:sz w:val="22"/>
          <w:szCs w:val="24"/>
        </w:rPr>
        <w:t>表7-1</w:t>
      </w:r>
      <w:r>
        <w:rPr>
          <w:rFonts w:hint="eastAsia" w:ascii="Times New Roman" w:hAnsi="Times New Roman" w:eastAsia="宋体" w:cs="Times New Roman"/>
          <w:b/>
          <w:sz w:val="22"/>
          <w:szCs w:val="24"/>
          <w:lang w:val="en-US" w:eastAsia="zh-CN"/>
        </w:rPr>
        <w:t>.1</w:t>
      </w:r>
      <w:r>
        <w:rPr>
          <w:rFonts w:hint="default" w:ascii="Times New Roman" w:hAnsi="Times New Roman" w:eastAsia="宋体" w:cs="Times New Roman"/>
          <w:b/>
          <w:sz w:val="22"/>
          <w:szCs w:val="24"/>
        </w:rPr>
        <w:t xml:space="preserve">  </w:t>
      </w:r>
      <w:r>
        <w:rPr>
          <w:rFonts w:hint="default" w:ascii="Times New Roman" w:hAnsi="Times New Roman" w:eastAsia="宋体" w:cs="Times New Roman"/>
          <w:b/>
          <w:sz w:val="22"/>
          <w:szCs w:val="24"/>
          <w:lang w:val="en-US" w:eastAsia="zh-CN"/>
        </w:rPr>
        <w:t>监测项目方法一览表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102"/>
        <w:gridCol w:w="1362"/>
        <w:gridCol w:w="4826"/>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64"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605" w:type="pct"/>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检测项目</w:t>
            </w:r>
          </w:p>
        </w:tc>
        <w:tc>
          <w:tcPr>
            <w:tcW w:w="749" w:type="pct"/>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标准代号</w:t>
            </w:r>
          </w:p>
        </w:tc>
        <w:tc>
          <w:tcPr>
            <w:tcW w:w="2654" w:type="pct"/>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bidi="ar"/>
              </w:rPr>
              <w:t>标准名称</w:t>
            </w:r>
          </w:p>
        </w:tc>
        <w:tc>
          <w:tcPr>
            <w:tcW w:w="625" w:type="pct"/>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0" w:type="pct"/>
            <w:gridSpan w:val="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4029" w:type="pct"/>
            <w:gridSpan w:val="3"/>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4"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605"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颗粒物</w:t>
            </w:r>
          </w:p>
        </w:tc>
        <w:tc>
          <w:tcPr>
            <w:tcW w:w="749" w:type="pct"/>
            <w:noWrap w:val="0"/>
            <w:vAlign w:val="center"/>
          </w:tcPr>
          <w:p>
            <w:pPr>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color w:val="000000"/>
                <w:sz w:val="21"/>
                <w:szCs w:val="21"/>
              </w:rPr>
              <w:t>HJ 836-2017</w:t>
            </w:r>
          </w:p>
        </w:tc>
        <w:tc>
          <w:tcPr>
            <w:tcW w:w="2654" w:type="pct"/>
            <w:noWrap w:val="0"/>
            <w:vAlign w:val="center"/>
          </w:tcPr>
          <w:p>
            <w:pPr>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color w:val="000000"/>
                <w:sz w:val="21"/>
                <w:szCs w:val="21"/>
              </w:rPr>
              <w:t>固定污染源废气 低浓度颗粒物的测定 重量法</w:t>
            </w:r>
          </w:p>
        </w:tc>
        <w:tc>
          <w:tcPr>
            <w:tcW w:w="625" w:type="pct"/>
            <w:noWrap w:val="0"/>
            <w:vAlign w:val="center"/>
          </w:tcPr>
          <w:p>
            <w:pPr>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color w:val="000000"/>
                <w:sz w:val="21"/>
                <w:szCs w:val="21"/>
              </w:rPr>
              <w:t>1.0</w:t>
            </w:r>
            <w:r>
              <w:rPr>
                <w:rStyle w:val="81"/>
                <w:rFonts w:hint="default" w:ascii="Times New Roman" w:hAnsi="Times New Roman" w:eastAsia="宋体" w:cs="Times New Roman"/>
                <w:color w:val="000000"/>
                <w:sz w:val="21"/>
                <w:szCs w:val="21"/>
              </w:rPr>
              <w:t xml:space="preserve"> mg/m</w:t>
            </w:r>
            <w:r>
              <w:rPr>
                <w:rStyle w:val="81"/>
                <w:rFonts w:hint="default" w:ascii="Times New Roman" w:hAnsi="Times New Roman" w:eastAsia="宋体"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4"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605"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氮氧化物</w:t>
            </w:r>
          </w:p>
        </w:tc>
        <w:tc>
          <w:tcPr>
            <w:tcW w:w="749"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 xml:space="preserve">HJ </w:t>
            </w:r>
            <w:r>
              <w:rPr>
                <w:rFonts w:hint="default" w:ascii="Times New Roman" w:hAnsi="Times New Roman" w:eastAsia="宋体" w:cs="Times New Roman"/>
                <w:color w:val="000000"/>
                <w:sz w:val="21"/>
                <w:szCs w:val="21"/>
                <w:lang w:val="en-US" w:eastAsia="zh-CN"/>
              </w:rPr>
              <w:t>693</w:t>
            </w:r>
            <w:r>
              <w:rPr>
                <w:rFonts w:hint="default" w:ascii="Times New Roman" w:hAnsi="Times New Roman" w:eastAsia="宋体" w:cs="Times New Roman"/>
                <w:color w:val="000000"/>
                <w:sz w:val="21"/>
                <w:szCs w:val="21"/>
              </w:rPr>
              <w:t>-201</w:t>
            </w:r>
            <w:r>
              <w:rPr>
                <w:rFonts w:hint="default" w:ascii="Times New Roman" w:hAnsi="Times New Roman" w:eastAsia="宋体" w:cs="Times New Roman"/>
                <w:color w:val="000000"/>
                <w:sz w:val="21"/>
                <w:szCs w:val="21"/>
                <w:lang w:val="en-US" w:eastAsia="zh-CN"/>
              </w:rPr>
              <w:t>4</w:t>
            </w:r>
          </w:p>
        </w:tc>
        <w:tc>
          <w:tcPr>
            <w:tcW w:w="2654"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固定污染源废气 氮氧化物的测定 定电位电解法</w:t>
            </w:r>
          </w:p>
        </w:tc>
        <w:tc>
          <w:tcPr>
            <w:tcW w:w="625"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 mg/m</w:t>
            </w:r>
            <w:r>
              <w:rPr>
                <w:rFonts w:hint="default" w:ascii="Times New Roman" w:hAnsi="Times New Roman" w:eastAsia="宋体"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4"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605"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二氧化硫</w:t>
            </w:r>
          </w:p>
        </w:tc>
        <w:tc>
          <w:tcPr>
            <w:tcW w:w="749"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HJ57-2017</w:t>
            </w:r>
          </w:p>
        </w:tc>
        <w:tc>
          <w:tcPr>
            <w:tcW w:w="2654"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固定污染源废气 二氧化硫的测定 定电位电解法</w:t>
            </w:r>
          </w:p>
        </w:tc>
        <w:tc>
          <w:tcPr>
            <w:tcW w:w="625"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 mg/m</w:t>
            </w:r>
            <w:r>
              <w:rPr>
                <w:rFonts w:hint="default" w:ascii="Times New Roman" w:hAnsi="Times New Roman" w:eastAsia="宋体" w:cs="Times New Roman"/>
                <w:sz w:val="21"/>
                <w:szCs w:val="21"/>
                <w:vertAlign w:val="superscript"/>
                <w:lang w:val="en-US" w:eastAsia="zh-CN"/>
              </w:rPr>
              <w:t>3</w:t>
            </w:r>
          </w:p>
        </w:tc>
      </w:tr>
    </w:tbl>
    <w:p>
      <w:pPr>
        <w:pStyle w:val="11"/>
        <w:spacing w:after="0" w:line="360" w:lineRule="auto"/>
        <w:ind w:left="0"/>
        <w:jc w:val="center"/>
        <w:rPr>
          <w:rFonts w:hint="default" w:ascii="Times New Roman" w:hAnsi="Times New Roman" w:eastAsia="宋体" w:cs="Times New Roman"/>
          <w:b/>
          <w:sz w:val="22"/>
          <w:szCs w:val="24"/>
          <w:lang w:val="en-US" w:eastAsia="zh-CN"/>
        </w:rPr>
      </w:pPr>
      <w:r>
        <w:rPr>
          <w:rFonts w:hint="default" w:ascii="Times New Roman" w:hAnsi="Times New Roman" w:eastAsia="宋体" w:cs="Times New Roman"/>
          <w:b/>
          <w:sz w:val="22"/>
          <w:szCs w:val="24"/>
        </w:rPr>
        <w:t>表7-1</w:t>
      </w:r>
      <w:r>
        <w:rPr>
          <w:rFonts w:hint="eastAsia" w:ascii="Times New Roman" w:hAnsi="Times New Roman" w:eastAsia="宋体" w:cs="Times New Roman"/>
          <w:b/>
          <w:sz w:val="22"/>
          <w:szCs w:val="24"/>
          <w:lang w:val="en-US" w:eastAsia="zh-CN"/>
        </w:rPr>
        <w:t>.</w:t>
      </w:r>
      <w:r>
        <w:rPr>
          <w:rFonts w:hint="eastAsia" w:eastAsia="宋体" w:cs="Times New Roman"/>
          <w:b/>
          <w:sz w:val="22"/>
          <w:szCs w:val="24"/>
          <w:lang w:val="en-US" w:eastAsia="zh-CN"/>
        </w:rPr>
        <w:t>2</w:t>
      </w:r>
      <w:r>
        <w:rPr>
          <w:rFonts w:hint="default" w:ascii="Times New Roman" w:hAnsi="Times New Roman" w:eastAsia="宋体" w:cs="Times New Roman"/>
          <w:b/>
          <w:sz w:val="22"/>
          <w:szCs w:val="24"/>
        </w:rPr>
        <w:t xml:space="preserve"> </w:t>
      </w:r>
      <w:r>
        <w:rPr>
          <w:rFonts w:hint="default" w:ascii="Times New Roman" w:hAnsi="Times New Roman" w:eastAsia="宋体" w:cs="Times New Roman"/>
          <w:b/>
          <w:sz w:val="22"/>
          <w:szCs w:val="24"/>
          <w:lang w:val="en-US" w:eastAsia="zh-CN"/>
        </w:rPr>
        <w:t>监测项目设备一览表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1673"/>
        <w:gridCol w:w="2388"/>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712"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设备名称</w:t>
            </w:r>
          </w:p>
        </w:tc>
        <w:tc>
          <w:tcPr>
            <w:tcW w:w="920"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设备型号</w:t>
            </w:r>
          </w:p>
        </w:tc>
        <w:tc>
          <w:tcPr>
            <w:tcW w:w="1313"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设备编号</w:t>
            </w:r>
          </w:p>
        </w:tc>
        <w:tc>
          <w:tcPr>
            <w:tcW w:w="1053"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仪器溯源有效期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电子天平（十万分之一）</w:t>
            </w:r>
          </w:p>
        </w:tc>
        <w:tc>
          <w:tcPr>
            <w:tcW w:w="92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PX125DZH</w:t>
            </w:r>
          </w:p>
        </w:tc>
        <w:tc>
          <w:tcPr>
            <w:tcW w:w="13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SDHC-YQ001-2022</w:t>
            </w:r>
          </w:p>
        </w:tc>
        <w:tc>
          <w:tcPr>
            <w:tcW w:w="10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2"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低浓度称量恒温恒湿设备</w:t>
            </w:r>
          </w:p>
        </w:tc>
        <w:tc>
          <w:tcPr>
            <w:tcW w:w="920"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HW-5500</w:t>
            </w:r>
          </w:p>
        </w:tc>
        <w:tc>
          <w:tcPr>
            <w:tcW w:w="1313"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SDHC-YQ012-2022</w:t>
            </w:r>
          </w:p>
        </w:tc>
        <w:tc>
          <w:tcPr>
            <w:tcW w:w="1053"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大流量烟尘（气）测试仪</w:t>
            </w:r>
          </w:p>
        </w:tc>
        <w:tc>
          <w:tcPr>
            <w:tcW w:w="92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YQ3000-D</w:t>
            </w:r>
          </w:p>
        </w:tc>
        <w:tc>
          <w:tcPr>
            <w:tcW w:w="13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SDHC-YQ056-2022</w:t>
            </w:r>
          </w:p>
        </w:tc>
        <w:tc>
          <w:tcPr>
            <w:tcW w:w="1053"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2024.05.12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大流量烟尘（气）测试仪</w:t>
            </w:r>
          </w:p>
        </w:tc>
        <w:tc>
          <w:tcPr>
            <w:tcW w:w="92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YQ3000-D</w:t>
            </w:r>
          </w:p>
        </w:tc>
        <w:tc>
          <w:tcPr>
            <w:tcW w:w="1313"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SDHC-YQ055-2022</w:t>
            </w:r>
          </w:p>
        </w:tc>
        <w:tc>
          <w:tcPr>
            <w:tcW w:w="1053" w:type="pct"/>
            <w:noWrap w:val="0"/>
            <w:vAlign w:val="center"/>
          </w:tcPr>
          <w:p>
            <w:pPr>
              <w:jc w:val="center"/>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2024.05.12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便携式风向风速仪</w:t>
            </w:r>
          </w:p>
        </w:tc>
        <w:tc>
          <w:tcPr>
            <w:tcW w:w="92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PLC-16025</w:t>
            </w:r>
          </w:p>
        </w:tc>
        <w:tc>
          <w:tcPr>
            <w:tcW w:w="13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SDHC-YQ099-2022</w:t>
            </w:r>
          </w:p>
        </w:tc>
        <w:tc>
          <w:tcPr>
            <w:tcW w:w="1053"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i w:val="0"/>
                <w:iCs w:val="0"/>
                <w:color w:val="auto"/>
                <w:kern w:val="0"/>
                <w:sz w:val="21"/>
                <w:szCs w:val="21"/>
                <w:u w:val="none"/>
                <w:lang w:val="en-US" w:eastAsia="zh-CN" w:bidi="ar"/>
              </w:rPr>
              <w:t>2024.12.16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声级校准器</w:t>
            </w:r>
          </w:p>
        </w:tc>
        <w:tc>
          <w:tcPr>
            <w:tcW w:w="92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AWA6022A</w:t>
            </w:r>
          </w:p>
        </w:tc>
        <w:tc>
          <w:tcPr>
            <w:tcW w:w="13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SDHC-YQ098-2022</w:t>
            </w:r>
          </w:p>
        </w:tc>
        <w:tc>
          <w:tcPr>
            <w:tcW w:w="105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2024.12.16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多功能声级计</w:t>
            </w:r>
          </w:p>
        </w:tc>
        <w:tc>
          <w:tcPr>
            <w:tcW w:w="92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AWA5688</w:t>
            </w:r>
          </w:p>
        </w:tc>
        <w:tc>
          <w:tcPr>
            <w:tcW w:w="13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SDHC-YQ100-2022</w:t>
            </w:r>
          </w:p>
        </w:tc>
        <w:tc>
          <w:tcPr>
            <w:tcW w:w="105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2024.12.16</w:t>
            </w:r>
          </w:p>
        </w:tc>
      </w:tr>
    </w:tbl>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3、监测时间与频次</w:t>
      </w:r>
    </w:p>
    <w:p>
      <w:pPr>
        <w:pStyle w:val="11"/>
        <w:spacing w:after="0" w:line="360" w:lineRule="auto"/>
        <w:ind w:left="0" w:firstLine="480" w:firstLineChars="200"/>
        <w:rPr>
          <w:rFonts w:hint="default" w:ascii="Times New Roman" w:hAnsi="Times New Roman" w:eastAsia="宋体" w:cs="Times New Roman"/>
          <w:color w:val="000000" w:themeColor="text1"/>
          <w:sz w:val="24"/>
          <w:szCs w:val="28"/>
          <w14:textFill>
            <w14:solidFill>
              <w14:schemeClr w14:val="tx1"/>
            </w14:solidFill>
          </w14:textFill>
        </w:rPr>
      </w:pPr>
      <w:bookmarkStart w:id="46" w:name="_Toc25091"/>
      <w:bookmarkStart w:id="47" w:name="_Toc23181"/>
      <w:r>
        <w:rPr>
          <w:rFonts w:hint="default" w:ascii="Times New Roman" w:hAnsi="Times New Roman" w:eastAsia="宋体" w:cs="Times New Roman"/>
          <w:color w:val="000000" w:themeColor="text1"/>
          <w:sz w:val="24"/>
          <w:szCs w:val="28"/>
          <w14:textFill>
            <w14:solidFill>
              <w14:schemeClr w14:val="tx1"/>
            </w14:solidFill>
          </w14:textFill>
        </w:rPr>
        <w:t>202</w:t>
      </w:r>
      <w:r>
        <w:rPr>
          <w:rFonts w:hint="eastAsia" w:cs="Times New Roman"/>
          <w:color w:val="000000" w:themeColor="text1"/>
          <w:sz w:val="24"/>
          <w:szCs w:val="28"/>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8"/>
          <w14:textFill>
            <w14:solidFill>
              <w14:schemeClr w14:val="tx1"/>
            </w14:solidFill>
          </w14:textFill>
        </w:rPr>
        <w:t>年</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0</w:t>
      </w:r>
      <w:r>
        <w:rPr>
          <w:rFonts w:hint="eastAsia" w:cs="Times New Roman"/>
          <w:color w:val="000000" w:themeColor="text1"/>
          <w:sz w:val="24"/>
          <w:szCs w:val="28"/>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8"/>
          <w14:textFill>
            <w14:solidFill>
              <w14:schemeClr w14:val="tx1"/>
            </w14:solidFill>
          </w14:textFill>
        </w:rPr>
        <w:t>月</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0</w:t>
      </w:r>
      <w:r>
        <w:rPr>
          <w:rFonts w:hint="eastAsia" w:cs="Times New Roman"/>
          <w:color w:val="000000" w:themeColor="text1"/>
          <w:sz w:val="24"/>
          <w:szCs w:val="28"/>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8"/>
          <w14:textFill>
            <w14:solidFill>
              <w14:schemeClr w14:val="tx1"/>
            </w14:solidFill>
          </w14:textFill>
        </w:rPr>
        <w:t>日~</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0</w:t>
      </w:r>
      <w:r>
        <w:rPr>
          <w:rFonts w:hint="eastAsia" w:cs="Times New Roman"/>
          <w:color w:val="000000" w:themeColor="text1"/>
          <w:sz w:val="24"/>
          <w:szCs w:val="28"/>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8"/>
          <w14:textFill>
            <w14:solidFill>
              <w14:schemeClr w14:val="tx1"/>
            </w14:solidFill>
          </w14:textFill>
        </w:rPr>
        <w:t>月</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0</w:t>
      </w:r>
      <w:r>
        <w:rPr>
          <w:rFonts w:hint="eastAsia" w:cs="Times New Roman"/>
          <w:color w:val="000000" w:themeColor="text1"/>
          <w:sz w:val="24"/>
          <w:szCs w:val="28"/>
          <w:lang w:val="en-US" w:eastAsia="zh-CN"/>
          <w14:textFill>
            <w14:solidFill>
              <w14:schemeClr w14:val="tx1"/>
            </w14:solidFill>
          </w14:textFill>
        </w:rPr>
        <w:t xml:space="preserve">9 </w:t>
      </w:r>
      <w:r>
        <w:rPr>
          <w:rFonts w:hint="default" w:ascii="Times New Roman" w:hAnsi="Times New Roman" w:eastAsia="宋体" w:cs="Times New Roman"/>
          <w:color w:val="000000" w:themeColor="text1"/>
          <w:sz w:val="24"/>
          <w:szCs w:val="28"/>
          <w14:textFill>
            <w14:solidFill>
              <w14:schemeClr w14:val="tx1"/>
            </w14:solidFill>
          </w14:textFill>
        </w:rPr>
        <w:t>日连续监测2天，每天昼间各监测3次</w:t>
      </w:r>
      <w:bookmarkEnd w:id="46"/>
      <w:bookmarkEnd w:id="47"/>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7.1.2噪声监测</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1、监测点位</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在项目区厂界最大噪声处各布设4个厂界噪声监测点位。</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2、监测技术规范及使用仪器</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监测技术规范及使用仪器见表7-4。</w:t>
      </w:r>
    </w:p>
    <w:p>
      <w:pPr>
        <w:pStyle w:val="11"/>
        <w:spacing w:after="0" w:line="360" w:lineRule="auto"/>
        <w:ind w:left="0"/>
        <w:jc w:val="center"/>
        <w:rPr>
          <w:rFonts w:hint="default" w:ascii="Times New Roman" w:hAnsi="Times New Roman" w:eastAsia="宋体" w:cs="Times New Roman"/>
          <w:b/>
          <w:sz w:val="22"/>
          <w:szCs w:val="24"/>
          <w:lang w:val="en-US" w:eastAsia="zh-CN"/>
        </w:rPr>
      </w:pPr>
      <w:r>
        <w:rPr>
          <w:rFonts w:hint="default" w:ascii="Times New Roman" w:hAnsi="Times New Roman" w:eastAsia="宋体" w:cs="Times New Roman"/>
          <w:b/>
          <w:sz w:val="22"/>
          <w:szCs w:val="24"/>
        </w:rPr>
        <w:t>表7-</w:t>
      </w:r>
      <w:r>
        <w:rPr>
          <w:rFonts w:hint="eastAsia" w:ascii="Times New Roman" w:hAnsi="Times New Roman" w:eastAsia="宋体" w:cs="Times New Roman"/>
          <w:b/>
          <w:sz w:val="22"/>
          <w:szCs w:val="24"/>
          <w:lang w:val="en-US" w:eastAsia="zh-CN"/>
        </w:rPr>
        <w:t>1.2</w:t>
      </w:r>
      <w:r>
        <w:rPr>
          <w:rFonts w:hint="default" w:ascii="Times New Roman" w:hAnsi="Times New Roman" w:eastAsia="宋体" w:cs="Times New Roman"/>
          <w:b/>
          <w:sz w:val="22"/>
          <w:szCs w:val="24"/>
        </w:rPr>
        <w:t xml:space="preserve">  监测项目方法及仪器</w:t>
      </w:r>
      <w:r>
        <w:rPr>
          <w:rFonts w:hint="default" w:ascii="Times New Roman" w:hAnsi="Times New Roman" w:eastAsia="宋体" w:cs="Times New Roman"/>
          <w:b/>
          <w:sz w:val="22"/>
          <w:szCs w:val="24"/>
          <w:lang w:val="en-US" w:eastAsia="zh-CN"/>
        </w:rPr>
        <w:t>一览表</w:t>
      </w:r>
    </w:p>
    <w:tbl>
      <w:tblPr>
        <w:tblStyle w:val="31"/>
        <w:tblW w:w="9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427"/>
        <w:gridCol w:w="1603"/>
        <w:gridCol w:w="1592"/>
        <w:gridCol w:w="2344"/>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1" w:type="dxa"/>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类别</w:t>
            </w:r>
          </w:p>
        </w:tc>
        <w:tc>
          <w:tcPr>
            <w:tcW w:w="1427" w:type="dxa"/>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项目名称</w:t>
            </w:r>
          </w:p>
        </w:tc>
        <w:tc>
          <w:tcPr>
            <w:tcW w:w="1603" w:type="dxa"/>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分析方法</w:t>
            </w:r>
          </w:p>
        </w:tc>
        <w:tc>
          <w:tcPr>
            <w:tcW w:w="1592" w:type="dxa"/>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方法依据</w:t>
            </w:r>
          </w:p>
        </w:tc>
        <w:tc>
          <w:tcPr>
            <w:tcW w:w="2344" w:type="dxa"/>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仪器设备、型号及编号</w:t>
            </w:r>
          </w:p>
        </w:tc>
        <w:tc>
          <w:tcPr>
            <w:tcW w:w="1409" w:type="dxa"/>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1" w:type="dxa"/>
            <w:vAlign w:val="center"/>
          </w:tcPr>
          <w:p>
            <w:pPr>
              <w:adjustRightInd w:val="0"/>
              <w:snapToGrid w:val="0"/>
              <w:jc w:val="center"/>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szCs w:val="21"/>
                <w:lang w:val="en-US" w:eastAsia="zh-CN"/>
              </w:rPr>
              <w:t>噪声</w:t>
            </w:r>
          </w:p>
        </w:tc>
        <w:tc>
          <w:tcPr>
            <w:tcW w:w="1427" w:type="dxa"/>
            <w:vAlign w:val="center"/>
          </w:tcPr>
          <w:p>
            <w:pPr>
              <w:adjustRightInd w:val="0"/>
              <w:snapToGrid w:val="0"/>
              <w:jc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szCs w:val="21"/>
                <w:lang w:val="en-US" w:eastAsia="zh-CN"/>
              </w:rPr>
              <w:t>Leq（A）</w:t>
            </w:r>
          </w:p>
        </w:tc>
        <w:tc>
          <w:tcPr>
            <w:tcW w:w="1603"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szCs w:val="21"/>
                <w:lang w:val="en-US" w:eastAsia="zh-CN"/>
              </w:rPr>
              <w:t>——</w:t>
            </w:r>
          </w:p>
        </w:tc>
        <w:tc>
          <w:tcPr>
            <w:tcW w:w="1592" w:type="dxa"/>
            <w:vAlign w:val="center"/>
          </w:tcPr>
          <w:p>
            <w:pPr>
              <w:adjustRightInd w:val="0"/>
              <w:snapToGrid w:val="0"/>
              <w:jc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szCs w:val="21"/>
                <w:lang w:val="en-US" w:eastAsia="zh-CN"/>
              </w:rPr>
              <w:t>GB 12348-2008</w:t>
            </w:r>
          </w:p>
        </w:tc>
        <w:tc>
          <w:tcPr>
            <w:tcW w:w="2344" w:type="dxa"/>
            <w:vAlign w:val="center"/>
          </w:tcPr>
          <w:p>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声校准器HS6020</w:t>
            </w:r>
          </w:p>
          <w:p>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SSYQ-02-124</w:t>
            </w:r>
          </w:p>
          <w:p>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多功能声级计AWA5688</w:t>
            </w:r>
          </w:p>
          <w:p>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SSYQ-02-125</w:t>
            </w:r>
          </w:p>
        </w:tc>
        <w:tc>
          <w:tcPr>
            <w:tcW w:w="1409" w:type="dxa"/>
            <w:vAlign w:val="center"/>
          </w:tcPr>
          <w:p>
            <w:pPr>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b/>
                <w:bCs/>
                <w:color w:val="000000"/>
                <w:szCs w:val="21"/>
              </w:rPr>
              <w:t>——</w:t>
            </w:r>
          </w:p>
        </w:tc>
      </w:tr>
    </w:tbl>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3、监测时间与频次</w:t>
      </w:r>
    </w:p>
    <w:p>
      <w:pPr>
        <w:pStyle w:val="11"/>
        <w:spacing w:after="0" w:line="360" w:lineRule="auto"/>
        <w:ind w:left="0" w:firstLine="480" w:firstLineChars="200"/>
        <w:rPr>
          <w:rFonts w:hint="default" w:ascii="Times New Roman" w:hAnsi="Times New Roman" w:eastAsia="宋体" w:cs="Times New Roman"/>
          <w:color w:val="000000" w:themeColor="text1"/>
          <w:sz w:val="24"/>
          <w:szCs w:val="28"/>
          <w14:textFill>
            <w14:solidFill>
              <w14:schemeClr w14:val="tx1"/>
            </w14:solidFill>
          </w14:textFill>
        </w:rPr>
      </w:pPr>
      <w:r>
        <w:rPr>
          <w:rFonts w:hint="default" w:ascii="Times New Roman" w:hAnsi="Times New Roman" w:eastAsia="宋体" w:cs="Times New Roman"/>
          <w:color w:val="000000" w:themeColor="text1"/>
          <w:sz w:val="24"/>
          <w:szCs w:val="28"/>
          <w:lang w:val="en-US" w:eastAsia="zh-CN"/>
          <w14:textFill>
            <w14:solidFill>
              <w14:schemeClr w14:val="tx1"/>
            </w14:solidFill>
          </w14:textFill>
        </w:rPr>
        <w:t>噪声</w:t>
      </w:r>
      <w:r>
        <w:rPr>
          <w:rFonts w:hint="default" w:ascii="Times New Roman" w:hAnsi="Times New Roman" w:eastAsia="宋体" w:cs="Times New Roman"/>
          <w:color w:val="000000" w:themeColor="text1"/>
          <w:sz w:val="24"/>
          <w:szCs w:val="28"/>
          <w14:textFill>
            <w14:solidFill>
              <w14:schemeClr w14:val="tx1"/>
            </w14:solidFill>
          </w14:textFill>
        </w:rPr>
        <w:t>202</w:t>
      </w:r>
      <w:r>
        <w:rPr>
          <w:rFonts w:hint="eastAsia" w:cs="Times New Roman"/>
          <w:color w:val="000000" w:themeColor="text1"/>
          <w:sz w:val="24"/>
          <w:szCs w:val="28"/>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8"/>
          <w14:textFill>
            <w14:solidFill>
              <w14:schemeClr w14:val="tx1"/>
            </w14:solidFill>
          </w14:textFill>
        </w:rPr>
        <w:t>年</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0</w:t>
      </w:r>
      <w:r>
        <w:rPr>
          <w:rFonts w:hint="eastAsia" w:cs="Times New Roman"/>
          <w:color w:val="000000" w:themeColor="text1"/>
          <w:sz w:val="24"/>
          <w:szCs w:val="28"/>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8"/>
          <w14:textFill>
            <w14:solidFill>
              <w14:schemeClr w14:val="tx1"/>
            </w14:solidFill>
          </w14:textFill>
        </w:rPr>
        <w:t>月</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0</w:t>
      </w:r>
      <w:r>
        <w:rPr>
          <w:rFonts w:hint="eastAsia" w:cs="Times New Roman"/>
          <w:color w:val="000000" w:themeColor="text1"/>
          <w:sz w:val="24"/>
          <w:szCs w:val="28"/>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8"/>
          <w14:textFill>
            <w14:solidFill>
              <w14:schemeClr w14:val="tx1"/>
            </w14:solidFill>
          </w14:textFill>
        </w:rPr>
        <w:t>日~</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0</w:t>
      </w:r>
      <w:r>
        <w:rPr>
          <w:rFonts w:hint="eastAsia" w:cs="Times New Roman"/>
          <w:color w:val="000000" w:themeColor="text1"/>
          <w:sz w:val="24"/>
          <w:szCs w:val="28"/>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8"/>
          <w14:textFill>
            <w14:solidFill>
              <w14:schemeClr w14:val="tx1"/>
            </w14:solidFill>
          </w14:textFill>
        </w:rPr>
        <w:t>月</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0</w:t>
      </w:r>
      <w:r>
        <w:rPr>
          <w:rFonts w:hint="eastAsia" w:cs="Times New Roman"/>
          <w:color w:val="000000" w:themeColor="text1"/>
          <w:sz w:val="24"/>
          <w:szCs w:val="28"/>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8"/>
          <w14:textFill>
            <w14:solidFill>
              <w14:schemeClr w14:val="tx1"/>
            </w14:solidFill>
          </w14:textFill>
        </w:rPr>
        <w:t>日连续监测2天，每天昼监测</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8"/>
          <w14:textFill>
            <w14:solidFill>
              <w14:schemeClr w14:val="tx1"/>
            </w14:solidFill>
          </w14:textFill>
        </w:rPr>
        <w:t>次。</w:t>
      </w:r>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48" w:name="_Toc17023"/>
      <w:r>
        <w:rPr>
          <w:rFonts w:hint="default" w:ascii="Times New Roman" w:hAnsi="Times New Roman" w:eastAsia="宋体" w:cs="Times New Roman"/>
          <w:b/>
          <w:sz w:val="28"/>
          <w:szCs w:val="32"/>
        </w:rPr>
        <w:t>7.2环境质量监测</w:t>
      </w:r>
      <w:bookmarkEnd w:id="48"/>
    </w:p>
    <w:p>
      <w:pPr>
        <w:pStyle w:val="11"/>
        <w:spacing w:after="0" w:line="360" w:lineRule="auto"/>
        <w:ind w:left="0" w:firstLine="480" w:firstLineChars="200"/>
        <w:rPr>
          <w:rFonts w:hint="default" w:ascii="Times New Roman" w:hAnsi="Times New Roman" w:eastAsia="宋体" w:cs="Times New Roman"/>
          <w:b/>
          <w:sz w:val="28"/>
          <w:szCs w:val="28"/>
        </w:rPr>
      </w:pPr>
      <w:r>
        <w:rPr>
          <w:rFonts w:hint="default" w:ascii="Times New Roman" w:hAnsi="Times New Roman" w:eastAsia="宋体" w:cs="Times New Roman"/>
          <w:color w:val="000000"/>
          <w:sz w:val="24"/>
          <w:szCs w:val="28"/>
        </w:rPr>
        <w:t>该项目所在位置周边无自然保护区、风景名胜等其他环境敏感点，生态环境不敏感。根据该项目环境影响评价报告表中结论，项目在严格落实评价中提出的各项有关环保措施，并确保各种治理设施正常运转的前提下，项目对周围环境质量的影响不大。</w:t>
      </w:r>
      <w:r>
        <w:rPr>
          <w:rFonts w:hint="default" w:ascii="Times New Roman" w:hAnsi="Times New Roman" w:eastAsia="宋体" w:cs="Times New Roman"/>
          <w:b/>
          <w:sz w:val="28"/>
          <w:szCs w:val="28"/>
        </w:rPr>
        <w:br w:type="page"/>
      </w:r>
    </w:p>
    <w:p>
      <w:pPr>
        <w:pStyle w:val="47"/>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49" w:name="_Toc19685"/>
      <w:r>
        <w:rPr>
          <w:rFonts w:hint="default" w:ascii="Times New Roman" w:hAnsi="Times New Roman" w:eastAsia="宋体" w:cs="Times New Roman"/>
          <w:b/>
          <w:sz w:val="32"/>
          <w:szCs w:val="32"/>
        </w:rPr>
        <w:t>8、质量保证及质量控制</w:t>
      </w:r>
      <w:bookmarkEnd w:id="49"/>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50" w:name="_Toc32133"/>
      <w:r>
        <w:rPr>
          <w:rFonts w:hint="default" w:ascii="Times New Roman" w:hAnsi="Times New Roman" w:eastAsia="宋体" w:cs="Times New Roman"/>
          <w:b/>
          <w:sz w:val="28"/>
          <w:szCs w:val="32"/>
        </w:rPr>
        <w:t>8.1监测分析方法及监测仪器</w:t>
      </w:r>
      <w:bookmarkEnd w:id="50"/>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1、声级计在测试前后用标准发生源进行校准，测量前后仪器的灵敏度相差不大于0.5dB。测量在无雨、无雪天气条件下进行，风速5m/s以上停止测量；测量时传声器加风罩。</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2、被测排放物的浓度在仪器量程的有效范围内。</w:t>
      </w:r>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51" w:name="_Toc7451"/>
      <w:r>
        <w:rPr>
          <w:rFonts w:hint="default" w:ascii="Times New Roman" w:hAnsi="Times New Roman" w:eastAsia="宋体" w:cs="Times New Roman"/>
          <w:b/>
          <w:sz w:val="28"/>
          <w:szCs w:val="32"/>
        </w:rPr>
        <w:t>8.2人员资质</w:t>
      </w:r>
      <w:bookmarkEnd w:id="51"/>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参加验收监测采样和测试的人员，按国家有关规定均持证上岗，所有监测设备均经过计量部门的检定并在检定有效周期内。</w:t>
      </w:r>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52" w:name="_Toc4390"/>
      <w:bookmarkStart w:id="53" w:name="_Toc19288"/>
      <w:bookmarkStart w:id="54" w:name="_Toc1833"/>
      <w:r>
        <w:rPr>
          <w:rFonts w:hint="default" w:ascii="Times New Roman" w:hAnsi="Times New Roman" w:eastAsia="宋体" w:cs="Times New Roman"/>
          <w:b/>
          <w:sz w:val="28"/>
          <w:szCs w:val="32"/>
        </w:rPr>
        <w:t>8.3水质监测分析过程中的质量保证和质量控制</w:t>
      </w:r>
      <w:bookmarkEnd w:id="52"/>
      <w:bookmarkEnd w:id="53"/>
      <w:bookmarkEnd w:id="54"/>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该项目未做水质监测。</w:t>
      </w:r>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55" w:name="_Toc16565"/>
      <w:bookmarkStart w:id="56" w:name="_Toc2660"/>
      <w:bookmarkStart w:id="57" w:name="_Toc5889"/>
      <w:r>
        <w:rPr>
          <w:rFonts w:hint="default" w:ascii="Times New Roman" w:hAnsi="Times New Roman" w:eastAsia="宋体" w:cs="Times New Roman"/>
          <w:b/>
          <w:sz w:val="28"/>
          <w:szCs w:val="32"/>
        </w:rPr>
        <w:t>8.4气体监测分析过程中的质量保证和质量控制</w:t>
      </w:r>
      <w:bookmarkEnd w:id="55"/>
      <w:bookmarkEnd w:id="56"/>
      <w:bookmarkEnd w:id="57"/>
      <w:r>
        <w:rPr>
          <w:rFonts w:hint="default" w:ascii="Times New Roman" w:hAnsi="Times New Roman" w:eastAsia="宋体" w:cs="Times New Roman"/>
          <w:b/>
          <w:sz w:val="28"/>
          <w:szCs w:val="32"/>
        </w:rPr>
        <w:t xml:space="preserve"> </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1、质控依据：</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《固定污染源监测质量保证与质量控制技术规范》HJ/T 373-2007；</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《固定源废气监测技术规范》HJ/T 397-2007；</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《大气污染物无组织排放监测技术导则》 HJ/T 55-2000。</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2、质控措施：</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（1）尽量避免被测排放物中共存污染物对分析的交叉干扰。</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（2）被测排放物的浓度在仪器量程的有效范围（即30%-70%之间）</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（3）颗粒物采样器在进入现场前应对采样器计、流速计等进行校核。气体监测仪器在测试前按监测因子分别用标准气体和流量计对其进行校核，在测试是应保证采样流量的准确。</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（4）监测、计量设备强检合格；人员持证上岗；</w:t>
      </w:r>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58" w:name="_Toc27599"/>
      <w:bookmarkStart w:id="59" w:name="_Toc19134"/>
      <w:bookmarkStart w:id="60" w:name="_Toc17442"/>
      <w:r>
        <w:rPr>
          <w:rFonts w:hint="default" w:ascii="Times New Roman" w:hAnsi="Times New Roman" w:eastAsia="宋体" w:cs="Times New Roman"/>
          <w:b/>
          <w:sz w:val="28"/>
          <w:szCs w:val="32"/>
        </w:rPr>
        <w:t>8.5噪声监测分析过程中的质量保证和质量控制</w:t>
      </w:r>
      <w:bookmarkEnd w:id="58"/>
      <w:bookmarkEnd w:id="59"/>
      <w:bookmarkEnd w:id="60"/>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1、质控依据：《环境噪声监测技术规范噪声测量值修正》HJ706-2014；</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2、质控措施：</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（1）声级计在测试前后用标准发声源进行校准，测试前后仪器的灵敏度相差不大于0.5dB，若大于0.5dB测试数据无效。噪声仪测量前校准值93.8dB，测量后校准值93.8dB。</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（2）本次监测期间无雨雪、无雷电，且风速小于5m/s；</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（3）监测、计量设备强检合格；人员持证上岗。</w:t>
      </w:r>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61" w:name="_Toc31195"/>
      <w:bookmarkStart w:id="62" w:name="_Toc4784"/>
      <w:bookmarkStart w:id="63" w:name="_Toc15075"/>
      <w:r>
        <w:rPr>
          <w:rFonts w:hint="default" w:ascii="Times New Roman" w:hAnsi="Times New Roman" w:eastAsia="宋体" w:cs="Times New Roman"/>
          <w:b/>
          <w:sz w:val="28"/>
          <w:szCs w:val="32"/>
        </w:rPr>
        <w:t>8.6固体废物监测分析过程中的质量保证和质量控制</w:t>
      </w:r>
      <w:bookmarkEnd w:id="61"/>
      <w:bookmarkEnd w:id="62"/>
      <w:bookmarkEnd w:id="63"/>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该项目未做固废监测。</w:t>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br w:type="page"/>
      </w:r>
    </w:p>
    <w:p>
      <w:pPr>
        <w:pStyle w:val="47"/>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64" w:name="_Toc8548"/>
      <w:r>
        <w:rPr>
          <w:rFonts w:hint="default" w:ascii="Times New Roman" w:hAnsi="Times New Roman" w:eastAsia="宋体" w:cs="Times New Roman"/>
          <w:b/>
          <w:sz w:val="32"/>
          <w:szCs w:val="32"/>
        </w:rPr>
        <w:t>9、验收监测结果</w:t>
      </w:r>
      <w:bookmarkEnd w:id="64"/>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65" w:name="_Toc20899"/>
      <w:r>
        <w:rPr>
          <w:rFonts w:hint="default" w:ascii="Times New Roman" w:hAnsi="Times New Roman" w:eastAsia="宋体" w:cs="Times New Roman"/>
          <w:b/>
          <w:sz w:val="28"/>
          <w:szCs w:val="32"/>
        </w:rPr>
        <w:t>9.1生产工况</w:t>
      </w:r>
      <w:bookmarkEnd w:id="6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themeColor="text1"/>
          <w:kern w:val="2"/>
          <w:sz w:val="24"/>
          <w:szCs w:val="28"/>
          <w:lang w:val="en-US" w:eastAsia="zh-CN" w:bidi="ar-SA"/>
          <w14:textFill>
            <w14:solidFill>
              <w14:schemeClr w14:val="tx1"/>
            </w14:solidFill>
          </w14:textFill>
        </w:rPr>
        <w:t>监测时间为202</w:t>
      </w:r>
      <w:r>
        <w:rPr>
          <w:rFonts w:hint="eastAsia" w:ascii="Times New Roman" w:hAnsi="Times New Roman" w:eastAsia="宋体" w:cs="Times New Roman"/>
          <w:color w:val="000000" w:themeColor="text1"/>
          <w:kern w:val="2"/>
          <w:sz w:val="24"/>
          <w:szCs w:val="28"/>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8"/>
          <w:lang w:val="en-US" w:eastAsia="zh-CN" w:bidi="ar-SA"/>
          <w14:textFill>
            <w14:solidFill>
              <w14:schemeClr w14:val="tx1"/>
            </w14:solidFill>
          </w14:textFill>
        </w:rPr>
        <w:t>年0</w:t>
      </w:r>
      <w:r>
        <w:rPr>
          <w:rFonts w:hint="eastAsia" w:ascii="Times New Roman" w:hAnsi="Times New Roman" w:eastAsia="宋体" w:cs="Times New Roman"/>
          <w:color w:val="000000" w:themeColor="text1"/>
          <w:kern w:val="2"/>
          <w:sz w:val="24"/>
          <w:szCs w:val="28"/>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8"/>
          <w:lang w:val="en-US" w:eastAsia="zh-CN" w:bidi="ar-SA"/>
          <w14:textFill>
            <w14:solidFill>
              <w14:schemeClr w14:val="tx1"/>
            </w14:solidFill>
          </w14:textFill>
        </w:rPr>
        <w:t>月0</w:t>
      </w:r>
      <w:r>
        <w:rPr>
          <w:rFonts w:hint="eastAsia" w:ascii="Times New Roman" w:hAnsi="Times New Roman" w:eastAsia="宋体" w:cs="Times New Roman"/>
          <w:color w:val="000000" w:themeColor="text1"/>
          <w:kern w:val="2"/>
          <w:sz w:val="24"/>
          <w:szCs w:val="28"/>
          <w:lang w:val="en-US" w:eastAsia="zh-CN" w:bidi="ar-SA"/>
          <w14:textFill>
            <w14:solidFill>
              <w14:schemeClr w14:val="tx1"/>
            </w14:solidFill>
          </w14:textFill>
        </w:rPr>
        <w:t>8</w:t>
      </w:r>
      <w:r>
        <w:rPr>
          <w:rFonts w:hint="default" w:ascii="Times New Roman" w:hAnsi="Times New Roman" w:eastAsia="宋体" w:cs="Times New Roman"/>
          <w:color w:val="000000" w:themeColor="text1"/>
          <w:kern w:val="2"/>
          <w:sz w:val="24"/>
          <w:szCs w:val="28"/>
          <w:lang w:val="en-US" w:eastAsia="zh-CN" w:bidi="ar-SA"/>
          <w14:textFill>
            <w14:solidFill>
              <w14:schemeClr w14:val="tx1"/>
            </w14:solidFill>
          </w14:textFill>
        </w:rPr>
        <w:t>日~0</w:t>
      </w:r>
      <w:r>
        <w:rPr>
          <w:rFonts w:hint="eastAsia" w:ascii="Times New Roman" w:hAnsi="Times New Roman" w:eastAsia="宋体" w:cs="Times New Roman"/>
          <w:color w:val="000000" w:themeColor="text1"/>
          <w:kern w:val="2"/>
          <w:sz w:val="24"/>
          <w:szCs w:val="28"/>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8"/>
          <w:lang w:val="en-US" w:eastAsia="zh-CN" w:bidi="ar-SA"/>
          <w14:textFill>
            <w14:solidFill>
              <w14:schemeClr w14:val="tx1"/>
            </w14:solidFill>
          </w14:textFill>
        </w:rPr>
        <w:t>月0</w:t>
      </w:r>
      <w:r>
        <w:rPr>
          <w:rFonts w:hint="eastAsia" w:ascii="Times New Roman" w:hAnsi="Times New Roman" w:eastAsia="宋体" w:cs="Times New Roman"/>
          <w:color w:val="000000" w:themeColor="text1"/>
          <w:kern w:val="2"/>
          <w:sz w:val="24"/>
          <w:szCs w:val="28"/>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2"/>
          <w:sz w:val="24"/>
          <w:szCs w:val="28"/>
          <w:lang w:val="en-US" w:eastAsia="zh-CN" w:bidi="ar-SA"/>
          <w14:textFill>
            <w14:solidFill>
              <w14:schemeClr w14:val="tx1"/>
            </w14:solidFill>
          </w14:textFill>
        </w:rPr>
        <w:t>日。监测期间</w:t>
      </w:r>
      <w:r>
        <w:rPr>
          <w:rFonts w:hint="default" w:ascii="Times New Roman" w:hAnsi="Times New Roman" w:eastAsia="宋体" w:cs="Times New Roman"/>
          <w:color w:val="000000"/>
          <w:kern w:val="2"/>
          <w:sz w:val="24"/>
          <w:szCs w:val="28"/>
          <w:lang w:val="en-US" w:eastAsia="zh-CN" w:bidi="ar-SA"/>
        </w:rPr>
        <w:t>，项目各生产设施开启运行，该项目年生产300天，项目环评设计年生产</w:t>
      </w:r>
      <w:r>
        <w:rPr>
          <w:rFonts w:hint="eastAsia" w:ascii="Times New Roman" w:hAnsi="Times New Roman" w:eastAsia="宋体" w:cs="Times New Roman"/>
          <w:color w:val="000000"/>
          <w:kern w:val="2"/>
          <w:sz w:val="24"/>
          <w:szCs w:val="28"/>
          <w:lang w:val="en-US" w:eastAsia="zh-CN" w:bidi="ar-SA"/>
        </w:rPr>
        <w:t>8万吨脂末</w:t>
      </w:r>
      <w:r>
        <w:rPr>
          <w:rFonts w:hint="default" w:ascii="Times New Roman" w:hAnsi="Times New Roman" w:eastAsia="宋体" w:cs="Times New Roman"/>
          <w:color w:val="000000"/>
          <w:kern w:val="2"/>
          <w:sz w:val="24"/>
          <w:szCs w:val="28"/>
          <w:lang w:val="en-US" w:eastAsia="zh-CN" w:bidi="ar-SA"/>
        </w:rPr>
        <w:t>，本次验收范围为</w:t>
      </w:r>
      <w:r>
        <w:rPr>
          <w:rFonts w:hint="eastAsia" w:ascii="Times New Roman" w:hAnsi="Times New Roman" w:eastAsia="宋体" w:cs="Times New Roman"/>
          <w:color w:val="000000"/>
          <w:kern w:val="2"/>
          <w:sz w:val="24"/>
          <w:szCs w:val="28"/>
          <w:lang w:val="en-US" w:eastAsia="zh-CN" w:bidi="ar-SA"/>
        </w:rPr>
        <w:t>3条</w:t>
      </w:r>
      <w:r>
        <w:rPr>
          <w:rFonts w:hint="default" w:ascii="Times New Roman" w:hAnsi="Times New Roman" w:eastAsia="宋体" w:cs="Times New Roman"/>
          <w:color w:val="000000"/>
          <w:sz w:val="24"/>
          <w:szCs w:val="28"/>
          <w:lang w:val="en-US" w:eastAsia="zh-CN"/>
        </w:rPr>
        <w:t>植脂末生产线喷雾干燥工序天然气空气自燃加热燃烧器</w:t>
      </w:r>
      <w:r>
        <w:rPr>
          <w:rFonts w:hint="default" w:ascii="Times New Roman" w:hAnsi="Times New Roman" w:eastAsia="宋体" w:cs="Times New Roman"/>
          <w:color w:val="000000"/>
          <w:kern w:val="2"/>
          <w:sz w:val="24"/>
          <w:szCs w:val="28"/>
          <w:lang w:val="en-US" w:eastAsia="zh-CN" w:bidi="ar-SA"/>
        </w:rPr>
        <w:t>以及配套的环保设备。监测期间加工厂生产负荷</w:t>
      </w:r>
      <w:r>
        <w:rPr>
          <w:rFonts w:hint="default" w:ascii="Times New Roman" w:hAnsi="Times New Roman" w:eastAsia="宋体" w:cs="Times New Roman"/>
          <w:color w:val="000000"/>
          <w:sz w:val="24"/>
          <w:szCs w:val="28"/>
        </w:rPr>
        <w:t>达到设计生产负荷的</w:t>
      </w:r>
      <w:r>
        <w:rPr>
          <w:rFonts w:hint="eastAsia" w:ascii="Times New Roman" w:hAnsi="Times New Roman" w:eastAsia="宋体" w:cs="Times New Roman"/>
          <w:color w:val="000000"/>
          <w:sz w:val="24"/>
          <w:szCs w:val="28"/>
          <w:lang w:val="en-US" w:eastAsia="zh-CN"/>
        </w:rPr>
        <w:t>10</w:t>
      </w:r>
      <w:r>
        <w:rPr>
          <w:rFonts w:hint="default" w:ascii="Times New Roman" w:hAnsi="Times New Roman" w:eastAsia="宋体" w:cs="Times New Roman"/>
          <w:color w:val="000000"/>
          <w:sz w:val="24"/>
          <w:szCs w:val="28"/>
        </w:rPr>
        <w:t>0%，工况稳定且环保设施运行正常，满足验收应在工况稳定、生产负荷达到设计生产能力的</w:t>
      </w:r>
      <w:r>
        <w:rPr>
          <w:rFonts w:hint="eastAsia" w:ascii="Times New Roman" w:hAnsi="Times New Roman" w:eastAsia="宋体" w:cs="Times New Roman"/>
          <w:color w:val="000000"/>
          <w:sz w:val="24"/>
          <w:szCs w:val="28"/>
          <w:lang w:val="en-US" w:eastAsia="zh-CN"/>
        </w:rPr>
        <w:t>75</w:t>
      </w:r>
      <w:r>
        <w:rPr>
          <w:rFonts w:hint="default" w:ascii="Times New Roman" w:hAnsi="Times New Roman" w:eastAsia="宋体" w:cs="Times New Roman"/>
          <w:color w:val="000000"/>
          <w:sz w:val="24"/>
          <w:szCs w:val="28"/>
        </w:rPr>
        <w:t>%以上的情况下进行的要求，监测数据具有代表性。</w:t>
      </w:r>
    </w:p>
    <w:p>
      <w:pPr>
        <w:pStyle w:val="11"/>
        <w:spacing w:after="0" w:line="360" w:lineRule="auto"/>
        <w:ind w:left="0"/>
        <w:jc w:val="center"/>
        <w:rPr>
          <w:rFonts w:hint="default" w:ascii="Times New Roman" w:hAnsi="Times New Roman" w:eastAsia="宋体" w:cs="Times New Roman"/>
          <w:b/>
          <w:sz w:val="22"/>
          <w:szCs w:val="24"/>
        </w:rPr>
      </w:pPr>
      <w:r>
        <w:rPr>
          <w:rFonts w:hint="default" w:ascii="Times New Roman" w:hAnsi="Times New Roman" w:eastAsia="宋体" w:cs="Times New Roman"/>
          <w:b/>
          <w:sz w:val="22"/>
          <w:szCs w:val="24"/>
        </w:rPr>
        <w:t>表 9-1 生产工况</w:t>
      </w:r>
    </w:p>
    <w:tbl>
      <w:tblPr>
        <w:tblStyle w:val="31"/>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29"/>
        <w:gridCol w:w="2176"/>
        <w:gridCol w:w="1729"/>
        <w:gridCol w:w="1730"/>
        <w:gridCol w:w="17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950"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产品种类</w:t>
            </w:r>
          </w:p>
        </w:tc>
        <w:tc>
          <w:tcPr>
            <w:tcW w:w="1196"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color w:val="000000" w:themeColor="text1"/>
                <w:szCs w:val="21"/>
                <w14:textFill>
                  <w14:solidFill>
                    <w14:schemeClr w14:val="tx1"/>
                  </w14:solidFill>
                </w14:textFill>
              </w:rPr>
              <w:t>监测日期</w:t>
            </w:r>
          </w:p>
        </w:tc>
        <w:tc>
          <w:tcPr>
            <w:tcW w:w="950"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设计生产规模</w:t>
            </w:r>
          </w:p>
        </w:tc>
        <w:tc>
          <w:tcPr>
            <w:tcW w:w="951"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实际生产规模</w:t>
            </w:r>
          </w:p>
        </w:tc>
        <w:tc>
          <w:tcPr>
            <w:tcW w:w="951"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生产负荷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950" w:type="pct"/>
            <w:tcBorders>
              <w:bottom w:val="single" w:color="auto" w:sz="4" w:space="0"/>
            </w:tcBorders>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植脂末</w:t>
            </w:r>
          </w:p>
        </w:tc>
        <w:tc>
          <w:tcPr>
            <w:tcW w:w="1196" w:type="pct"/>
            <w:tcBorders>
              <w:bottom w:val="single" w:color="auto" w:sz="4" w:space="0"/>
            </w:tcBorders>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w:t>
            </w:r>
            <w:r>
              <w:rPr>
                <w:rFonts w:hint="eastAsia" w:ascii="Times New Roman" w:hAnsi="Times New Roman" w:eastAsia="宋体" w:cs="Times New Roman"/>
                <w:szCs w:val="21"/>
                <w:lang w:val="en-US" w:eastAsia="zh-CN"/>
              </w:rPr>
              <w:t>4</w:t>
            </w:r>
            <w:r>
              <w:rPr>
                <w:rFonts w:hint="default" w:ascii="Times New Roman" w:hAnsi="Times New Roman" w:eastAsia="宋体" w:cs="Times New Roman"/>
                <w:szCs w:val="21"/>
                <w:lang w:val="en-US" w:eastAsia="zh-CN"/>
              </w:rPr>
              <w:t>.0</w:t>
            </w:r>
            <w:r>
              <w:rPr>
                <w:rFonts w:hint="eastAsia" w:ascii="Times New Roman" w:hAnsi="Times New Roman" w:eastAsia="宋体" w:cs="Times New Roman"/>
                <w:szCs w:val="21"/>
                <w:lang w:val="en-US" w:eastAsia="zh-CN"/>
              </w:rPr>
              <w:t>3</w:t>
            </w:r>
            <w:r>
              <w:rPr>
                <w:rFonts w:hint="default" w:ascii="Times New Roman" w:hAnsi="Times New Roman" w:eastAsia="宋体" w:cs="Times New Roman"/>
                <w:szCs w:val="21"/>
                <w:lang w:val="en-US" w:eastAsia="zh-CN"/>
              </w:rPr>
              <w:t>.0</w:t>
            </w:r>
            <w:r>
              <w:rPr>
                <w:rFonts w:hint="eastAsia" w:ascii="Times New Roman" w:hAnsi="Times New Roman" w:eastAsia="宋体" w:cs="Times New Roman"/>
                <w:szCs w:val="21"/>
                <w:lang w:val="en-US" w:eastAsia="zh-CN"/>
              </w:rPr>
              <w:t>8</w:t>
            </w:r>
            <w:r>
              <w:rPr>
                <w:rFonts w:hint="default" w:ascii="Times New Roman" w:hAnsi="Times New Roman" w:eastAsia="宋体" w:cs="Times New Roman"/>
                <w:szCs w:val="21"/>
                <w:lang w:val="en-US" w:eastAsia="zh-CN"/>
              </w:rPr>
              <w:t>-202</w:t>
            </w:r>
            <w:r>
              <w:rPr>
                <w:rFonts w:hint="eastAsia" w:ascii="Times New Roman" w:hAnsi="Times New Roman" w:eastAsia="宋体" w:cs="Times New Roman"/>
                <w:szCs w:val="21"/>
                <w:lang w:val="en-US" w:eastAsia="zh-CN"/>
              </w:rPr>
              <w:t>4</w:t>
            </w:r>
            <w:r>
              <w:rPr>
                <w:rFonts w:hint="default" w:ascii="Times New Roman" w:hAnsi="Times New Roman" w:eastAsia="宋体" w:cs="Times New Roman"/>
                <w:szCs w:val="21"/>
                <w:lang w:val="en-US" w:eastAsia="zh-CN"/>
              </w:rPr>
              <w:t>.0</w:t>
            </w:r>
            <w:r>
              <w:rPr>
                <w:rFonts w:hint="eastAsia" w:ascii="Times New Roman" w:hAnsi="Times New Roman" w:eastAsia="宋体" w:cs="Times New Roman"/>
                <w:szCs w:val="21"/>
                <w:lang w:val="en-US" w:eastAsia="zh-CN"/>
              </w:rPr>
              <w:t>3</w:t>
            </w:r>
            <w:r>
              <w:rPr>
                <w:rFonts w:hint="default" w:ascii="Times New Roman" w:hAnsi="Times New Roman" w:eastAsia="宋体" w:cs="Times New Roman"/>
                <w:szCs w:val="21"/>
                <w:lang w:val="en-US" w:eastAsia="zh-CN"/>
              </w:rPr>
              <w:t>.0</w:t>
            </w:r>
            <w:r>
              <w:rPr>
                <w:rFonts w:hint="eastAsia" w:ascii="Times New Roman" w:hAnsi="Times New Roman" w:eastAsia="宋体" w:cs="Times New Roman"/>
                <w:szCs w:val="21"/>
                <w:lang w:val="en-US" w:eastAsia="zh-CN"/>
              </w:rPr>
              <w:t>9</w:t>
            </w:r>
          </w:p>
        </w:tc>
        <w:tc>
          <w:tcPr>
            <w:tcW w:w="950" w:type="pc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266.7t/d</w:t>
            </w:r>
          </w:p>
        </w:tc>
        <w:tc>
          <w:tcPr>
            <w:tcW w:w="951" w:type="pct"/>
            <w:vAlign w:val="center"/>
          </w:tcPr>
          <w:p>
            <w:pPr>
              <w:spacing w:line="30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266.7t/d</w:t>
            </w:r>
          </w:p>
        </w:tc>
        <w:tc>
          <w:tcPr>
            <w:tcW w:w="951" w:type="pc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100</w:t>
            </w:r>
            <w:r>
              <w:rPr>
                <w:rFonts w:hint="default" w:ascii="Times New Roman" w:hAnsi="Times New Roman" w:eastAsia="宋体" w:cs="Times New Roman"/>
                <w:szCs w:val="21"/>
              </w:rPr>
              <w:t>%</w:t>
            </w:r>
          </w:p>
        </w:tc>
      </w:tr>
    </w:tbl>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66" w:name="_Toc8087"/>
      <w:bookmarkStart w:id="67" w:name="_Toc2434"/>
      <w:r>
        <w:rPr>
          <w:rFonts w:hint="default" w:ascii="Times New Roman" w:hAnsi="Times New Roman" w:eastAsia="宋体" w:cs="Times New Roman"/>
          <w:b/>
          <w:sz w:val="28"/>
          <w:szCs w:val="32"/>
        </w:rPr>
        <w:t>9.2环保设施调试运行效果</w:t>
      </w:r>
      <w:bookmarkEnd w:id="66"/>
      <w:bookmarkEnd w:id="67"/>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9.2.1污染物达标排放监测结果</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9.2.1.1废水</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该项目未做水质监测。</w:t>
      </w:r>
      <w:r>
        <w:rPr>
          <w:rFonts w:hint="default" w:ascii="Times New Roman" w:hAnsi="Times New Roman" w:eastAsia="宋体" w:cs="Times New Roman"/>
          <w:color w:val="auto"/>
          <w:sz w:val="24"/>
          <w:szCs w:val="24"/>
          <w:lang w:val="en-US" w:eastAsia="zh-CN"/>
        </w:rPr>
        <w:t>本项目无生产废水</w:t>
      </w:r>
      <w:r>
        <w:rPr>
          <w:rFonts w:hint="eastAsia" w:ascii="Times New Roman" w:hAnsi="Times New Roman" w:eastAsia="宋体" w:cs="Times New Roman"/>
          <w:color w:val="auto"/>
          <w:sz w:val="24"/>
          <w:szCs w:val="24"/>
          <w:lang w:val="en-US" w:eastAsia="zh-CN"/>
        </w:rPr>
        <w:t>、生活污水</w:t>
      </w:r>
      <w:r>
        <w:rPr>
          <w:rFonts w:hint="default" w:ascii="Times New Roman" w:hAnsi="Times New Roman" w:eastAsia="宋体" w:cs="Times New Roman"/>
          <w:color w:val="auto"/>
          <w:sz w:val="24"/>
          <w:szCs w:val="24"/>
          <w:lang w:val="en-US" w:eastAsia="zh-CN"/>
        </w:rPr>
        <w:t>产生。</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9.2.1.2废气</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1、有组织排放</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有组织废气监测结果见表9-1。</w:t>
      </w:r>
    </w:p>
    <w:p>
      <w:pPr>
        <w:pStyle w:val="11"/>
        <w:spacing w:after="0" w:line="360" w:lineRule="auto"/>
        <w:ind w:left="0"/>
        <w:jc w:val="center"/>
        <w:rPr>
          <w:rFonts w:hint="default" w:ascii="Times New Roman" w:hAnsi="Times New Roman" w:eastAsia="宋体" w:cs="Times New Roman"/>
          <w:b/>
          <w:bCs w:val="0"/>
          <w:color w:val="000000" w:themeColor="text1"/>
          <w:sz w:val="22"/>
          <w:szCs w:val="24"/>
          <w14:textFill>
            <w14:solidFill>
              <w14:schemeClr w14:val="tx1"/>
            </w14:solidFill>
          </w14:textFill>
        </w:rPr>
      </w:pPr>
      <w:r>
        <w:rPr>
          <w:rFonts w:hint="default" w:ascii="Times New Roman" w:hAnsi="Times New Roman" w:eastAsia="宋体" w:cs="Times New Roman"/>
          <w:b/>
          <w:bCs w:val="0"/>
          <w:color w:val="000000" w:themeColor="text1"/>
          <w:sz w:val="22"/>
          <w:szCs w:val="24"/>
          <w14:textFill>
            <w14:solidFill>
              <w14:schemeClr w14:val="tx1"/>
            </w14:solidFill>
          </w14:textFill>
        </w:rPr>
        <w:t>表9-1</w:t>
      </w:r>
      <w:r>
        <w:rPr>
          <w:rFonts w:hint="default" w:ascii="Times New Roman" w:hAnsi="Times New Roman" w:eastAsia="宋体" w:cs="Times New Roman"/>
          <w:b/>
          <w:bCs w:val="0"/>
          <w:color w:val="0000FF"/>
          <w:sz w:val="22"/>
          <w:szCs w:val="24"/>
          <w:lang w:val="en-US" w:eastAsia="zh-CN"/>
        </w:rPr>
        <w:t xml:space="preserve"> </w:t>
      </w:r>
      <w:r>
        <w:rPr>
          <w:rFonts w:hint="default" w:ascii="Times New Roman" w:hAnsi="Times New Roman" w:eastAsia="宋体" w:cs="Times New Roman"/>
          <w:b/>
          <w:bCs w:val="0"/>
          <w:color w:val="000000" w:themeColor="text1"/>
          <w:sz w:val="22"/>
          <w:szCs w:val="24"/>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2"/>
          <w:szCs w:val="24"/>
          <w14:textFill>
            <w14:solidFill>
              <w14:schemeClr w14:val="tx1"/>
            </w14:solidFill>
          </w14:textFill>
        </w:rPr>
        <w:t xml:space="preserve"> 有组织废气监测结果汇总</w:t>
      </w:r>
    </w:p>
    <w:tbl>
      <w:tblPr>
        <w:tblStyle w:val="30"/>
        <w:tblW w:w="5000" w:type="pct"/>
        <w:jc w:val="center"/>
        <w:tblLayout w:type="autofit"/>
        <w:tblCellMar>
          <w:top w:w="15" w:type="dxa"/>
          <w:left w:w="15" w:type="dxa"/>
          <w:bottom w:w="15" w:type="dxa"/>
          <w:right w:w="15" w:type="dxa"/>
        </w:tblCellMar>
      </w:tblPr>
      <w:tblGrid>
        <w:gridCol w:w="571"/>
        <w:gridCol w:w="926"/>
        <w:gridCol w:w="926"/>
        <w:gridCol w:w="926"/>
        <w:gridCol w:w="926"/>
        <w:gridCol w:w="926"/>
        <w:gridCol w:w="926"/>
        <w:gridCol w:w="927"/>
        <w:gridCol w:w="927"/>
        <w:gridCol w:w="927"/>
      </w:tblGrid>
      <w:tr>
        <w:trPr>
          <w:trHeight w:val="46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采样日期</w:t>
            </w:r>
          </w:p>
        </w:tc>
        <w:tc>
          <w:tcPr>
            <w:tcW w:w="4679" w:type="pct"/>
            <w:gridSpan w:val="9"/>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2024.03.08</w:t>
            </w:r>
          </w:p>
        </w:tc>
      </w:tr>
      <w:tr>
        <w:tblPrEx>
          <w:tblCellMar>
            <w:top w:w="15" w:type="dxa"/>
            <w:left w:w="15" w:type="dxa"/>
            <w:bottom w:w="15" w:type="dxa"/>
            <w:right w:w="15" w:type="dxa"/>
          </w:tblCellMar>
        </w:tblPrEx>
        <w:trPr>
          <w:trHeight w:val="46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检测点位</w:t>
            </w:r>
          </w:p>
        </w:tc>
        <w:tc>
          <w:tcPr>
            <w:tcW w:w="1559" w:type="pct"/>
            <w:gridSpan w:val="3"/>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排气筒出口</w:t>
            </w:r>
          </w:p>
        </w:tc>
        <w:tc>
          <w:tcPr>
            <w:tcW w:w="1559" w:type="pct"/>
            <w:gridSpan w:val="3"/>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DA00</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eastAsia="zh-CN"/>
              </w:rPr>
              <w:t>排气筒出口</w:t>
            </w:r>
          </w:p>
        </w:tc>
        <w:tc>
          <w:tcPr>
            <w:tcW w:w="1560" w:type="pct"/>
            <w:gridSpan w:val="3"/>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lang w:val="en-US" w:eastAsia="zh-CN" w:bidi="ar-SA"/>
              </w:rPr>
              <w:t>DA0</w:t>
            </w:r>
            <w:r>
              <w:rPr>
                <w:rFonts w:hint="eastAsia" w:ascii="Times New Roman" w:hAnsi="Times New Roman" w:eastAsia="宋体" w:cs="Times New Roman"/>
                <w:color w:val="auto"/>
                <w:kern w:val="2"/>
                <w:sz w:val="21"/>
                <w:szCs w:val="21"/>
                <w:lang w:val="en-US" w:eastAsia="zh-CN" w:bidi="ar-SA"/>
              </w:rPr>
              <w:t>06</w:t>
            </w:r>
            <w:r>
              <w:rPr>
                <w:rFonts w:hint="default" w:ascii="Times New Roman" w:hAnsi="Times New Roman" w:eastAsia="宋体" w:cs="Times New Roman"/>
                <w:color w:val="auto"/>
                <w:kern w:val="2"/>
                <w:sz w:val="21"/>
                <w:szCs w:val="21"/>
                <w:lang w:val="en-US" w:eastAsia="zh-CN" w:bidi="ar-SA"/>
              </w:rPr>
              <w:t>排气筒出口</w:t>
            </w:r>
          </w:p>
        </w:tc>
      </w:tr>
      <w:tr>
        <w:tblPrEx>
          <w:tblCellMar>
            <w:top w:w="15" w:type="dxa"/>
            <w:left w:w="15" w:type="dxa"/>
            <w:bottom w:w="15" w:type="dxa"/>
            <w:right w:w="15" w:type="dxa"/>
          </w:tblCellMar>
        </w:tblPrEx>
        <w:trPr>
          <w:trHeight w:val="46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排气筒高度</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内径（m）</w:t>
            </w:r>
          </w:p>
        </w:tc>
        <w:tc>
          <w:tcPr>
            <w:tcW w:w="1559" w:type="pct"/>
            <w:gridSpan w:val="3"/>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48/1.5</w:t>
            </w:r>
          </w:p>
        </w:tc>
        <w:tc>
          <w:tcPr>
            <w:tcW w:w="1559" w:type="pct"/>
            <w:gridSpan w:val="3"/>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48/2.0</w:t>
            </w:r>
          </w:p>
        </w:tc>
        <w:tc>
          <w:tcPr>
            <w:tcW w:w="1560" w:type="pct"/>
            <w:gridSpan w:val="3"/>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lang w:val="en-US" w:eastAsia="zh-CN" w:bidi="ar-SA"/>
              </w:rPr>
              <w:t>35/1.3</w:t>
            </w:r>
          </w:p>
        </w:tc>
      </w:tr>
      <w:tr>
        <w:tblPrEx>
          <w:tblCellMar>
            <w:top w:w="15" w:type="dxa"/>
            <w:left w:w="15" w:type="dxa"/>
            <w:bottom w:w="15" w:type="dxa"/>
            <w:right w:w="15" w:type="dxa"/>
          </w:tblCellMar>
        </w:tblPrEx>
        <w:trPr>
          <w:trHeight w:val="46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采样频次</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第一次</w:t>
            </w:r>
          </w:p>
        </w:tc>
        <w:tc>
          <w:tcPr>
            <w:tcW w:w="519"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二</w:t>
            </w:r>
            <w:r>
              <w:rPr>
                <w:rFonts w:hint="default" w:ascii="Times New Roman" w:hAnsi="Times New Roman" w:eastAsia="宋体" w:cs="Times New Roman"/>
                <w:sz w:val="21"/>
                <w:szCs w:val="21"/>
              </w:rPr>
              <w:t>次</w:t>
            </w:r>
          </w:p>
        </w:tc>
        <w:tc>
          <w:tcPr>
            <w:tcW w:w="519"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三</w:t>
            </w:r>
            <w:r>
              <w:rPr>
                <w:rFonts w:hint="default" w:ascii="Times New Roman" w:hAnsi="Times New Roman" w:eastAsia="宋体" w:cs="Times New Roman"/>
                <w:sz w:val="21"/>
                <w:szCs w:val="21"/>
              </w:rPr>
              <w:t>次</w:t>
            </w:r>
          </w:p>
        </w:tc>
        <w:tc>
          <w:tcPr>
            <w:tcW w:w="519"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519"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二</w:t>
            </w:r>
            <w:r>
              <w:rPr>
                <w:rFonts w:hint="default" w:ascii="Times New Roman" w:hAnsi="Times New Roman" w:eastAsia="宋体" w:cs="Times New Roman"/>
                <w:sz w:val="21"/>
                <w:szCs w:val="21"/>
              </w:rPr>
              <w:t>次</w:t>
            </w:r>
          </w:p>
        </w:tc>
        <w:tc>
          <w:tcPr>
            <w:tcW w:w="519"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三</w:t>
            </w:r>
            <w:r>
              <w:rPr>
                <w:rFonts w:hint="default" w:ascii="Times New Roman" w:hAnsi="Times New Roman" w:eastAsia="宋体" w:cs="Times New Roman"/>
                <w:sz w:val="21"/>
                <w:szCs w:val="21"/>
              </w:rPr>
              <w:t>次</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52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二</w:t>
            </w:r>
            <w:r>
              <w:rPr>
                <w:rFonts w:hint="default" w:ascii="Times New Roman" w:hAnsi="Times New Roman" w:eastAsia="宋体" w:cs="Times New Roman"/>
                <w:sz w:val="21"/>
                <w:szCs w:val="21"/>
              </w:rPr>
              <w:t>次</w:t>
            </w:r>
          </w:p>
        </w:tc>
        <w:tc>
          <w:tcPr>
            <w:tcW w:w="52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三</w:t>
            </w:r>
            <w:r>
              <w:rPr>
                <w:rFonts w:hint="default" w:ascii="Times New Roman" w:hAnsi="Times New Roman" w:eastAsia="宋体" w:cs="Times New Roman"/>
                <w:sz w:val="21"/>
                <w:szCs w:val="21"/>
              </w:rPr>
              <w:t>次</w:t>
            </w:r>
          </w:p>
        </w:tc>
      </w:tr>
      <w:tr>
        <w:tblPrEx>
          <w:tblCellMar>
            <w:top w:w="15" w:type="dxa"/>
            <w:left w:w="15" w:type="dxa"/>
            <w:bottom w:w="15" w:type="dxa"/>
            <w:right w:w="15" w:type="dxa"/>
          </w:tblCellMar>
        </w:tblPrEx>
        <w:trPr>
          <w:trHeight w:val="46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标干流量（Nm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36205</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37073</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37472</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119335</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119574</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114980</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51613</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49093</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51476</w:t>
            </w:r>
          </w:p>
        </w:tc>
      </w:tr>
      <w:tr>
        <w:tblPrEx>
          <w:tblCellMar>
            <w:top w:w="15" w:type="dxa"/>
            <w:left w:w="15" w:type="dxa"/>
            <w:bottom w:w="15" w:type="dxa"/>
            <w:right w:w="15" w:type="dxa"/>
          </w:tblCellMar>
        </w:tblPrEx>
        <w:trPr>
          <w:trHeight w:val="46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烟气温度（℃）</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w:t>
            </w:r>
          </w:p>
        </w:tc>
      </w:tr>
      <w:tr>
        <w:tblPrEx>
          <w:tblCellMar>
            <w:top w:w="15" w:type="dxa"/>
            <w:left w:w="15" w:type="dxa"/>
            <w:bottom w:w="15" w:type="dxa"/>
            <w:right w:w="15" w:type="dxa"/>
          </w:tblCellMar>
        </w:tblPrEx>
        <w:trPr>
          <w:trHeight w:val="46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含氧量（%）</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20.4</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20.1</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20.5</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20.9</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20.4</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w:t>
            </w:r>
          </w:p>
        </w:tc>
      </w:tr>
      <w:tr>
        <w:tblPrEx>
          <w:tblCellMar>
            <w:top w:w="15" w:type="dxa"/>
            <w:left w:w="15" w:type="dxa"/>
            <w:bottom w:w="15" w:type="dxa"/>
            <w:right w:w="15" w:type="dxa"/>
          </w:tblCellMar>
        </w:tblPrEx>
        <w:trPr>
          <w:trHeight w:val="46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含湿量（%）</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4.60</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4.74</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4.85</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4.75</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4.62</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4.83</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6.18</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5.96</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6.23</w:t>
            </w:r>
          </w:p>
        </w:tc>
      </w:tr>
      <w:tr>
        <w:tblPrEx>
          <w:tblCellMar>
            <w:top w:w="15" w:type="dxa"/>
            <w:left w:w="15" w:type="dxa"/>
            <w:bottom w:w="15" w:type="dxa"/>
            <w:right w:w="15" w:type="dxa"/>
          </w:tblCellMar>
        </w:tblPrEx>
        <w:trPr>
          <w:trHeight w:val="63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颗粒物样品编号</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HC24030801-1004</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HC24030801-1005</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HC24030801-1006</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HC24030801-1007</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HC24030801-1008</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HC24030801-1009</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HC24030801-1001</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HC24030801-1002</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HC24030801-1003</w:t>
            </w:r>
          </w:p>
        </w:tc>
      </w:tr>
      <w:tr>
        <w:tblPrEx>
          <w:tblCellMar>
            <w:top w:w="15" w:type="dxa"/>
            <w:left w:w="15" w:type="dxa"/>
            <w:bottom w:w="15" w:type="dxa"/>
            <w:right w:w="15" w:type="dxa"/>
          </w:tblCellMar>
        </w:tblPrEx>
        <w:trPr>
          <w:trHeight w:val="483"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颗粒物检测结果</w:t>
            </w:r>
            <w:r>
              <w:rPr>
                <w:rFonts w:hint="default" w:ascii="Times New Roman" w:hAnsi="Times New Roman" w:eastAsia="宋体" w:cs="Times New Roman"/>
                <w:sz w:val="21"/>
                <w:szCs w:val="21"/>
              </w:rPr>
              <w:t>（</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sz w:val="21"/>
                <w:szCs w:val="21"/>
              </w:rPr>
              <w:t>）</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w:t>
            </w:r>
          </w:p>
        </w:tc>
      </w:tr>
      <w:tr>
        <w:tblPrEx>
          <w:tblCellMar>
            <w:top w:w="15" w:type="dxa"/>
            <w:left w:w="15" w:type="dxa"/>
            <w:bottom w:w="15" w:type="dxa"/>
            <w:right w:w="15" w:type="dxa"/>
          </w:tblCellMar>
        </w:tblPrEx>
        <w:trPr>
          <w:trHeight w:val="483"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textAlignment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lang w:val="en-US" w:eastAsia="zh-CN"/>
              </w:rPr>
              <w:t>颗粒物</w:t>
            </w:r>
            <w:r>
              <w:rPr>
                <w:rFonts w:hint="default" w:ascii="Times New Roman" w:hAnsi="Times New Roman" w:eastAsia="宋体" w:cs="Times New Roman"/>
                <w:sz w:val="21"/>
                <w:szCs w:val="21"/>
              </w:rPr>
              <w:t>排放速率（kg/h）</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0.051</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0.063</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0.045</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0.24</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0.24</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0.077</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0.054</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0.067</w:t>
            </w:r>
          </w:p>
        </w:tc>
      </w:tr>
      <w:tr>
        <w:tblPrEx>
          <w:tblCellMar>
            <w:top w:w="15" w:type="dxa"/>
            <w:left w:w="15" w:type="dxa"/>
            <w:bottom w:w="15" w:type="dxa"/>
            <w:right w:w="15" w:type="dxa"/>
          </w:tblCellMar>
        </w:tblPrEx>
        <w:trPr>
          <w:trHeight w:val="483"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排放浓度（mg/m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ND</w:t>
            </w:r>
          </w:p>
        </w:tc>
      </w:tr>
      <w:tr>
        <w:tblPrEx>
          <w:tblCellMar>
            <w:top w:w="15" w:type="dxa"/>
            <w:left w:w="15" w:type="dxa"/>
            <w:bottom w:w="15" w:type="dxa"/>
            <w:right w:w="15" w:type="dxa"/>
          </w:tblCellMar>
        </w:tblPrEx>
        <w:trPr>
          <w:trHeight w:val="483"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排放速率（kg/h）</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0.22</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0.36</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0.36</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0.17</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0.077</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0.074</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0.077</w:t>
            </w:r>
          </w:p>
        </w:tc>
      </w:tr>
      <w:tr>
        <w:tblPrEx>
          <w:tblCellMar>
            <w:top w:w="15" w:type="dxa"/>
            <w:left w:w="15" w:type="dxa"/>
            <w:bottom w:w="15" w:type="dxa"/>
            <w:right w:w="15" w:type="dxa"/>
          </w:tblCellMar>
        </w:tblPrEx>
        <w:trPr>
          <w:trHeight w:val="46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NOx排放浓度（mg/m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r>
      <w:tr>
        <w:tblPrEx>
          <w:tblCellMar>
            <w:top w:w="15" w:type="dxa"/>
            <w:left w:w="15" w:type="dxa"/>
            <w:bottom w:w="15" w:type="dxa"/>
            <w:right w:w="15" w:type="dxa"/>
          </w:tblCellMar>
        </w:tblPrEx>
        <w:trPr>
          <w:trHeight w:val="526"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NOx排放速率（kg/h）</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0.33</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0.19</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0.60</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0.48</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0.46</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0.31</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0.31</w:t>
            </w:r>
          </w:p>
        </w:tc>
      </w:tr>
      <w:tr>
        <w:tblPrEx>
          <w:tblCellMar>
            <w:top w:w="15" w:type="dxa"/>
            <w:left w:w="15" w:type="dxa"/>
            <w:bottom w:w="15" w:type="dxa"/>
            <w:right w:w="15" w:type="dxa"/>
          </w:tblCellMar>
        </w:tblPrEx>
        <w:trPr>
          <w:trHeight w:val="526" w:hRule="atLeast"/>
          <w:jc w:val="center"/>
        </w:trPr>
        <w:tc>
          <w:tcPr>
            <w:tcW w:w="5000" w:type="pct"/>
            <w:gridSpan w:val="10"/>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eastAsiaTheme="minorEastAsia"/>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备注：“ND”表示未检出；未检出样品排放速率以检出限一半参与计算。</w:t>
            </w:r>
          </w:p>
        </w:tc>
      </w:tr>
    </w:tbl>
    <w:p>
      <w:pPr>
        <w:pStyle w:val="11"/>
        <w:spacing w:after="0" w:line="360" w:lineRule="auto"/>
        <w:ind w:left="0" w:firstLine="480" w:firstLineChars="200"/>
        <w:rPr>
          <w:rFonts w:hint="default" w:ascii="Times New Roman" w:hAnsi="Times New Roman" w:eastAsia="宋体" w:cs="Times New Roman"/>
          <w:color w:val="000000"/>
          <w:sz w:val="24"/>
          <w:szCs w:val="28"/>
        </w:rPr>
      </w:pPr>
    </w:p>
    <w:tbl>
      <w:tblPr>
        <w:tblStyle w:val="30"/>
        <w:tblW w:w="5000" w:type="pct"/>
        <w:jc w:val="center"/>
        <w:tblLayout w:type="autofit"/>
        <w:tblCellMar>
          <w:top w:w="15" w:type="dxa"/>
          <w:left w:w="15" w:type="dxa"/>
          <w:bottom w:w="15" w:type="dxa"/>
          <w:right w:w="15" w:type="dxa"/>
        </w:tblCellMar>
      </w:tblPr>
      <w:tblGrid>
        <w:gridCol w:w="571"/>
        <w:gridCol w:w="926"/>
        <w:gridCol w:w="926"/>
        <w:gridCol w:w="926"/>
        <w:gridCol w:w="926"/>
        <w:gridCol w:w="926"/>
        <w:gridCol w:w="926"/>
        <w:gridCol w:w="927"/>
        <w:gridCol w:w="927"/>
        <w:gridCol w:w="927"/>
      </w:tblGrid>
      <w:tr>
        <w:tblPrEx>
          <w:tblCellMar>
            <w:top w:w="15" w:type="dxa"/>
            <w:left w:w="15" w:type="dxa"/>
            <w:bottom w:w="15" w:type="dxa"/>
            <w:right w:w="15" w:type="dxa"/>
          </w:tblCellMar>
        </w:tblPrEx>
        <w:trPr>
          <w:trHeight w:val="45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采样日期</w:t>
            </w:r>
          </w:p>
        </w:tc>
        <w:tc>
          <w:tcPr>
            <w:tcW w:w="4679" w:type="pct"/>
            <w:gridSpan w:val="9"/>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2024.03.09</w:t>
            </w:r>
          </w:p>
        </w:tc>
      </w:tr>
      <w:tr>
        <w:tblPrEx>
          <w:tblCellMar>
            <w:top w:w="15" w:type="dxa"/>
            <w:left w:w="15" w:type="dxa"/>
            <w:bottom w:w="15" w:type="dxa"/>
            <w:right w:w="15" w:type="dxa"/>
          </w:tblCellMar>
        </w:tblPrEx>
        <w:trPr>
          <w:trHeight w:val="45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检测点位</w:t>
            </w:r>
          </w:p>
        </w:tc>
        <w:tc>
          <w:tcPr>
            <w:tcW w:w="1559" w:type="pct"/>
            <w:gridSpan w:val="3"/>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eastAsia" w:ascii="Times New Roman" w:hAnsi="Times New Roman"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排气筒出口</w:t>
            </w:r>
          </w:p>
        </w:tc>
        <w:tc>
          <w:tcPr>
            <w:tcW w:w="1559" w:type="pct"/>
            <w:gridSpan w:val="3"/>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DA00</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eastAsia="zh-CN"/>
              </w:rPr>
              <w:t>排气筒出口</w:t>
            </w:r>
          </w:p>
        </w:tc>
        <w:tc>
          <w:tcPr>
            <w:tcW w:w="1560" w:type="pct"/>
            <w:gridSpan w:val="3"/>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lang w:val="en-US" w:eastAsia="zh-CN" w:bidi="ar-SA"/>
              </w:rPr>
              <w:t>DA00</w:t>
            </w:r>
            <w:r>
              <w:rPr>
                <w:rFonts w:hint="eastAsia" w:ascii="Times New Roman" w:hAnsi="Times New Roman" w:cs="Times New Roman"/>
                <w:color w:val="auto"/>
                <w:kern w:val="2"/>
                <w:sz w:val="21"/>
                <w:szCs w:val="21"/>
                <w:lang w:val="en-US" w:eastAsia="zh-CN" w:bidi="ar-SA"/>
              </w:rPr>
              <w:t>6</w:t>
            </w:r>
            <w:r>
              <w:rPr>
                <w:rFonts w:hint="default" w:ascii="Times New Roman" w:hAnsi="Times New Roman" w:eastAsia="宋体" w:cs="Times New Roman"/>
                <w:color w:val="auto"/>
                <w:kern w:val="2"/>
                <w:sz w:val="21"/>
                <w:szCs w:val="21"/>
                <w:lang w:val="en-US" w:eastAsia="zh-CN" w:bidi="ar-SA"/>
              </w:rPr>
              <w:t>排气筒出口</w:t>
            </w:r>
          </w:p>
        </w:tc>
      </w:tr>
      <w:tr>
        <w:tblPrEx>
          <w:tblCellMar>
            <w:top w:w="15" w:type="dxa"/>
            <w:left w:w="15" w:type="dxa"/>
            <w:bottom w:w="15" w:type="dxa"/>
            <w:right w:w="15" w:type="dxa"/>
          </w:tblCellMar>
        </w:tblPrEx>
        <w:trPr>
          <w:trHeight w:val="45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排气筒高度</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内径（m）</w:t>
            </w:r>
          </w:p>
        </w:tc>
        <w:tc>
          <w:tcPr>
            <w:tcW w:w="1559" w:type="pct"/>
            <w:gridSpan w:val="3"/>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48/1.5</w:t>
            </w:r>
          </w:p>
        </w:tc>
        <w:tc>
          <w:tcPr>
            <w:tcW w:w="1559" w:type="pct"/>
            <w:gridSpan w:val="3"/>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48/2.0</w:t>
            </w:r>
          </w:p>
        </w:tc>
        <w:tc>
          <w:tcPr>
            <w:tcW w:w="1560" w:type="pct"/>
            <w:gridSpan w:val="3"/>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jc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color w:val="auto"/>
                <w:kern w:val="2"/>
                <w:sz w:val="21"/>
                <w:szCs w:val="21"/>
                <w:lang w:val="en-US" w:eastAsia="zh-CN" w:bidi="ar-SA"/>
              </w:rPr>
              <w:t>35/1.3</w:t>
            </w:r>
          </w:p>
        </w:tc>
      </w:tr>
      <w:tr>
        <w:tblPrEx>
          <w:tblCellMar>
            <w:top w:w="15" w:type="dxa"/>
            <w:left w:w="15" w:type="dxa"/>
            <w:bottom w:w="15" w:type="dxa"/>
            <w:right w:w="15" w:type="dxa"/>
          </w:tblCellMar>
        </w:tblPrEx>
        <w:trPr>
          <w:trHeight w:val="45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采样频次</w:t>
            </w:r>
          </w:p>
        </w:tc>
        <w:tc>
          <w:tcPr>
            <w:tcW w:w="519"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第一次</w:t>
            </w:r>
          </w:p>
        </w:tc>
        <w:tc>
          <w:tcPr>
            <w:tcW w:w="519"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第</w:t>
            </w:r>
            <w:r>
              <w:rPr>
                <w:rFonts w:hint="default" w:ascii="Times New Roman" w:hAnsi="Times New Roman" w:cs="Times New Roman"/>
                <w:sz w:val="21"/>
                <w:szCs w:val="21"/>
                <w:lang w:val="en-US" w:eastAsia="zh-CN"/>
              </w:rPr>
              <w:t>二</w:t>
            </w:r>
            <w:r>
              <w:rPr>
                <w:rFonts w:hint="default" w:ascii="Times New Roman" w:hAnsi="Times New Roman" w:cs="Times New Roman"/>
                <w:sz w:val="21"/>
                <w:szCs w:val="21"/>
              </w:rPr>
              <w:t>次</w:t>
            </w:r>
          </w:p>
        </w:tc>
        <w:tc>
          <w:tcPr>
            <w:tcW w:w="519"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第</w:t>
            </w:r>
            <w:r>
              <w:rPr>
                <w:rFonts w:hint="default" w:ascii="Times New Roman" w:hAnsi="Times New Roman" w:cs="Times New Roman"/>
                <w:sz w:val="21"/>
                <w:szCs w:val="21"/>
                <w:lang w:val="en-US" w:eastAsia="zh-CN"/>
              </w:rPr>
              <w:t>三</w:t>
            </w:r>
            <w:r>
              <w:rPr>
                <w:rFonts w:hint="default" w:ascii="Times New Roman" w:hAnsi="Times New Roman" w:cs="Times New Roman"/>
                <w:sz w:val="21"/>
                <w:szCs w:val="21"/>
              </w:rPr>
              <w:t>次</w:t>
            </w:r>
          </w:p>
        </w:tc>
        <w:tc>
          <w:tcPr>
            <w:tcW w:w="519"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default" w:ascii="Times New Roman" w:hAnsi="Times New Roman" w:cs="Times New Roman"/>
                <w:sz w:val="21"/>
                <w:szCs w:val="21"/>
              </w:rPr>
            </w:pPr>
            <w:r>
              <w:rPr>
                <w:rFonts w:hint="default" w:ascii="Times New Roman" w:hAnsi="Times New Roman" w:cs="Times New Roman"/>
                <w:sz w:val="21"/>
                <w:szCs w:val="21"/>
              </w:rPr>
              <w:t>第一次</w:t>
            </w:r>
          </w:p>
        </w:tc>
        <w:tc>
          <w:tcPr>
            <w:tcW w:w="519"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default" w:ascii="Times New Roman" w:hAnsi="Times New Roman" w:cs="Times New Roman"/>
                <w:sz w:val="21"/>
                <w:szCs w:val="21"/>
              </w:rPr>
            </w:pPr>
            <w:r>
              <w:rPr>
                <w:rFonts w:hint="default" w:ascii="Times New Roman" w:hAnsi="Times New Roman" w:cs="Times New Roman"/>
                <w:sz w:val="21"/>
                <w:szCs w:val="21"/>
              </w:rPr>
              <w:t>第</w:t>
            </w:r>
            <w:r>
              <w:rPr>
                <w:rFonts w:hint="default" w:ascii="Times New Roman" w:hAnsi="Times New Roman" w:cs="Times New Roman"/>
                <w:sz w:val="21"/>
                <w:szCs w:val="21"/>
                <w:lang w:val="en-US" w:eastAsia="zh-CN"/>
              </w:rPr>
              <w:t>二</w:t>
            </w:r>
            <w:r>
              <w:rPr>
                <w:rFonts w:hint="default" w:ascii="Times New Roman" w:hAnsi="Times New Roman" w:cs="Times New Roman"/>
                <w:sz w:val="21"/>
                <w:szCs w:val="21"/>
              </w:rPr>
              <w:t>次</w:t>
            </w:r>
          </w:p>
        </w:tc>
        <w:tc>
          <w:tcPr>
            <w:tcW w:w="519"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default" w:ascii="Times New Roman" w:hAnsi="Times New Roman" w:cs="Times New Roman"/>
                <w:sz w:val="21"/>
                <w:szCs w:val="21"/>
              </w:rPr>
            </w:pPr>
            <w:r>
              <w:rPr>
                <w:rFonts w:hint="default" w:ascii="Times New Roman" w:hAnsi="Times New Roman" w:cs="Times New Roman"/>
                <w:sz w:val="21"/>
                <w:szCs w:val="21"/>
              </w:rPr>
              <w:t>第</w:t>
            </w:r>
            <w:r>
              <w:rPr>
                <w:rFonts w:hint="default" w:ascii="Times New Roman" w:hAnsi="Times New Roman" w:cs="Times New Roman"/>
                <w:sz w:val="21"/>
                <w:szCs w:val="21"/>
                <w:lang w:val="en-US" w:eastAsia="zh-CN"/>
              </w:rPr>
              <w:t>三</w:t>
            </w:r>
            <w:r>
              <w:rPr>
                <w:rFonts w:hint="default" w:ascii="Times New Roman" w:hAnsi="Times New Roman" w:cs="Times New Roman"/>
                <w:sz w:val="21"/>
                <w:szCs w:val="21"/>
              </w:rPr>
              <w:t>次</w:t>
            </w:r>
          </w:p>
        </w:tc>
        <w:tc>
          <w:tcPr>
            <w:tcW w:w="5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jc w:val="center"/>
              <w:rPr>
                <w:rFonts w:hint="default" w:ascii="Times New Roman" w:hAnsi="Times New Roman" w:cs="Times New Roman"/>
                <w:sz w:val="21"/>
                <w:szCs w:val="21"/>
              </w:rPr>
            </w:pPr>
            <w:r>
              <w:rPr>
                <w:rFonts w:hint="default" w:ascii="Times New Roman" w:hAnsi="Times New Roman" w:cs="Times New Roman"/>
                <w:sz w:val="21"/>
                <w:szCs w:val="21"/>
              </w:rPr>
              <w:t>第一次</w:t>
            </w:r>
          </w:p>
        </w:tc>
        <w:tc>
          <w:tcPr>
            <w:tcW w:w="520"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default" w:ascii="Times New Roman" w:hAnsi="Times New Roman" w:cs="Times New Roman"/>
                <w:sz w:val="21"/>
                <w:szCs w:val="21"/>
              </w:rPr>
            </w:pPr>
            <w:r>
              <w:rPr>
                <w:rFonts w:hint="default" w:ascii="Times New Roman" w:hAnsi="Times New Roman" w:cs="Times New Roman"/>
                <w:sz w:val="21"/>
                <w:szCs w:val="21"/>
              </w:rPr>
              <w:t>第</w:t>
            </w:r>
            <w:r>
              <w:rPr>
                <w:rFonts w:hint="default" w:ascii="Times New Roman" w:hAnsi="Times New Roman" w:cs="Times New Roman"/>
                <w:sz w:val="21"/>
                <w:szCs w:val="21"/>
                <w:lang w:val="en-US" w:eastAsia="zh-CN"/>
              </w:rPr>
              <w:t>二</w:t>
            </w:r>
            <w:r>
              <w:rPr>
                <w:rFonts w:hint="default" w:ascii="Times New Roman" w:hAnsi="Times New Roman" w:cs="Times New Roman"/>
                <w:sz w:val="21"/>
                <w:szCs w:val="21"/>
              </w:rPr>
              <w:t>次</w:t>
            </w:r>
          </w:p>
        </w:tc>
        <w:tc>
          <w:tcPr>
            <w:tcW w:w="520"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default" w:ascii="Times New Roman" w:hAnsi="Times New Roman" w:cs="Times New Roman"/>
                <w:sz w:val="21"/>
                <w:szCs w:val="21"/>
              </w:rPr>
            </w:pPr>
            <w:r>
              <w:rPr>
                <w:rFonts w:hint="default" w:ascii="Times New Roman" w:hAnsi="Times New Roman" w:cs="Times New Roman"/>
                <w:sz w:val="21"/>
                <w:szCs w:val="21"/>
              </w:rPr>
              <w:t>第</w:t>
            </w:r>
            <w:r>
              <w:rPr>
                <w:rFonts w:hint="default" w:ascii="Times New Roman" w:hAnsi="Times New Roman" w:cs="Times New Roman"/>
                <w:sz w:val="21"/>
                <w:szCs w:val="21"/>
                <w:lang w:val="en-US" w:eastAsia="zh-CN"/>
              </w:rPr>
              <w:t>三</w:t>
            </w:r>
            <w:r>
              <w:rPr>
                <w:rFonts w:hint="default" w:ascii="Times New Roman" w:hAnsi="Times New Roman" w:cs="Times New Roman"/>
                <w:sz w:val="21"/>
                <w:szCs w:val="21"/>
              </w:rPr>
              <w:t>次</w:t>
            </w:r>
          </w:p>
        </w:tc>
      </w:tr>
      <w:tr>
        <w:tblPrEx>
          <w:tblCellMar>
            <w:top w:w="15" w:type="dxa"/>
            <w:left w:w="15" w:type="dxa"/>
            <w:bottom w:w="15" w:type="dxa"/>
            <w:right w:w="15" w:type="dxa"/>
          </w:tblCellMar>
        </w:tblPrEx>
        <w:trPr>
          <w:trHeight w:val="45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标干流量（Nm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37351</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38020</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36999</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121521</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118458</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120956</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53505</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53250</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52692</w:t>
            </w:r>
          </w:p>
        </w:tc>
      </w:tr>
      <w:tr>
        <w:tblPrEx>
          <w:tblCellMar>
            <w:top w:w="15" w:type="dxa"/>
            <w:left w:w="15" w:type="dxa"/>
            <w:bottom w:w="15" w:type="dxa"/>
            <w:right w:w="15" w:type="dxa"/>
          </w:tblCellMar>
        </w:tblPrEx>
        <w:trPr>
          <w:trHeight w:val="45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烟</w:t>
            </w:r>
            <w:r>
              <w:rPr>
                <w:rFonts w:hint="eastAsia" w:ascii="Times New Roman" w:hAnsi="Times New Roman" w:cs="Times New Roman"/>
                <w:color w:val="000000"/>
                <w:sz w:val="21"/>
                <w:szCs w:val="21"/>
                <w:lang w:val="en-US" w:eastAsia="zh-CN"/>
              </w:rPr>
              <w:t>气</w:t>
            </w:r>
            <w:r>
              <w:rPr>
                <w:rFonts w:hint="default" w:ascii="Times New Roman" w:hAnsi="Times New Roman" w:eastAsia="宋体" w:cs="Times New Roman"/>
                <w:color w:val="000000"/>
                <w:sz w:val="21"/>
                <w:szCs w:val="21"/>
                <w:lang w:val="en-US" w:eastAsia="zh-CN"/>
              </w:rPr>
              <w:t>温</w:t>
            </w:r>
            <w:r>
              <w:rPr>
                <w:rFonts w:hint="eastAsia" w:ascii="Times New Roman" w:hAnsi="Times New Roman" w:cs="Times New Roman"/>
                <w:color w:val="000000"/>
                <w:sz w:val="21"/>
                <w:szCs w:val="21"/>
                <w:lang w:val="en-US" w:eastAsia="zh-CN"/>
              </w:rPr>
              <w:t>度</w:t>
            </w:r>
            <w:r>
              <w:rPr>
                <w:rFonts w:hint="default" w:ascii="Times New Roman" w:hAnsi="Times New Roman" w:eastAsia="宋体" w:cs="Times New Roman"/>
                <w:color w:val="000000"/>
                <w:sz w:val="21"/>
                <w:szCs w:val="21"/>
                <w:lang w:val="en-US" w:eastAsia="zh-CN"/>
              </w:rPr>
              <w:t>（℃）</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89</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78</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80</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75</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52</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52</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52</w:t>
            </w:r>
          </w:p>
        </w:tc>
      </w:tr>
      <w:tr>
        <w:tblPrEx>
          <w:tblCellMar>
            <w:top w:w="15" w:type="dxa"/>
            <w:left w:w="15" w:type="dxa"/>
            <w:bottom w:w="15" w:type="dxa"/>
            <w:right w:w="15" w:type="dxa"/>
          </w:tblCellMar>
        </w:tblPrEx>
        <w:trPr>
          <w:cantSplit/>
          <w:trHeight w:val="45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含氧量（%）</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20.5</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20.3</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20.1</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20.1</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20.3</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20.5</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20.5</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20.3</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20.5</w:t>
            </w:r>
          </w:p>
        </w:tc>
      </w:tr>
      <w:tr>
        <w:tblPrEx>
          <w:tblCellMar>
            <w:top w:w="15" w:type="dxa"/>
            <w:left w:w="15" w:type="dxa"/>
            <w:bottom w:w="15" w:type="dxa"/>
            <w:right w:w="15" w:type="dxa"/>
          </w:tblCellMar>
        </w:tblPrEx>
        <w:trPr>
          <w:trHeight w:val="45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含湿量</w:t>
            </w:r>
            <w:r>
              <w:rPr>
                <w:rFonts w:hint="default" w:ascii="Times New Roman" w:hAnsi="Times New Roman" w:eastAsia="宋体" w:cs="Times New Roman"/>
                <w:sz w:val="21"/>
                <w:szCs w:val="21"/>
                <w:lang w:val="en-US" w:eastAsia="zh-CN"/>
              </w:rPr>
              <w:t>（%）</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4.69</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4.70</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4.76</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4.63</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4.71</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4.54</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6.12</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6.02</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6.27</w:t>
            </w:r>
          </w:p>
        </w:tc>
      </w:tr>
      <w:tr>
        <w:tblPrEx>
          <w:tblCellMar>
            <w:top w:w="15" w:type="dxa"/>
            <w:left w:w="15" w:type="dxa"/>
            <w:bottom w:w="15" w:type="dxa"/>
            <w:right w:w="15" w:type="dxa"/>
          </w:tblCellMar>
        </w:tblPrEx>
        <w:trPr>
          <w:trHeight w:val="567"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颗粒物</w:t>
            </w:r>
            <w:r>
              <w:rPr>
                <w:rFonts w:hint="default" w:ascii="Times New Roman" w:hAnsi="Times New Roman" w:eastAsia="宋体" w:cs="Times New Roman"/>
                <w:sz w:val="21"/>
                <w:szCs w:val="21"/>
                <w:lang w:val="en-US" w:eastAsia="zh-CN"/>
              </w:rPr>
              <w:t>样品编号</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004</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005</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006</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007</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008</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009</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001</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002</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HC24030801-</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003</w:t>
            </w:r>
          </w:p>
        </w:tc>
      </w:tr>
      <w:tr>
        <w:tblPrEx>
          <w:tblCellMar>
            <w:top w:w="15" w:type="dxa"/>
            <w:left w:w="15" w:type="dxa"/>
            <w:bottom w:w="15" w:type="dxa"/>
            <w:right w:w="15" w:type="dxa"/>
          </w:tblCellMar>
        </w:tblPrEx>
        <w:trPr>
          <w:trHeight w:val="467"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颗粒物</w:t>
            </w:r>
            <w:r>
              <w:rPr>
                <w:rFonts w:hint="default" w:ascii="Times New Roman" w:hAnsi="Times New Roman" w:eastAsia="宋体" w:cs="Times New Roman"/>
                <w:sz w:val="21"/>
                <w:szCs w:val="21"/>
                <w:lang w:val="en-US" w:eastAsia="zh-CN"/>
              </w:rPr>
              <w:t>检测结果</w:t>
            </w:r>
            <w:r>
              <w:rPr>
                <w:rFonts w:hint="default" w:ascii="Times New Roman" w:hAnsi="Times New Roman" w:cs="Times New Roman"/>
                <w:sz w:val="21"/>
                <w:szCs w:val="21"/>
              </w:rPr>
              <w:t>（</w:t>
            </w:r>
            <w:r>
              <w:rPr>
                <w:rFonts w:hint="default" w:ascii="Times New Roman" w:hAnsi="Times New Roman" w:cs="Times New Roman"/>
                <w:color w:val="000000"/>
                <w:sz w:val="21"/>
                <w:szCs w:val="21"/>
              </w:rPr>
              <w:t>mg/m</w:t>
            </w:r>
            <w:r>
              <w:rPr>
                <w:rFonts w:hint="default" w:ascii="Times New Roman" w:hAnsi="Times New Roman" w:cs="Times New Roman"/>
                <w:color w:val="000000"/>
                <w:sz w:val="21"/>
                <w:szCs w:val="21"/>
                <w:vertAlign w:val="superscript"/>
              </w:rPr>
              <w:t>3</w:t>
            </w:r>
            <w:r>
              <w:rPr>
                <w:rFonts w:hint="default" w:ascii="Times New Roman" w:hAnsi="Times New Roman" w:cs="Times New Roman"/>
                <w:sz w:val="21"/>
                <w:szCs w:val="21"/>
              </w:rPr>
              <w:t>）</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1.6</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1.1</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1.4</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2.3</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2.2</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1.3</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w:t>
            </w:r>
          </w:p>
        </w:tc>
      </w:tr>
      <w:tr>
        <w:tblPrEx>
          <w:tblCellMar>
            <w:top w:w="15" w:type="dxa"/>
            <w:left w:w="15" w:type="dxa"/>
            <w:bottom w:w="15" w:type="dxa"/>
            <w:right w:w="15" w:type="dxa"/>
          </w:tblCellMar>
        </w:tblPrEx>
        <w:trPr>
          <w:trHeight w:val="467"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sz w:val="21"/>
                <w:szCs w:val="21"/>
                <w:lang w:val="en-US" w:eastAsia="zh-CN"/>
              </w:rPr>
              <w:t>颗粒物</w:t>
            </w:r>
            <w:r>
              <w:rPr>
                <w:rFonts w:hint="default" w:ascii="Times New Roman" w:hAnsi="Times New Roman" w:cs="Times New Roman"/>
                <w:sz w:val="21"/>
                <w:szCs w:val="21"/>
              </w:rPr>
              <w:t>排放速率（kg/h）</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0.060</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0.042 </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0.052 </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0.28 </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0.24 </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0.27 </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0.070 </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0.053 </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0.063 </w:t>
            </w:r>
          </w:p>
        </w:tc>
      </w:tr>
      <w:tr>
        <w:tblPrEx>
          <w:tblCellMar>
            <w:top w:w="15" w:type="dxa"/>
            <w:left w:w="15" w:type="dxa"/>
            <w:bottom w:w="15" w:type="dxa"/>
            <w:right w:w="15" w:type="dxa"/>
          </w:tblCellMar>
        </w:tblPrEx>
        <w:trPr>
          <w:cantSplit/>
          <w:trHeight w:val="465"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排放浓度（mg/m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p>
        </w:tc>
      </w:tr>
      <w:tr>
        <w:tblPrEx>
          <w:tblCellMar>
            <w:top w:w="15" w:type="dxa"/>
            <w:left w:w="15" w:type="dxa"/>
            <w:bottom w:w="15" w:type="dxa"/>
            <w:right w:w="15" w:type="dxa"/>
          </w:tblCellMar>
        </w:tblPrEx>
        <w:trPr>
          <w:trHeight w:val="467"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sz w:val="21"/>
                <w:szCs w:val="21"/>
                <w:lang w:val="en-US" w:eastAsia="zh-CN"/>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排放速率（kg/h）</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0.15 </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0.057 </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0.15 </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0.18 </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0.18 </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0.36 </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0.16</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0.080 </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0.16 </w:t>
            </w:r>
          </w:p>
        </w:tc>
      </w:tr>
      <w:tr>
        <w:tblPrEx>
          <w:tblCellMar>
            <w:top w:w="15" w:type="dxa"/>
            <w:left w:w="15" w:type="dxa"/>
            <w:bottom w:w="15" w:type="dxa"/>
            <w:right w:w="15" w:type="dxa"/>
          </w:tblCellMar>
        </w:tblPrEx>
        <w:trPr>
          <w:trHeight w:val="45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sz w:val="21"/>
                <w:szCs w:val="21"/>
                <w:lang w:val="en-US" w:eastAsia="zh-CN"/>
              </w:rPr>
            </w:pPr>
            <w:r>
              <w:rPr>
                <w:rFonts w:hint="default" w:ascii="Times New Roman" w:hAnsi="Times New Roman" w:eastAsia="宋体" w:cs="Times New Roman"/>
                <w:color w:val="auto"/>
                <w:sz w:val="21"/>
                <w:szCs w:val="21"/>
                <w:lang w:val="en-US" w:eastAsia="zh-CN"/>
              </w:rPr>
              <w:t>NOx排放浓度（mg/m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w:t>
            </w:r>
          </w:p>
        </w:tc>
      </w:tr>
      <w:tr>
        <w:tblPrEx>
          <w:tblCellMar>
            <w:top w:w="15" w:type="dxa"/>
            <w:left w:w="15" w:type="dxa"/>
            <w:bottom w:w="15" w:type="dxa"/>
            <w:right w:w="15" w:type="dxa"/>
          </w:tblCellMar>
        </w:tblPrEx>
        <w:trPr>
          <w:trHeight w:val="530"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sz w:val="21"/>
                <w:szCs w:val="21"/>
                <w:lang w:val="en-US" w:eastAsia="zh-CN"/>
              </w:rPr>
            </w:pPr>
            <w:r>
              <w:rPr>
                <w:rFonts w:hint="default" w:ascii="Times New Roman" w:hAnsi="Times New Roman" w:eastAsia="宋体" w:cs="Times New Roman"/>
                <w:color w:val="auto"/>
                <w:sz w:val="21"/>
                <w:szCs w:val="21"/>
                <w:lang w:val="en-US" w:eastAsia="zh-CN"/>
              </w:rPr>
              <w:t>NOx排放速率（kg/h）</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0.26 </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0.23 </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0.15 </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0.61 </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0.59 </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0.48 </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0.37 </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0.27</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0.37 </w:t>
            </w:r>
          </w:p>
        </w:tc>
      </w:tr>
      <w:tr>
        <w:tblPrEx>
          <w:tblCellMar>
            <w:top w:w="15" w:type="dxa"/>
            <w:left w:w="15" w:type="dxa"/>
            <w:bottom w:w="15" w:type="dxa"/>
            <w:right w:w="15" w:type="dxa"/>
          </w:tblCellMar>
        </w:tblPrEx>
        <w:trPr>
          <w:trHeight w:val="530" w:hRule="atLeast"/>
          <w:jc w:val="center"/>
        </w:trPr>
        <w:tc>
          <w:tcPr>
            <w:tcW w:w="5000" w:type="pct"/>
            <w:gridSpan w:val="10"/>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备注：“ND”表示未检出；未检出样品排放速率以检出限一半参与计算。</w:t>
            </w:r>
          </w:p>
        </w:tc>
      </w:tr>
    </w:tbl>
    <w:p>
      <w:pPr>
        <w:pStyle w:val="11"/>
        <w:spacing w:after="0" w:line="360" w:lineRule="auto"/>
        <w:ind w:left="0" w:firstLine="480" w:firstLineChars="200"/>
        <w:rPr>
          <w:rFonts w:hint="default" w:ascii="Times New Roman" w:hAnsi="Times New Roman" w:eastAsia="宋体" w:cs="Times New Roman"/>
          <w:sz w:val="24"/>
          <w:szCs w:val="20"/>
          <w:lang w:val="en-US" w:eastAsia="zh-CN"/>
        </w:rPr>
      </w:pPr>
      <w:r>
        <w:rPr>
          <w:rFonts w:hint="default" w:ascii="Times New Roman" w:hAnsi="Times New Roman" w:eastAsia="宋体" w:cs="Times New Roman"/>
          <w:color w:val="000000"/>
          <w:sz w:val="24"/>
          <w:szCs w:val="28"/>
        </w:rPr>
        <w:t>由表9-1可知，验收监测期间，</w:t>
      </w:r>
      <w:bookmarkStart w:id="68" w:name="_Hlk47977346"/>
      <w:r>
        <w:rPr>
          <w:rFonts w:hint="default" w:ascii="Times New Roman" w:hAnsi="Times New Roman" w:eastAsia="宋体" w:cs="Times New Roman"/>
          <w:color w:val="000000"/>
          <w:sz w:val="24"/>
          <w:szCs w:val="28"/>
          <w:lang w:val="en-US" w:eastAsia="zh-CN"/>
        </w:rPr>
        <w:t>排气筒</w:t>
      </w:r>
      <w:r>
        <w:rPr>
          <w:rFonts w:hint="eastAsia" w:ascii="Times New Roman" w:hAnsi="Times New Roman" w:eastAsia="宋体" w:cs="Times New Roman"/>
          <w:color w:val="000000"/>
          <w:sz w:val="24"/>
          <w:szCs w:val="28"/>
          <w:lang w:val="en-US" w:eastAsia="zh-CN"/>
        </w:rPr>
        <w:t>DA004、DA005、DA006</w:t>
      </w:r>
      <w:r>
        <w:rPr>
          <w:rFonts w:hint="default" w:ascii="Times New Roman" w:hAnsi="Times New Roman" w:eastAsia="宋体" w:cs="Times New Roman"/>
          <w:color w:val="000000"/>
          <w:sz w:val="24"/>
          <w:szCs w:val="28"/>
        </w:rPr>
        <w:t>废气有组织污染物</w:t>
      </w:r>
      <w:r>
        <w:rPr>
          <w:rFonts w:hint="default" w:ascii="Times New Roman" w:hAnsi="Times New Roman" w:eastAsia="宋体" w:cs="Times New Roman"/>
          <w:color w:val="000000"/>
          <w:sz w:val="24"/>
          <w:szCs w:val="28"/>
          <w:lang w:val="en-US" w:eastAsia="zh-CN"/>
        </w:rPr>
        <w:t>颗粒物</w:t>
      </w:r>
      <w:r>
        <w:rPr>
          <w:rFonts w:hint="default" w:ascii="Times New Roman" w:hAnsi="Times New Roman" w:eastAsia="宋体" w:cs="Times New Roman"/>
          <w:color w:val="000000"/>
          <w:sz w:val="24"/>
          <w:szCs w:val="28"/>
        </w:rPr>
        <w:t>最大排放浓度为</w:t>
      </w:r>
      <w:r>
        <w:rPr>
          <w:rFonts w:hint="eastAsia" w:cs="Times New Roman"/>
          <w:color w:val="000000"/>
          <w:sz w:val="24"/>
          <w:szCs w:val="28"/>
          <w:lang w:val="en-US" w:eastAsia="zh-CN"/>
        </w:rPr>
        <w:t>2.3</w:t>
      </w:r>
      <w:r>
        <w:rPr>
          <w:rFonts w:hint="default" w:ascii="Times New Roman" w:hAnsi="Times New Roman" w:eastAsia="宋体" w:cs="Times New Roman"/>
          <w:color w:val="000000"/>
          <w:sz w:val="24"/>
          <w:szCs w:val="28"/>
        </w:rPr>
        <w:t>mg/m</w:t>
      </w:r>
      <w:r>
        <w:rPr>
          <w:rFonts w:hint="default" w:ascii="Times New Roman" w:hAnsi="Times New Roman" w:eastAsia="宋体" w:cs="Times New Roman"/>
          <w:color w:val="000000"/>
          <w:sz w:val="24"/>
          <w:szCs w:val="28"/>
          <w:vertAlign w:val="superscript"/>
        </w:rPr>
        <w:t>3</w:t>
      </w:r>
      <w:r>
        <w:rPr>
          <w:rFonts w:hint="default" w:ascii="Times New Roman" w:hAnsi="Times New Roman" w:eastAsia="宋体" w:cs="Times New Roman"/>
          <w:color w:val="000000"/>
          <w:sz w:val="24"/>
          <w:szCs w:val="28"/>
        </w:rPr>
        <w:t>，最大排放速率为</w:t>
      </w:r>
      <w:r>
        <w:rPr>
          <w:rFonts w:hint="default" w:ascii="Times New Roman" w:hAnsi="Times New Roman" w:eastAsia="宋体" w:cs="Times New Roman"/>
          <w:color w:val="000000"/>
          <w:sz w:val="24"/>
          <w:szCs w:val="28"/>
          <w:lang w:val="en-US" w:eastAsia="zh-CN"/>
        </w:rPr>
        <w:t>0.</w:t>
      </w:r>
      <w:r>
        <w:rPr>
          <w:rFonts w:hint="eastAsia" w:cs="Times New Roman"/>
          <w:color w:val="000000"/>
          <w:sz w:val="24"/>
          <w:szCs w:val="28"/>
          <w:lang w:val="en-US" w:eastAsia="zh-CN"/>
        </w:rPr>
        <w:t>7</w:t>
      </w:r>
      <w:r>
        <w:rPr>
          <w:rFonts w:hint="default" w:ascii="Times New Roman" w:hAnsi="Times New Roman" w:eastAsia="宋体" w:cs="Times New Roman"/>
          <w:color w:val="000000"/>
          <w:sz w:val="24"/>
          <w:szCs w:val="24"/>
        </w:rPr>
        <w:t>kg/h</w:t>
      </w:r>
      <w:r>
        <w:rPr>
          <w:rFonts w:hint="eastAsia" w:cs="Times New Roman"/>
          <w:color w:val="000000"/>
          <w:sz w:val="24"/>
          <w:szCs w:val="24"/>
          <w:lang w:eastAsia="zh-CN"/>
        </w:rPr>
        <w:t>；</w:t>
      </w:r>
      <w:r>
        <w:rPr>
          <w:rFonts w:hint="eastAsia" w:cs="Times New Roman"/>
          <w:color w:val="000000"/>
          <w:sz w:val="24"/>
          <w:szCs w:val="24"/>
          <w:lang w:val="en-US" w:eastAsia="zh-CN"/>
        </w:rPr>
        <w:t>二氧化硫</w:t>
      </w:r>
      <w:r>
        <w:rPr>
          <w:rFonts w:hint="default" w:ascii="Times New Roman" w:hAnsi="Times New Roman" w:eastAsia="宋体" w:cs="Times New Roman"/>
          <w:color w:val="000000"/>
          <w:sz w:val="24"/>
          <w:szCs w:val="28"/>
        </w:rPr>
        <w:t>最大排放浓度为</w:t>
      </w:r>
      <w:r>
        <w:rPr>
          <w:rFonts w:hint="eastAsia" w:cs="Times New Roman"/>
          <w:color w:val="000000"/>
          <w:sz w:val="24"/>
          <w:szCs w:val="28"/>
          <w:lang w:val="en-US" w:eastAsia="zh-CN"/>
        </w:rPr>
        <w:t>6</w:t>
      </w:r>
      <w:r>
        <w:rPr>
          <w:rFonts w:hint="default" w:ascii="Times New Roman" w:hAnsi="Times New Roman" w:eastAsia="宋体" w:cs="Times New Roman"/>
          <w:color w:val="000000"/>
          <w:sz w:val="24"/>
          <w:szCs w:val="28"/>
        </w:rPr>
        <w:t>mg/m</w:t>
      </w:r>
      <w:r>
        <w:rPr>
          <w:rFonts w:hint="default" w:ascii="Times New Roman" w:hAnsi="Times New Roman" w:eastAsia="宋体" w:cs="Times New Roman"/>
          <w:color w:val="000000"/>
          <w:sz w:val="24"/>
          <w:szCs w:val="28"/>
          <w:vertAlign w:val="superscript"/>
        </w:rPr>
        <w:t>3</w:t>
      </w:r>
      <w:r>
        <w:rPr>
          <w:rFonts w:hint="default" w:ascii="Times New Roman" w:hAnsi="Times New Roman" w:eastAsia="宋体" w:cs="Times New Roman"/>
          <w:color w:val="000000"/>
          <w:sz w:val="24"/>
          <w:szCs w:val="28"/>
        </w:rPr>
        <w:t>，最大排放速率为</w:t>
      </w:r>
      <w:r>
        <w:rPr>
          <w:rFonts w:hint="default" w:ascii="Times New Roman" w:hAnsi="Times New Roman" w:eastAsia="宋体" w:cs="Times New Roman"/>
          <w:color w:val="000000"/>
          <w:sz w:val="24"/>
          <w:szCs w:val="28"/>
          <w:lang w:val="en-US" w:eastAsia="zh-CN"/>
        </w:rPr>
        <w:t>0.</w:t>
      </w:r>
      <w:r>
        <w:rPr>
          <w:rFonts w:hint="eastAsia" w:eastAsia="宋体" w:cs="Times New Roman"/>
          <w:color w:val="000000"/>
          <w:sz w:val="24"/>
          <w:szCs w:val="28"/>
          <w:lang w:val="en-US" w:eastAsia="zh-CN"/>
        </w:rPr>
        <w:t>36</w:t>
      </w:r>
      <w:r>
        <w:rPr>
          <w:rFonts w:hint="default" w:ascii="Times New Roman" w:hAnsi="Times New Roman" w:eastAsia="宋体" w:cs="Times New Roman"/>
          <w:color w:val="000000"/>
          <w:sz w:val="24"/>
          <w:szCs w:val="24"/>
        </w:rPr>
        <w:t>kg/h</w:t>
      </w:r>
      <w:r>
        <w:rPr>
          <w:rFonts w:hint="eastAsia" w:eastAsia="宋体" w:cs="Times New Roman"/>
          <w:color w:val="000000"/>
          <w:sz w:val="24"/>
          <w:szCs w:val="24"/>
          <w:lang w:eastAsia="zh-CN"/>
        </w:rPr>
        <w:t>；</w:t>
      </w:r>
      <w:r>
        <w:rPr>
          <w:rFonts w:hint="eastAsia" w:eastAsia="宋体" w:cs="Times New Roman"/>
          <w:color w:val="000000"/>
          <w:sz w:val="24"/>
          <w:szCs w:val="24"/>
          <w:lang w:val="en-US" w:eastAsia="zh-CN"/>
        </w:rPr>
        <w:t>氮氧化物</w:t>
      </w:r>
      <w:r>
        <w:rPr>
          <w:rFonts w:hint="default" w:ascii="Times New Roman" w:hAnsi="Times New Roman" w:eastAsia="宋体" w:cs="Times New Roman"/>
          <w:color w:val="000000"/>
          <w:sz w:val="24"/>
          <w:szCs w:val="28"/>
        </w:rPr>
        <w:t>最大排放浓度为</w:t>
      </w:r>
      <w:r>
        <w:rPr>
          <w:rFonts w:hint="eastAsia" w:cs="Times New Roman"/>
          <w:color w:val="000000"/>
          <w:sz w:val="24"/>
          <w:szCs w:val="28"/>
          <w:lang w:val="en-US" w:eastAsia="zh-CN"/>
        </w:rPr>
        <w:t>9</w:t>
      </w:r>
      <w:r>
        <w:rPr>
          <w:rFonts w:hint="default" w:ascii="Times New Roman" w:hAnsi="Times New Roman" w:eastAsia="宋体" w:cs="Times New Roman"/>
          <w:color w:val="000000"/>
          <w:sz w:val="24"/>
          <w:szCs w:val="28"/>
        </w:rPr>
        <w:t>mg/m</w:t>
      </w:r>
      <w:r>
        <w:rPr>
          <w:rFonts w:hint="default" w:ascii="Times New Roman" w:hAnsi="Times New Roman" w:eastAsia="宋体" w:cs="Times New Roman"/>
          <w:color w:val="000000"/>
          <w:sz w:val="24"/>
          <w:szCs w:val="28"/>
          <w:vertAlign w:val="superscript"/>
        </w:rPr>
        <w:t>3</w:t>
      </w:r>
      <w:r>
        <w:rPr>
          <w:rFonts w:hint="default" w:ascii="Times New Roman" w:hAnsi="Times New Roman" w:eastAsia="宋体" w:cs="Times New Roman"/>
          <w:color w:val="000000"/>
          <w:sz w:val="24"/>
          <w:szCs w:val="28"/>
        </w:rPr>
        <w:t>，最大排放速率为</w:t>
      </w:r>
      <w:r>
        <w:rPr>
          <w:rFonts w:hint="default" w:ascii="Times New Roman" w:hAnsi="Times New Roman" w:eastAsia="宋体" w:cs="Times New Roman"/>
          <w:color w:val="000000"/>
          <w:sz w:val="24"/>
          <w:szCs w:val="28"/>
          <w:lang w:val="en-US" w:eastAsia="zh-CN"/>
        </w:rPr>
        <w:t>0.</w:t>
      </w:r>
      <w:r>
        <w:rPr>
          <w:rFonts w:hint="eastAsia" w:eastAsia="宋体" w:cs="Times New Roman"/>
          <w:color w:val="000000"/>
          <w:sz w:val="24"/>
          <w:szCs w:val="28"/>
          <w:lang w:val="en-US" w:eastAsia="zh-CN"/>
        </w:rPr>
        <w:t>6</w:t>
      </w:r>
      <w:r>
        <w:rPr>
          <w:rFonts w:hint="default" w:ascii="Times New Roman" w:hAnsi="Times New Roman" w:eastAsia="宋体" w:cs="Times New Roman"/>
          <w:color w:val="000000"/>
          <w:sz w:val="24"/>
          <w:szCs w:val="24"/>
        </w:rPr>
        <w:t>kg/h</w:t>
      </w:r>
      <w:r>
        <w:rPr>
          <w:rFonts w:hint="default" w:ascii="Times New Roman" w:hAnsi="Times New Roman" w:eastAsia="宋体" w:cs="Times New Roman"/>
          <w:color w:val="000000"/>
          <w:sz w:val="24"/>
          <w:szCs w:val="24"/>
          <w:lang w:val="en-US" w:eastAsia="zh-CN"/>
        </w:rPr>
        <w:t>满足</w:t>
      </w:r>
      <w:r>
        <w:rPr>
          <w:rFonts w:hint="default" w:ascii="Times New Roman" w:hAnsi="Times New Roman" w:eastAsia="宋体" w:cs="Times New Roman"/>
          <w:sz w:val="24"/>
          <w:szCs w:val="20"/>
          <w:lang w:val="en-US" w:eastAsia="zh-CN"/>
        </w:rPr>
        <w:t>山东省</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区域性大气污染物综合排放标准</w:t>
      </w:r>
      <w:r>
        <w:rPr>
          <w:rFonts w:hint="default" w:ascii="Times New Roman" w:hAnsi="Times New Roman" w:eastAsia="宋体" w:cs="Times New Roman"/>
          <w:sz w:val="24"/>
          <w:szCs w:val="24"/>
        </w:rPr>
        <w:t>》(DB37/23</w:t>
      </w:r>
      <w:r>
        <w:rPr>
          <w:rFonts w:hint="default" w:ascii="Times New Roman" w:hAnsi="Times New Roman" w:eastAsia="宋体" w:cs="Times New Roman"/>
          <w:sz w:val="24"/>
          <w:szCs w:val="24"/>
          <w:lang w:val="en-US" w:eastAsia="zh-CN"/>
        </w:rPr>
        <w:t>76-2019</w:t>
      </w:r>
      <w:r>
        <w:rPr>
          <w:rFonts w:hint="default" w:ascii="Times New Roman" w:hAnsi="Times New Roman" w:eastAsia="宋体" w:cs="Times New Roman"/>
          <w:sz w:val="24"/>
          <w:szCs w:val="24"/>
        </w:rPr>
        <w:t>)</w:t>
      </w:r>
      <w:r>
        <w:rPr>
          <w:rFonts w:hint="eastAsia" w:cs="Times New Roman"/>
          <w:sz w:val="24"/>
          <w:szCs w:val="24"/>
          <w:lang w:val="en-US" w:eastAsia="zh-CN"/>
        </w:rPr>
        <w:t>以及</w:t>
      </w:r>
      <w:r>
        <w:rPr>
          <w:rFonts w:hint="default" w:ascii="Times New Roman" w:hAnsi="Times New Roman" w:eastAsia="宋体" w:cs="Times New Roman"/>
          <w:sz w:val="24"/>
          <w:szCs w:val="20"/>
          <w:lang w:val="en-US" w:eastAsia="zh-CN"/>
        </w:rPr>
        <w:t>《大气污染物综合排放标准》（GB16297-1996）</w:t>
      </w:r>
      <w:r>
        <w:rPr>
          <w:rFonts w:hint="eastAsia" w:cs="Times New Roman"/>
          <w:sz w:val="24"/>
          <w:szCs w:val="20"/>
          <w:lang w:val="en-US" w:eastAsia="zh-CN"/>
        </w:rPr>
        <w:t>标准要求</w:t>
      </w:r>
      <w:r>
        <w:rPr>
          <w:rFonts w:hint="default" w:ascii="Times New Roman" w:hAnsi="Times New Roman" w:eastAsia="宋体" w:cs="Times New Roman"/>
          <w:sz w:val="24"/>
          <w:szCs w:val="20"/>
          <w:lang w:val="en-US" w:eastAsia="zh-CN"/>
        </w:rPr>
        <w:t>。</w:t>
      </w:r>
    </w:p>
    <w:bookmarkEnd w:id="68"/>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9.2.1.3厂界噪声</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该项目的厂界噪声监测数据见表9-3：</w:t>
      </w:r>
    </w:p>
    <w:p>
      <w:pPr>
        <w:pStyle w:val="11"/>
        <w:spacing w:after="0" w:line="240" w:lineRule="auto"/>
        <w:ind w:left="0"/>
        <w:jc w:val="center"/>
        <w:rPr>
          <w:rFonts w:hint="default" w:ascii="Times New Roman" w:hAnsi="Times New Roman" w:eastAsia="宋体" w:cs="Times New Roman"/>
          <w:b/>
          <w:color w:val="000000" w:themeColor="text1"/>
          <w:sz w:val="22"/>
          <w:szCs w:val="24"/>
          <w14:textFill>
            <w14:solidFill>
              <w14:schemeClr w14:val="tx1"/>
            </w14:solidFill>
          </w14:textFill>
        </w:rPr>
      </w:pPr>
      <w:r>
        <w:rPr>
          <w:rFonts w:hint="default" w:ascii="Times New Roman" w:hAnsi="Times New Roman" w:eastAsia="宋体" w:cs="Times New Roman"/>
          <w:b/>
          <w:color w:val="000000" w:themeColor="text1"/>
          <w:sz w:val="22"/>
          <w:szCs w:val="24"/>
          <w14:textFill>
            <w14:solidFill>
              <w14:schemeClr w14:val="tx1"/>
            </w14:solidFill>
          </w14:textFill>
        </w:rPr>
        <w:t>表9-3  噪声监测结果</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260"/>
        <w:gridCol w:w="1260"/>
        <w:gridCol w:w="699"/>
        <w:gridCol w:w="1034"/>
        <w:gridCol w:w="1323"/>
        <w:gridCol w:w="1034"/>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638" w:type="pct"/>
            <w:noWrap w:val="0"/>
            <w:vAlign w:val="center"/>
          </w:tcPr>
          <w:p>
            <w:pPr>
              <w:tabs>
                <w:tab w:val="center" w:pos="1002"/>
                <w:tab w:val="right" w:pos="1885"/>
              </w:tabs>
              <w:adjustRightInd w:val="0"/>
              <w:snapToGrid w:val="0"/>
              <w:spacing w:line="240" w:lineRule="auto"/>
              <w:jc w:val="center"/>
              <w:rPr>
                <w:rFonts w:ascii="Times New Roman" w:hAnsi="Times New Roman"/>
                <w:kern w:val="0"/>
                <w:sz w:val="21"/>
                <w:szCs w:val="21"/>
              </w:rPr>
            </w:pPr>
            <w:r>
              <w:rPr>
                <w:rFonts w:hint="eastAsia" w:ascii="Times New Roman" w:hAnsi="宋体"/>
                <w:kern w:val="0"/>
                <w:sz w:val="21"/>
                <w:szCs w:val="21"/>
              </w:rPr>
              <w:t>监测日期</w:t>
            </w:r>
          </w:p>
        </w:tc>
        <w:tc>
          <w:tcPr>
            <w:tcW w:w="692" w:type="pct"/>
            <w:noWrap w:val="0"/>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昼间</w:t>
            </w:r>
            <w:r>
              <w:rPr>
                <w:rFonts w:hint="eastAsia" w:ascii="Times New Roman" w:hAnsi="宋体"/>
                <w:kern w:val="0"/>
                <w:sz w:val="21"/>
                <w:szCs w:val="21"/>
              </w:rPr>
              <w:t>气象参数</w:t>
            </w:r>
          </w:p>
        </w:tc>
        <w:tc>
          <w:tcPr>
            <w:tcW w:w="692" w:type="pct"/>
            <w:noWrap w:val="0"/>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夜间</w:t>
            </w:r>
            <w:r>
              <w:rPr>
                <w:rFonts w:hint="eastAsia" w:ascii="Times New Roman" w:hAnsi="宋体"/>
                <w:kern w:val="0"/>
                <w:sz w:val="21"/>
                <w:szCs w:val="21"/>
              </w:rPr>
              <w:t>气象参数</w:t>
            </w:r>
          </w:p>
        </w:tc>
        <w:tc>
          <w:tcPr>
            <w:tcW w:w="384" w:type="pct"/>
            <w:noWrap w:val="0"/>
            <w:vAlign w:val="center"/>
          </w:tcPr>
          <w:p>
            <w:pPr>
              <w:adjustRightInd w:val="0"/>
              <w:snapToGrid w:val="0"/>
              <w:spacing w:line="240" w:lineRule="auto"/>
              <w:jc w:val="center"/>
              <w:rPr>
                <w:rFonts w:hint="eastAsia" w:ascii="Times New Roman" w:hAnsi="宋体"/>
                <w:kern w:val="0"/>
                <w:sz w:val="21"/>
                <w:szCs w:val="21"/>
              </w:rPr>
            </w:pPr>
            <w:r>
              <w:rPr>
                <w:rFonts w:hint="eastAsia" w:ascii="Times New Roman" w:hAnsi="宋体"/>
                <w:kern w:val="0"/>
                <w:sz w:val="21"/>
                <w:szCs w:val="21"/>
              </w:rPr>
              <w:t>监测点位</w:t>
            </w:r>
          </w:p>
        </w:tc>
        <w:tc>
          <w:tcPr>
            <w:tcW w:w="568" w:type="pct"/>
            <w:noWrap w:val="0"/>
            <w:vAlign w:val="center"/>
          </w:tcPr>
          <w:p>
            <w:pPr>
              <w:widowControl/>
              <w:adjustRightInd w:val="0"/>
              <w:snapToGrid w:val="0"/>
              <w:spacing w:line="240" w:lineRule="auto"/>
              <w:jc w:val="center"/>
              <w:rPr>
                <w:rFonts w:ascii="Times New Roman" w:hAnsi="宋体"/>
                <w:kern w:val="0"/>
                <w:sz w:val="21"/>
                <w:szCs w:val="21"/>
              </w:rPr>
            </w:pPr>
            <w:r>
              <w:rPr>
                <w:rFonts w:hint="eastAsia" w:ascii="Times New Roman" w:hAnsi="宋体"/>
                <w:sz w:val="21"/>
                <w:szCs w:val="21"/>
              </w:rPr>
              <w:t>昼间</w:t>
            </w:r>
            <w:r>
              <w:rPr>
                <w:rFonts w:hint="eastAsia" w:ascii="Times New Roman" w:hAnsi="宋体"/>
                <w:kern w:val="0"/>
                <w:sz w:val="21"/>
                <w:szCs w:val="21"/>
              </w:rPr>
              <w:t>监测时间</w:t>
            </w:r>
          </w:p>
        </w:tc>
        <w:tc>
          <w:tcPr>
            <w:tcW w:w="727" w:type="pct"/>
            <w:noWrap w:val="0"/>
            <w:vAlign w:val="center"/>
          </w:tcPr>
          <w:p>
            <w:pPr>
              <w:widowControl/>
              <w:adjustRightInd w:val="0"/>
              <w:snapToGrid w:val="0"/>
              <w:spacing w:line="240" w:lineRule="auto"/>
              <w:jc w:val="center"/>
              <w:rPr>
                <w:rFonts w:hint="eastAsia" w:ascii="Times New Roman" w:hAnsi="宋体"/>
                <w:kern w:val="0"/>
                <w:sz w:val="21"/>
                <w:szCs w:val="21"/>
              </w:rPr>
            </w:pPr>
            <w:r>
              <w:rPr>
                <w:rFonts w:hint="eastAsia" w:ascii="Times New Roman" w:hAnsi="宋体"/>
                <w:kern w:val="0"/>
                <w:sz w:val="21"/>
                <w:szCs w:val="21"/>
              </w:rPr>
              <w:t>昼间监测结果</w:t>
            </w:r>
            <w:r>
              <w:rPr>
                <w:rFonts w:ascii="Times New Roman" w:hAnsi="宋体"/>
                <w:kern w:val="0"/>
                <w:sz w:val="21"/>
                <w:szCs w:val="21"/>
              </w:rPr>
              <w:t>dB(A)</w:t>
            </w:r>
          </w:p>
        </w:tc>
        <w:tc>
          <w:tcPr>
            <w:tcW w:w="568" w:type="pct"/>
            <w:noWrap w:val="0"/>
            <w:vAlign w:val="center"/>
          </w:tcPr>
          <w:p>
            <w:pPr>
              <w:widowControl/>
              <w:adjustRightInd w:val="0"/>
              <w:snapToGrid w:val="0"/>
              <w:spacing w:line="240" w:lineRule="auto"/>
              <w:jc w:val="center"/>
              <w:rPr>
                <w:rFonts w:hint="eastAsia" w:ascii="Times New Roman" w:hAnsi="宋体"/>
                <w:sz w:val="21"/>
                <w:szCs w:val="21"/>
              </w:rPr>
            </w:pPr>
            <w:r>
              <w:rPr>
                <w:rFonts w:hint="eastAsia" w:ascii="Times New Roman" w:hAnsi="宋体"/>
                <w:sz w:val="21"/>
                <w:szCs w:val="21"/>
              </w:rPr>
              <w:t>夜间</w:t>
            </w:r>
            <w:r>
              <w:rPr>
                <w:rFonts w:hint="eastAsia" w:ascii="Times New Roman" w:hAnsi="宋体"/>
                <w:kern w:val="0"/>
                <w:sz w:val="21"/>
                <w:szCs w:val="21"/>
              </w:rPr>
              <w:t>监测时间</w:t>
            </w:r>
          </w:p>
        </w:tc>
        <w:tc>
          <w:tcPr>
            <w:tcW w:w="727" w:type="pct"/>
            <w:noWrap w:val="0"/>
            <w:vAlign w:val="center"/>
          </w:tcPr>
          <w:p>
            <w:pPr>
              <w:widowControl/>
              <w:adjustRightInd w:val="0"/>
              <w:snapToGrid w:val="0"/>
              <w:spacing w:line="240" w:lineRule="auto"/>
              <w:jc w:val="center"/>
              <w:rPr>
                <w:rFonts w:hint="eastAsia" w:ascii="Times New Roman" w:hAnsi="宋体"/>
                <w:kern w:val="0"/>
                <w:sz w:val="21"/>
                <w:szCs w:val="21"/>
              </w:rPr>
            </w:pPr>
            <w:r>
              <w:rPr>
                <w:rFonts w:hint="eastAsia" w:ascii="Times New Roman" w:hAnsi="宋体"/>
                <w:kern w:val="0"/>
                <w:sz w:val="21"/>
                <w:szCs w:val="21"/>
              </w:rPr>
              <w:t>夜间监测结果</w:t>
            </w:r>
            <w:r>
              <w:rPr>
                <w:rFonts w:ascii="Times New Roman" w:hAnsi="宋体"/>
                <w:kern w:val="0"/>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38" w:type="pct"/>
            <w:vMerge w:val="restart"/>
            <w:noWrap w:val="0"/>
            <w:vAlign w:val="center"/>
          </w:tcPr>
          <w:p>
            <w:pPr>
              <w:pStyle w:val="2"/>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2024.03.08</w:t>
            </w:r>
          </w:p>
        </w:tc>
        <w:tc>
          <w:tcPr>
            <w:tcW w:w="692" w:type="pct"/>
            <w:vMerge w:val="restart"/>
            <w:noWrap w:val="0"/>
            <w:vAlign w:val="center"/>
          </w:tcPr>
          <w:p>
            <w:pPr>
              <w:adjustRightInd w:val="0"/>
              <w:snapToGrid w:val="0"/>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晴</w:t>
            </w:r>
            <w:r>
              <w:rPr>
                <w:rFonts w:hint="eastAsia" w:ascii="Times New Roman" w:hAnsi="Times New Roman"/>
                <w:color w:val="auto"/>
                <w:sz w:val="21"/>
                <w:szCs w:val="21"/>
              </w:rPr>
              <w:t>，平均风</w:t>
            </w:r>
            <w:r>
              <w:rPr>
                <w:rFonts w:hint="eastAsia" w:ascii="Times New Roman" w:hAnsi="Times New Roman"/>
                <w:color w:val="auto"/>
                <w:sz w:val="21"/>
                <w:szCs w:val="21"/>
                <w:lang w:val="en-US" w:eastAsia="zh-CN"/>
              </w:rPr>
              <w:t>1.4</w:t>
            </w:r>
            <w:r>
              <w:rPr>
                <w:rFonts w:ascii="Times New Roman" w:hAnsi="Times New Roman"/>
                <w:color w:val="auto"/>
                <w:sz w:val="21"/>
                <w:szCs w:val="21"/>
              </w:rPr>
              <w:t>m/s</w:t>
            </w:r>
          </w:p>
        </w:tc>
        <w:tc>
          <w:tcPr>
            <w:tcW w:w="692" w:type="pct"/>
            <w:vMerge w:val="restart"/>
            <w:noWrap w:val="0"/>
            <w:vAlign w:val="center"/>
          </w:tcPr>
          <w:p>
            <w:pPr>
              <w:adjustRightInd w:val="0"/>
              <w:snapToGrid w:val="0"/>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晴</w:t>
            </w:r>
            <w:r>
              <w:rPr>
                <w:rFonts w:hint="eastAsia" w:ascii="Times New Roman" w:hAnsi="Times New Roman"/>
                <w:color w:val="auto"/>
                <w:sz w:val="21"/>
                <w:szCs w:val="21"/>
              </w:rPr>
              <w:t>，平均风</w:t>
            </w:r>
            <w:r>
              <w:rPr>
                <w:rFonts w:hint="eastAsia" w:ascii="Times New Roman" w:hAnsi="Times New Roman"/>
                <w:color w:val="auto"/>
                <w:sz w:val="21"/>
                <w:szCs w:val="21"/>
                <w:lang w:val="en-US" w:eastAsia="zh-CN"/>
              </w:rPr>
              <w:t>1.1</w:t>
            </w:r>
            <w:r>
              <w:rPr>
                <w:rFonts w:ascii="Times New Roman" w:hAnsi="Times New Roman"/>
                <w:color w:val="auto"/>
                <w:sz w:val="21"/>
                <w:szCs w:val="21"/>
              </w:rPr>
              <w:t>m/s</w:t>
            </w:r>
          </w:p>
        </w:tc>
        <w:tc>
          <w:tcPr>
            <w:tcW w:w="384" w:type="pct"/>
            <w:noWrap w:val="0"/>
            <w:vAlign w:val="center"/>
          </w:tcPr>
          <w:p>
            <w:pPr>
              <w:adjustRightInd w:val="0"/>
              <w:snapToGrid w:val="0"/>
              <w:spacing w:line="240" w:lineRule="auto"/>
              <w:jc w:val="center"/>
              <w:rPr>
                <w:rFonts w:hint="eastAsia" w:ascii="Times New Roman" w:hAnsi="Times New Roman"/>
                <w:sz w:val="21"/>
                <w:szCs w:val="21"/>
              </w:rPr>
            </w:pPr>
            <w:r>
              <w:rPr>
                <w:rFonts w:hint="eastAsia" w:ascii="Times New Roman" w:hAnsi="Times New Roman"/>
                <w:sz w:val="21"/>
                <w:szCs w:val="21"/>
              </w:rPr>
              <w:t>东厂界</w:t>
            </w:r>
          </w:p>
        </w:tc>
        <w:tc>
          <w:tcPr>
            <w:tcW w:w="568" w:type="pct"/>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13:03</w:t>
            </w:r>
          </w:p>
        </w:tc>
        <w:tc>
          <w:tcPr>
            <w:tcW w:w="727" w:type="pct"/>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56.2</w:t>
            </w:r>
          </w:p>
        </w:tc>
        <w:tc>
          <w:tcPr>
            <w:tcW w:w="568" w:type="pct"/>
            <w:noWrap w:val="0"/>
            <w:vAlign w:val="center"/>
          </w:tcPr>
          <w:p>
            <w:pPr>
              <w:adjustRightInd w:val="0"/>
              <w:snapToGrid w:val="0"/>
              <w:spacing w:line="240" w:lineRule="auto"/>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23:13</w:t>
            </w:r>
          </w:p>
        </w:tc>
        <w:tc>
          <w:tcPr>
            <w:tcW w:w="727" w:type="pct"/>
            <w:noWrap w:val="0"/>
            <w:vAlign w:val="center"/>
          </w:tcPr>
          <w:p>
            <w:pPr>
              <w:adjustRightInd w:val="0"/>
              <w:snapToGrid w:val="0"/>
              <w:spacing w:line="240" w:lineRule="auto"/>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38" w:type="pct"/>
            <w:vMerge w:val="continue"/>
            <w:noWrap w:val="0"/>
            <w:vAlign w:val="center"/>
          </w:tcPr>
          <w:p>
            <w:pPr>
              <w:adjustRightInd w:val="0"/>
              <w:snapToGrid w:val="0"/>
              <w:spacing w:line="240" w:lineRule="auto"/>
              <w:jc w:val="center"/>
              <w:rPr>
                <w:rFonts w:ascii="Times New Roman" w:hAnsi="Times New Roman"/>
                <w:sz w:val="21"/>
                <w:szCs w:val="21"/>
              </w:rPr>
            </w:pPr>
          </w:p>
        </w:tc>
        <w:tc>
          <w:tcPr>
            <w:tcW w:w="692" w:type="pct"/>
            <w:vMerge w:val="continue"/>
            <w:noWrap w:val="0"/>
            <w:vAlign w:val="center"/>
          </w:tcPr>
          <w:p>
            <w:pPr>
              <w:adjustRightInd w:val="0"/>
              <w:snapToGrid w:val="0"/>
              <w:spacing w:line="240" w:lineRule="auto"/>
              <w:jc w:val="center"/>
              <w:rPr>
                <w:rFonts w:ascii="Times New Roman" w:hAnsi="Times New Roman"/>
                <w:color w:val="FF0000"/>
                <w:sz w:val="21"/>
                <w:szCs w:val="21"/>
              </w:rPr>
            </w:pPr>
          </w:p>
        </w:tc>
        <w:tc>
          <w:tcPr>
            <w:tcW w:w="692" w:type="pct"/>
            <w:vMerge w:val="continue"/>
            <w:noWrap w:val="0"/>
            <w:vAlign w:val="center"/>
          </w:tcPr>
          <w:p>
            <w:pPr>
              <w:adjustRightInd w:val="0"/>
              <w:snapToGrid w:val="0"/>
              <w:spacing w:line="240" w:lineRule="auto"/>
              <w:jc w:val="center"/>
              <w:rPr>
                <w:rFonts w:ascii="Times New Roman" w:hAnsi="Times New Roman"/>
                <w:color w:val="FF0000"/>
                <w:sz w:val="21"/>
                <w:szCs w:val="21"/>
              </w:rPr>
            </w:pPr>
          </w:p>
        </w:tc>
        <w:tc>
          <w:tcPr>
            <w:tcW w:w="384" w:type="pct"/>
            <w:noWrap w:val="0"/>
            <w:vAlign w:val="center"/>
          </w:tcPr>
          <w:p>
            <w:pPr>
              <w:adjustRightInd w:val="0"/>
              <w:snapToGrid w:val="0"/>
              <w:spacing w:line="240" w:lineRule="auto"/>
              <w:jc w:val="center"/>
              <w:rPr>
                <w:rFonts w:hint="eastAsia" w:ascii="Times New Roman" w:hAnsi="Times New Roman"/>
                <w:sz w:val="21"/>
                <w:szCs w:val="21"/>
              </w:rPr>
            </w:pPr>
            <w:r>
              <w:rPr>
                <w:rFonts w:hint="eastAsia" w:ascii="Times New Roman" w:hAnsi="Times New Roman"/>
                <w:sz w:val="21"/>
                <w:szCs w:val="21"/>
              </w:rPr>
              <w:t>南厂界</w:t>
            </w:r>
          </w:p>
        </w:tc>
        <w:tc>
          <w:tcPr>
            <w:tcW w:w="568"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13:22</w:t>
            </w:r>
          </w:p>
        </w:tc>
        <w:tc>
          <w:tcPr>
            <w:tcW w:w="727"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57.9</w:t>
            </w:r>
          </w:p>
        </w:tc>
        <w:tc>
          <w:tcPr>
            <w:tcW w:w="568" w:type="pct"/>
            <w:noWrap w:val="0"/>
            <w:vAlign w:val="center"/>
          </w:tcPr>
          <w:p>
            <w:pPr>
              <w:adjustRightInd w:val="0"/>
              <w:snapToGrid w:val="0"/>
              <w:spacing w:line="240" w:lineRule="auto"/>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22:30</w:t>
            </w:r>
          </w:p>
        </w:tc>
        <w:tc>
          <w:tcPr>
            <w:tcW w:w="727" w:type="pct"/>
            <w:noWrap w:val="0"/>
            <w:vAlign w:val="center"/>
          </w:tcPr>
          <w:p>
            <w:pPr>
              <w:adjustRightInd w:val="0"/>
              <w:snapToGrid w:val="0"/>
              <w:spacing w:line="240" w:lineRule="auto"/>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38" w:type="pct"/>
            <w:vMerge w:val="continue"/>
            <w:noWrap w:val="0"/>
            <w:vAlign w:val="center"/>
          </w:tcPr>
          <w:p>
            <w:pPr>
              <w:adjustRightInd w:val="0"/>
              <w:snapToGrid w:val="0"/>
              <w:spacing w:line="240" w:lineRule="auto"/>
              <w:jc w:val="center"/>
              <w:rPr>
                <w:rFonts w:ascii="Times New Roman" w:hAnsi="Times New Roman"/>
                <w:sz w:val="21"/>
                <w:szCs w:val="21"/>
              </w:rPr>
            </w:pPr>
          </w:p>
        </w:tc>
        <w:tc>
          <w:tcPr>
            <w:tcW w:w="692" w:type="pct"/>
            <w:vMerge w:val="continue"/>
            <w:noWrap w:val="0"/>
            <w:vAlign w:val="center"/>
          </w:tcPr>
          <w:p>
            <w:pPr>
              <w:adjustRightInd w:val="0"/>
              <w:snapToGrid w:val="0"/>
              <w:spacing w:line="240" w:lineRule="auto"/>
              <w:jc w:val="center"/>
              <w:rPr>
                <w:rFonts w:ascii="Times New Roman" w:hAnsi="Times New Roman"/>
                <w:color w:val="FF0000"/>
                <w:sz w:val="21"/>
                <w:szCs w:val="21"/>
              </w:rPr>
            </w:pPr>
          </w:p>
        </w:tc>
        <w:tc>
          <w:tcPr>
            <w:tcW w:w="692" w:type="pct"/>
            <w:vMerge w:val="continue"/>
            <w:noWrap w:val="0"/>
            <w:vAlign w:val="center"/>
          </w:tcPr>
          <w:p>
            <w:pPr>
              <w:adjustRightInd w:val="0"/>
              <w:snapToGrid w:val="0"/>
              <w:spacing w:line="240" w:lineRule="auto"/>
              <w:jc w:val="center"/>
              <w:rPr>
                <w:rFonts w:ascii="Times New Roman" w:hAnsi="Times New Roman"/>
                <w:color w:val="FF0000"/>
                <w:sz w:val="21"/>
                <w:szCs w:val="21"/>
              </w:rPr>
            </w:pPr>
          </w:p>
        </w:tc>
        <w:tc>
          <w:tcPr>
            <w:tcW w:w="384" w:type="pct"/>
            <w:noWrap w:val="0"/>
            <w:vAlign w:val="center"/>
          </w:tcPr>
          <w:p>
            <w:pPr>
              <w:adjustRightInd w:val="0"/>
              <w:snapToGrid w:val="0"/>
              <w:spacing w:line="240" w:lineRule="auto"/>
              <w:jc w:val="center"/>
              <w:rPr>
                <w:rFonts w:hint="eastAsia" w:ascii="Times New Roman" w:hAnsi="Times New Roman"/>
                <w:sz w:val="21"/>
                <w:szCs w:val="21"/>
              </w:rPr>
            </w:pPr>
            <w:r>
              <w:rPr>
                <w:rFonts w:hint="eastAsia" w:ascii="Times New Roman" w:hAnsi="Times New Roman"/>
                <w:sz w:val="21"/>
                <w:szCs w:val="21"/>
              </w:rPr>
              <w:t>西厂界</w:t>
            </w:r>
          </w:p>
        </w:tc>
        <w:tc>
          <w:tcPr>
            <w:tcW w:w="568"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13:40</w:t>
            </w:r>
          </w:p>
        </w:tc>
        <w:tc>
          <w:tcPr>
            <w:tcW w:w="727"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55.0</w:t>
            </w:r>
          </w:p>
        </w:tc>
        <w:tc>
          <w:tcPr>
            <w:tcW w:w="568" w:type="pct"/>
            <w:noWrap w:val="0"/>
            <w:vAlign w:val="center"/>
          </w:tcPr>
          <w:p>
            <w:pPr>
              <w:adjustRightInd w:val="0"/>
              <w:snapToGrid w:val="0"/>
              <w:spacing w:line="240" w:lineRule="auto"/>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22:44</w:t>
            </w:r>
          </w:p>
        </w:tc>
        <w:tc>
          <w:tcPr>
            <w:tcW w:w="727" w:type="pct"/>
            <w:noWrap w:val="0"/>
            <w:vAlign w:val="center"/>
          </w:tcPr>
          <w:p>
            <w:pPr>
              <w:adjustRightInd w:val="0"/>
              <w:snapToGrid w:val="0"/>
              <w:spacing w:line="240" w:lineRule="auto"/>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38" w:type="pct"/>
            <w:vMerge w:val="continue"/>
            <w:noWrap w:val="0"/>
            <w:vAlign w:val="center"/>
          </w:tcPr>
          <w:p>
            <w:pPr>
              <w:adjustRightInd w:val="0"/>
              <w:snapToGrid w:val="0"/>
              <w:spacing w:line="240" w:lineRule="auto"/>
              <w:jc w:val="center"/>
              <w:rPr>
                <w:rFonts w:ascii="Times New Roman" w:hAnsi="Times New Roman"/>
                <w:sz w:val="21"/>
                <w:szCs w:val="21"/>
              </w:rPr>
            </w:pPr>
          </w:p>
        </w:tc>
        <w:tc>
          <w:tcPr>
            <w:tcW w:w="692" w:type="pct"/>
            <w:vMerge w:val="continue"/>
            <w:noWrap w:val="0"/>
            <w:vAlign w:val="center"/>
          </w:tcPr>
          <w:p>
            <w:pPr>
              <w:adjustRightInd w:val="0"/>
              <w:snapToGrid w:val="0"/>
              <w:spacing w:line="240" w:lineRule="auto"/>
              <w:jc w:val="center"/>
              <w:rPr>
                <w:rFonts w:ascii="Times New Roman" w:hAnsi="Times New Roman"/>
                <w:color w:val="FF0000"/>
                <w:sz w:val="21"/>
                <w:szCs w:val="21"/>
              </w:rPr>
            </w:pPr>
          </w:p>
        </w:tc>
        <w:tc>
          <w:tcPr>
            <w:tcW w:w="692" w:type="pct"/>
            <w:vMerge w:val="continue"/>
            <w:noWrap w:val="0"/>
            <w:vAlign w:val="center"/>
          </w:tcPr>
          <w:p>
            <w:pPr>
              <w:adjustRightInd w:val="0"/>
              <w:snapToGrid w:val="0"/>
              <w:spacing w:line="240" w:lineRule="auto"/>
              <w:jc w:val="center"/>
              <w:rPr>
                <w:rFonts w:ascii="Times New Roman" w:hAnsi="Times New Roman"/>
                <w:color w:val="FF0000"/>
                <w:sz w:val="21"/>
                <w:szCs w:val="21"/>
              </w:rPr>
            </w:pPr>
          </w:p>
        </w:tc>
        <w:tc>
          <w:tcPr>
            <w:tcW w:w="384" w:type="pct"/>
            <w:noWrap w:val="0"/>
            <w:vAlign w:val="center"/>
          </w:tcPr>
          <w:p>
            <w:pPr>
              <w:adjustRightInd w:val="0"/>
              <w:snapToGrid w:val="0"/>
              <w:spacing w:line="240" w:lineRule="auto"/>
              <w:jc w:val="center"/>
              <w:rPr>
                <w:rFonts w:hint="eastAsia" w:ascii="Times New Roman" w:hAnsi="Times New Roman"/>
                <w:sz w:val="21"/>
                <w:szCs w:val="21"/>
              </w:rPr>
            </w:pPr>
            <w:r>
              <w:rPr>
                <w:rFonts w:hint="eastAsia" w:ascii="Times New Roman" w:hAnsi="Times New Roman"/>
                <w:sz w:val="21"/>
                <w:szCs w:val="21"/>
              </w:rPr>
              <w:t>北厂界</w:t>
            </w:r>
          </w:p>
        </w:tc>
        <w:tc>
          <w:tcPr>
            <w:tcW w:w="568" w:type="pct"/>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12:47</w:t>
            </w:r>
          </w:p>
        </w:tc>
        <w:tc>
          <w:tcPr>
            <w:tcW w:w="727" w:type="pct"/>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45.7</w:t>
            </w:r>
          </w:p>
        </w:tc>
        <w:tc>
          <w:tcPr>
            <w:tcW w:w="568" w:type="pct"/>
            <w:noWrap w:val="0"/>
            <w:vAlign w:val="center"/>
          </w:tcPr>
          <w:p>
            <w:pPr>
              <w:adjustRightInd w:val="0"/>
              <w:snapToGrid w:val="0"/>
              <w:spacing w:line="240" w:lineRule="auto"/>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22:59</w:t>
            </w:r>
          </w:p>
        </w:tc>
        <w:tc>
          <w:tcPr>
            <w:tcW w:w="727" w:type="pct"/>
            <w:noWrap w:val="0"/>
            <w:vAlign w:val="center"/>
          </w:tcPr>
          <w:p>
            <w:pPr>
              <w:adjustRightInd w:val="0"/>
              <w:snapToGrid w:val="0"/>
              <w:spacing w:line="240" w:lineRule="auto"/>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38" w:type="pct"/>
            <w:vMerge w:val="restart"/>
            <w:noWrap w:val="0"/>
            <w:vAlign w:val="center"/>
          </w:tcPr>
          <w:p>
            <w:pPr>
              <w:pStyle w:val="2"/>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2024.03.09</w:t>
            </w:r>
          </w:p>
        </w:tc>
        <w:tc>
          <w:tcPr>
            <w:tcW w:w="692" w:type="pct"/>
            <w:vMerge w:val="restart"/>
            <w:noWrap w:val="0"/>
            <w:vAlign w:val="center"/>
          </w:tcPr>
          <w:p>
            <w:pPr>
              <w:adjustRightInd w:val="0"/>
              <w:snapToGrid w:val="0"/>
              <w:spacing w:line="240" w:lineRule="auto"/>
              <w:jc w:val="center"/>
              <w:rPr>
                <w:rFonts w:ascii="Times New Roman" w:hAnsi="Times New Roman"/>
                <w:color w:val="FF0000"/>
                <w:sz w:val="21"/>
                <w:szCs w:val="21"/>
              </w:rPr>
            </w:pPr>
            <w:r>
              <w:rPr>
                <w:rFonts w:hint="eastAsia" w:ascii="Times New Roman" w:hAnsi="Times New Roman"/>
                <w:color w:val="auto"/>
                <w:sz w:val="21"/>
                <w:szCs w:val="21"/>
                <w:lang w:val="en-US" w:eastAsia="zh-CN"/>
              </w:rPr>
              <w:t>晴</w:t>
            </w:r>
            <w:r>
              <w:rPr>
                <w:rFonts w:hint="eastAsia" w:ascii="Times New Roman" w:hAnsi="Times New Roman"/>
                <w:color w:val="auto"/>
                <w:sz w:val="21"/>
                <w:szCs w:val="21"/>
              </w:rPr>
              <w:t>，平均风</w:t>
            </w:r>
            <w:r>
              <w:rPr>
                <w:rFonts w:hint="eastAsia" w:ascii="Times New Roman" w:hAnsi="Times New Roman"/>
                <w:color w:val="auto"/>
                <w:sz w:val="21"/>
                <w:szCs w:val="21"/>
                <w:lang w:val="en-US" w:eastAsia="zh-CN"/>
              </w:rPr>
              <w:t>2.6</w:t>
            </w:r>
            <w:r>
              <w:rPr>
                <w:rFonts w:ascii="Times New Roman" w:hAnsi="Times New Roman"/>
                <w:color w:val="auto"/>
                <w:sz w:val="21"/>
                <w:szCs w:val="21"/>
              </w:rPr>
              <w:t>m/s</w:t>
            </w:r>
          </w:p>
        </w:tc>
        <w:tc>
          <w:tcPr>
            <w:tcW w:w="692" w:type="pct"/>
            <w:vMerge w:val="restart"/>
            <w:noWrap w:val="0"/>
            <w:vAlign w:val="center"/>
          </w:tcPr>
          <w:p>
            <w:pPr>
              <w:adjustRightInd w:val="0"/>
              <w:snapToGrid w:val="0"/>
              <w:spacing w:line="240" w:lineRule="auto"/>
              <w:jc w:val="center"/>
              <w:rPr>
                <w:rFonts w:ascii="Times New Roman" w:hAnsi="Times New Roman"/>
                <w:color w:val="FF0000"/>
                <w:sz w:val="21"/>
                <w:szCs w:val="21"/>
              </w:rPr>
            </w:pPr>
            <w:r>
              <w:rPr>
                <w:rFonts w:hint="eastAsia" w:ascii="Times New Roman" w:hAnsi="Times New Roman"/>
                <w:color w:val="auto"/>
                <w:sz w:val="21"/>
                <w:szCs w:val="21"/>
                <w:lang w:val="en-US" w:eastAsia="zh-CN"/>
              </w:rPr>
              <w:t>晴</w:t>
            </w:r>
            <w:r>
              <w:rPr>
                <w:rFonts w:hint="eastAsia" w:ascii="Times New Roman" w:hAnsi="Times New Roman"/>
                <w:color w:val="auto"/>
                <w:sz w:val="21"/>
                <w:szCs w:val="21"/>
              </w:rPr>
              <w:t>，平均风</w:t>
            </w:r>
            <w:r>
              <w:rPr>
                <w:rFonts w:hint="eastAsia" w:ascii="Times New Roman" w:hAnsi="Times New Roman"/>
                <w:color w:val="auto"/>
                <w:sz w:val="21"/>
                <w:szCs w:val="21"/>
                <w:lang w:val="en-US" w:eastAsia="zh-CN"/>
              </w:rPr>
              <w:t>2.1</w:t>
            </w:r>
            <w:r>
              <w:rPr>
                <w:rFonts w:ascii="Times New Roman" w:hAnsi="Times New Roman"/>
                <w:color w:val="auto"/>
                <w:sz w:val="21"/>
                <w:szCs w:val="21"/>
              </w:rPr>
              <w:t>m/s</w:t>
            </w:r>
          </w:p>
        </w:tc>
        <w:tc>
          <w:tcPr>
            <w:tcW w:w="384" w:type="pct"/>
            <w:noWrap w:val="0"/>
            <w:vAlign w:val="center"/>
          </w:tcPr>
          <w:p>
            <w:pPr>
              <w:adjustRightInd w:val="0"/>
              <w:snapToGrid w:val="0"/>
              <w:spacing w:line="240" w:lineRule="auto"/>
              <w:jc w:val="center"/>
              <w:rPr>
                <w:rFonts w:hint="eastAsia" w:ascii="Times New Roman" w:hAnsi="Times New Roman"/>
                <w:sz w:val="21"/>
                <w:szCs w:val="21"/>
              </w:rPr>
            </w:pPr>
            <w:r>
              <w:rPr>
                <w:rFonts w:hint="eastAsia" w:ascii="Times New Roman" w:hAnsi="Times New Roman"/>
                <w:sz w:val="21"/>
                <w:szCs w:val="21"/>
              </w:rPr>
              <w:t>东厂界</w:t>
            </w:r>
          </w:p>
        </w:tc>
        <w:tc>
          <w:tcPr>
            <w:tcW w:w="568" w:type="pct"/>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14:47</w:t>
            </w:r>
          </w:p>
        </w:tc>
        <w:tc>
          <w:tcPr>
            <w:tcW w:w="727" w:type="pct"/>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57.4</w:t>
            </w:r>
          </w:p>
        </w:tc>
        <w:tc>
          <w:tcPr>
            <w:tcW w:w="568" w:type="pct"/>
            <w:noWrap w:val="0"/>
            <w:vAlign w:val="center"/>
          </w:tcPr>
          <w:p>
            <w:pPr>
              <w:adjustRightInd w:val="0"/>
              <w:snapToGrid w:val="0"/>
              <w:spacing w:line="240" w:lineRule="auto"/>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22:53</w:t>
            </w:r>
          </w:p>
        </w:tc>
        <w:tc>
          <w:tcPr>
            <w:tcW w:w="727" w:type="pct"/>
            <w:noWrap w:val="0"/>
            <w:vAlign w:val="center"/>
          </w:tcPr>
          <w:p>
            <w:pPr>
              <w:adjustRightInd w:val="0"/>
              <w:snapToGrid w:val="0"/>
              <w:spacing w:line="240" w:lineRule="auto"/>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38" w:type="pct"/>
            <w:vMerge w:val="continue"/>
            <w:noWrap w:val="0"/>
            <w:vAlign w:val="center"/>
          </w:tcPr>
          <w:p>
            <w:pPr>
              <w:adjustRightInd w:val="0"/>
              <w:snapToGrid w:val="0"/>
              <w:spacing w:line="240" w:lineRule="auto"/>
              <w:jc w:val="center"/>
              <w:rPr>
                <w:rFonts w:ascii="Times New Roman" w:hAnsi="Times New Roman"/>
                <w:sz w:val="21"/>
                <w:szCs w:val="21"/>
              </w:rPr>
            </w:pPr>
          </w:p>
        </w:tc>
        <w:tc>
          <w:tcPr>
            <w:tcW w:w="692" w:type="pct"/>
            <w:vMerge w:val="continue"/>
            <w:noWrap w:val="0"/>
            <w:vAlign w:val="center"/>
          </w:tcPr>
          <w:p>
            <w:pPr>
              <w:adjustRightInd w:val="0"/>
              <w:snapToGrid w:val="0"/>
              <w:spacing w:line="240" w:lineRule="auto"/>
              <w:jc w:val="center"/>
              <w:rPr>
                <w:rFonts w:ascii="Times New Roman" w:hAnsi="Times New Roman"/>
                <w:color w:val="FF0000"/>
                <w:sz w:val="21"/>
                <w:szCs w:val="21"/>
              </w:rPr>
            </w:pPr>
          </w:p>
        </w:tc>
        <w:tc>
          <w:tcPr>
            <w:tcW w:w="692" w:type="pct"/>
            <w:vMerge w:val="continue"/>
            <w:noWrap w:val="0"/>
            <w:vAlign w:val="center"/>
          </w:tcPr>
          <w:p>
            <w:pPr>
              <w:adjustRightInd w:val="0"/>
              <w:snapToGrid w:val="0"/>
              <w:spacing w:line="240" w:lineRule="auto"/>
              <w:jc w:val="center"/>
              <w:rPr>
                <w:rFonts w:ascii="Times New Roman" w:hAnsi="Times New Roman"/>
                <w:color w:val="FF0000"/>
                <w:sz w:val="21"/>
                <w:szCs w:val="21"/>
              </w:rPr>
            </w:pPr>
          </w:p>
        </w:tc>
        <w:tc>
          <w:tcPr>
            <w:tcW w:w="384" w:type="pct"/>
            <w:noWrap w:val="0"/>
            <w:vAlign w:val="center"/>
          </w:tcPr>
          <w:p>
            <w:pPr>
              <w:adjustRightInd w:val="0"/>
              <w:snapToGrid w:val="0"/>
              <w:spacing w:line="240" w:lineRule="auto"/>
              <w:jc w:val="center"/>
              <w:rPr>
                <w:rFonts w:hint="eastAsia" w:ascii="Times New Roman" w:hAnsi="Times New Roman"/>
                <w:sz w:val="21"/>
                <w:szCs w:val="21"/>
              </w:rPr>
            </w:pPr>
            <w:r>
              <w:rPr>
                <w:rFonts w:hint="eastAsia" w:ascii="Times New Roman" w:hAnsi="Times New Roman"/>
                <w:sz w:val="21"/>
                <w:szCs w:val="21"/>
              </w:rPr>
              <w:t>南厂界</w:t>
            </w:r>
          </w:p>
        </w:tc>
        <w:tc>
          <w:tcPr>
            <w:tcW w:w="568" w:type="pct"/>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08:41</w:t>
            </w:r>
          </w:p>
        </w:tc>
        <w:tc>
          <w:tcPr>
            <w:tcW w:w="727" w:type="pct"/>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58.4</w:t>
            </w:r>
          </w:p>
        </w:tc>
        <w:tc>
          <w:tcPr>
            <w:tcW w:w="568" w:type="pct"/>
            <w:noWrap w:val="0"/>
            <w:vAlign w:val="center"/>
          </w:tcPr>
          <w:p>
            <w:pPr>
              <w:adjustRightInd w:val="0"/>
              <w:snapToGrid w:val="0"/>
              <w:spacing w:line="240" w:lineRule="auto"/>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22:09</w:t>
            </w:r>
          </w:p>
        </w:tc>
        <w:tc>
          <w:tcPr>
            <w:tcW w:w="727" w:type="pct"/>
            <w:noWrap w:val="0"/>
            <w:vAlign w:val="center"/>
          </w:tcPr>
          <w:p>
            <w:pPr>
              <w:adjustRightInd w:val="0"/>
              <w:snapToGrid w:val="0"/>
              <w:spacing w:line="240" w:lineRule="auto"/>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38" w:type="pct"/>
            <w:vMerge w:val="continue"/>
            <w:noWrap w:val="0"/>
            <w:vAlign w:val="center"/>
          </w:tcPr>
          <w:p>
            <w:pPr>
              <w:adjustRightInd w:val="0"/>
              <w:snapToGrid w:val="0"/>
              <w:spacing w:line="240" w:lineRule="auto"/>
              <w:jc w:val="center"/>
              <w:rPr>
                <w:rFonts w:ascii="Times New Roman" w:hAnsi="Times New Roman"/>
                <w:sz w:val="21"/>
                <w:szCs w:val="21"/>
              </w:rPr>
            </w:pPr>
          </w:p>
        </w:tc>
        <w:tc>
          <w:tcPr>
            <w:tcW w:w="692" w:type="pct"/>
            <w:vMerge w:val="continue"/>
            <w:noWrap w:val="0"/>
            <w:vAlign w:val="center"/>
          </w:tcPr>
          <w:p>
            <w:pPr>
              <w:adjustRightInd w:val="0"/>
              <w:snapToGrid w:val="0"/>
              <w:spacing w:line="240" w:lineRule="auto"/>
              <w:jc w:val="center"/>
              <w:rPr>
                <w:rFonts w:ascii="Times New Roman" w:hAnsi="Times New Roman"/>
                <w:color w:val="FF0000"/>
                <w:sz w:val="21"/>
                <w:szCs w:val="21"/>
              </w:rPr>
            </w:pPr>
          </w:p>
        </w:tc>
        <w:tc>
          <w:tcPr>
            <w:tcW w:w="692" w:type="pct"/>
            <w:vMerge w:val="continue"/>
            <w:noWrap w:val="0"/>
            <w:vAlign w:val="center"/>
          </w:tcPr>
          <w:p>
            <w:pPr>
              <w:adjustRightInd w:val="0"/>
              <w:snapToGrid w:val="0"/>
              <w:spacing w:line="240" w:lineRule="auto"/>
              <w:jc w:val="center"/>
              <w:rPr>
                <w:rFonts w:ascii="Times New Roman" w:hAnsi="Times New Roman"/>
                <w:color w:val="FF0000"/>
                <w:sz w:val="21"/>
                <w:szCs w:val="21"/>
              </w:rPr>
            </w:pPr>
          </w:p>
        </w:tc>
        <w:tc>
          <w:tcPr>
            <w:tcW w:w="384" w:type="pct"/>
            <w:noWrap w:val="0"/>
            <w:vAlign w:val="center"/>
          </w:tcPr>
          <w:p>
            <w:pPr>
              <w:adjustRightInd w:val="0"/>
              <w:snapToGrid w:val="0"/>
              <w:spacing w:line="240" w:lineRule="auto"/>
              <w:jc w:val="center"/>
              <w:rPr>
                <w:rFonts w:hint="eastAsia" w:ascii="Times New Roman" w:hAnsi="Times New Roman"/>
                <w:sz w:val="21"/>
                <w:szCs w:val="21"/>
              </w:rPr>
            </w:pPr>
            <w:r>
              <w:rPr>
                <w:rFonts w:hint="eastAsia" w:ascii="Times New Roman" w:hAnsi="Times New Roman"/>
                <w:sz w:val="21"/>
                <w:szCs w:val="21"/>
              </w:rPr>
              <w:t>西厂界</w:t>
            </w:r>
          </w:p>
        </w:tc>
        <w:tc>
          <w:tcPr>
            <w:tcW w:w="568" w:type="pct"/>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14:16</w:t>
            </w:r>
          </w:p>
        </w:tc>
        <w:tc>
          <w:tcPr>
            <w:tcW w:w="727" w:type="pct"/>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52.4</w:t>
            </w:r>
          </w:p>
        </w:tc>
        <w:tc>
          <w:tcPr>
            <w:tcW w:w="568" w:type="pct"/>
            <w:noWrap w:val="0"/>
            <w:vAlign w:val="center"/>
          </w:tcPr>
          <w:p>
            <w:pPr>
              <w:adjustRightInd w:val="0"/>
              <w:snapToGrid w:val="0"/>
              <w:spacing w:line="240" w:lineRule="auto"/>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22:23</w:t>
            </w:r>
          </w:p>
        </w:tc>
        <w:tc>
          <w:tcPr>
            <w:tcW w:w="727" w:type="pct"/>
            <w:noWrap w:val="0"/>
            <w:vAlign w:val="center"/>
          </w:tcPr>
          <w:p>
            <w:pPr>
              <w:adjustRightInd w:val="0"/>
              <w:snapToGrid w:val="0"/>
              <w:spacing w:line="240" w:lineRule="auto"/>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38" w:type="pct"/>
            <w:vMerge w:val="continue"/>
            <w:noWrap w:val="0"/>
            <w:vAlign w:val="center"/>
          </w:tcPr>
          <w:p>
            <w:pPr>
              <w:adjustRightInd w:val="0"/>
              <w:snapToGrid w:val="0"/>
              <w:spacing w:line="240" w:lineRule="auto"/>
              <w:jc w:val="center"/>
              <w:rPr>
                <w:rFonts w:ascii="Times New Roman" w:hAnsi="Times New Roman"/>
                <w:sz w:val="21"/>
                <w:szCs w:val="21"/>
              </w:rPr>
            </w:pPr>
          </w:p>
        </w:tc>
        <w:tc>
          <w:tcPr>
            <w:tcW w:w="692" w:type="pct"/>
            <w:vMerge w:val="continue"/>
            <w:noWrap w:val="0"/>
            <w:vAlign w:val="center"/>
          </w:tcPr>
          <w:p>
            <w:pPr>
              <w:adjustRightInd w:val="0"/>
              <w:snapToGrid w:val="0"/>
              <w:spacing w:line="240" w:lineRule="auto"/>
              <w:jc w:val="center"/>
              <w:rPr>
                <w:rFonts w:ascii="Times New Roman" w:hAnsi="Times New Roman"/>
                <w:color w:val="FF0000"/>
                <w:sz w:val="21"/>
                <w:szCs w:val="21"/>
              </w:rPr>
            </w:pPr>
          </w:p>
        </w:tc>
        <w:tc>
          <w:tcPr>
            <w:tcW w:w="692" w:type="pct"/>
            <w:vMerge w:val="continue"/>
            <w:noWrap w:val="0"/>
            <w:vAlign w:val="center"/>
          </w:tcPr>
          <w:p>
            <w:pPr>
              <w:adjustRightInd w:val="0"/>
              <w:snapToGrid w:val="0"/>
              <w:spacing w:line="240" w:lineRule="auto"/>
              <w:jc w:val="center"/>
              <w:rPr>
                <w:rFonts w:ascii="Times New Roman" w:hAnsi="Times New Roman"/>
                <w:color w:val="FF0000"/>
                <w:sz w:val="21"/>
                <w:szCs w:val="21"/>
              </w:rPr>
            </w:pPr>
          </w:p>
        </w:tc>
        <w:tc>
          <w:tcPr>
            <w:tcW w:w="384" w:type="pct"/>
            <w:noWrap w:val="0"/>
            <w:vAlign w:val="center"/>
          </w:tcPr>
          <w:p>
            <w:pPr>
              <w:adjustRightInd w:val="0"/>
              <w:snapToGrid w:val="0"/>
              <w:spacing w:line="240" w:lineRule="auto"/>
              <w:jc w:val="center"/>
              <w:rPr>
                <w:rFonts w:hint="eastAsia" w:ascii="Times New Roman" w:hAnsi="Times New Roman"/>
                <w:sz w:val="21"/>
                <w:szCs w:val="21"/>
              </w:rPr>
            </w:pPr>
            <w:r>
              <w:rPr>
                <w:rFonts w:hint="eastAsia" w:ascii="Times New Roman" w:hAnsi="Times New Roman"/>
                <w:sz w:val="21"/>
                <w:szCs w:val="21"/>
              </w:rPr>
              <w:t>北厂界</w:t>
            </w:r>
          </w:p>
        </w:tc>
        <w:tc>
          <w:tcPr>
            <w:tcW w:w="568" w:type="pct"/>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14:31</w:t>
            </w:r>
          </w:p>
        </w:tc>
        <w:tc>
          <w:tcPr>
            <w:tcW w:w="727" w:type="pct"/>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48.7</w:t>
            </w:r>
          </w:p>
        </w:tc>
        <w:tc>
          <w:tcPr>
            <w:tcW w:w="568" w:type="pct"/>
            <w:noWrap w:val="0"/>
            <w:vAlign w:val="center"/>
          </w:tcPr>
          <w:p>
            <w:pPr>
              <w:adjustRightInd w:val="0"/>
              <w:snapToGrid w:val="0"/>
              <w:spacing w:line="240" w:lineRule="auto"/>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22:37</w:t>
            </w:r>
          </w:p>
        </w:tc>
        <w:tc>
          <w:tcPr>
            <w:tcW w:w="727" w:type="pct"/>
            <w:noWrap w:val="0"/>
            <w:vAlign w:val="center"/>
          </w:tcPr>
          <w:p>
            <w:pPr>
              <w:adjustRightInd w:val="0"/>
              <w:snapToGrid w:val="0"/>
              <w:spacing w:line="240" w:lineRule="auto"/>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45.9</w:t>
            </w:r>
          </w:p>
        </w:tc>
      </w:tr>
    </w:tbl>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根据现场监测期间监测结果：厂界4个噪声监测点，</w:t>
      </w:r>
      <w:bookmarkStart w:id="69" w:name="_Hlk47977373"/>
      <w:r>
        <w:rPr>
          <w:rFonts w:hint="default" w:ascii="Times New Roman" w:hAnsi="Times New Roman" w:eastAsia="宋体" w:cs="Times New Roman"/>
          <w:kern w:val="0"/>
          <w:sz w:val="24"/>
          <w:szCs w:val="21"/>
        </w:rPr>
        <w:t>昼间噪声值范围为</w:t>
      </w:r>
      <w:r>
        <w:rPr>
          <w:rFonts w:hint="eastAsia" w:cs="Times New Roman"/>
          <w:kern w:val="0"/>
          <w:sz w:val="24"/>
          <w:szCs w:val="21"/>
          <w:lang w:val="en-US" w:eastAsia="zh-CN"/>
        </w:rPr>
        <w:t>45.7</w:t>
      </w:r>
      <w:r>
        <w:rPr>
          <w:rFonts w:hint="default" w:ascii="Times New Roman" w:hAnsi="Times New Roman" w:eastAsia="宋体" w:cs="Times New Roman"/>
          <w:kern w:val="0"/>
          <w:sz w:val="24"/>
          <w:szCs w:val="21"/>
        </w:rPr>
        <w:t>～</w:t>
      </w:r>
      <w:r>
        <w:rPr>
          <w:rFonts w:hint="eastAsia" w:cs="Times New Roman"/>
          <w:kern w:val="0"/>
          <w:sz w:val="24"/>
          <w:szCs w:val="21"/>
          <w:lang w:val="en-US" w:eastAsia="zh-CN"/>
        </w:rPr>
        <w:t>58.4</w:t>
      </w:r>
      <w:r>
        <w:rPr>
          <w:rFonts w:hint="default" w:ascii="Times New Roman" w:hAnsi="Times New Roman" w:eastAsia="宋体" w:cs="Times New Roman"/>
          <w:kern w:val="0"/>
          <w:sz w:val="24"/>
          <w:szCs w:val="21"/>
        </w:rPr>
        <w:t>dB(A)</w:t>
      </w:r>
      <w:r>
        <w:rPr>
          <w:rFonts w:hint="eastAsia" w:cs="Times New Roman"/>
          <w:kern w:val="0"/>
          <w:sz w:val="24"/>
          <w:szCs w:val="21"/>
          <w:lang w:eastAsia="zh-CN"/>
        </w:rPr>
        <w:t>，</w:t>
      </w:r>
      <w:r>
        <w:rPr>
          <w:rFonts w:hint="eastAsia" w:cs="Times New Roman"/>
          <w:kern w:val="0"/>
          <w:sz w:val="24"/>
          <w:szCs w:val="21"/>
          <w:lang w:val="en-US" w:eastAsia="zh-CN"/>
        </w:rPr>
        <w:t>夜</w:t>
      </w:r>
      <w:r>
        <w:rPr>
          <w:rFonts w:hint="default" w:ascii="Times New Roman" w:hAnsi="Times New Roman" w:eastAsia="宋体" w:cs="Times New Roman"/>
          <w:kern w:val="0"/>
          <w:sz w:val="24"/>
          <w:szCs w:val="21"/>
        </w:rPr>
        <w:t>间噪声值范围为</w:t>
      </w:r>
      <w:r>
        <w:rPr>
          <w:rFonts w:hint="eastAsia" w:cs="Times New Roman"/>
          <w:kern w:val="0"/>
          <w:sz w:val="24"/>
          <w:szCs w:val="21"/>
          <w:lang w:val="en-US" w:eastAsia="zh-CN"/>
        </w:rPr>
        <w:t>43.7</w:t>
      </w:r>
      <w:r>
        <w:rPr>
          <w:rFonts w:hint="default" w:ascii="Times New Roman" w:hAnsi="Times New Roman" w:eastAsia="宋体" w:cs="Times New Roman"/>
          <w:kern w:val="0"/>
          <w:sz w:val="24"/>
          <w:szCs w:val="21"/>
        </w:rPr>
        <w:t>～</w:t>
      </w:r>
      <w:r>
        <w:rPr>
          <w:rFonts w:hint="eastAsia" w:eastAsia="宋体" w:cs="Times New Roman"/>
          <w:kern w:val="0"/>
          <w:sz w:val="24"/>
          <w:szCs w:val="21"/>
          <w:lang w:val="en-US" w:eastAsia="zh-CN"/>
        </w:rPr>
        <w:t>49</w:t>
      </w:r>
      <w:r>
        <w:rPr>
          <w:rFonts w:hint="eastAsia" w:cs="Times New Roman"/>
          <w:kern w:val="0"/>
          <w:sz w:val="24"/>
          <w:szCs w:val="21"/>
          <w:lang w:val="en-US" w:eastAsia="zh-CN"/>
        </w:rPr>
        <w:t>.4</w:t>
      </w:r>
      <w:r>
        <w:rPr>
          <w:rFonts w:hint="default" w:ascii="Times New Roman" w:hAnsi="Times New Roman" w:eastAsia="宋体" w:cs="Times New Roman"/>
          <w:kern w:val="0"/>
          <w:sz w:val="24"/>
          <w:szCs w:val="21"/>
        </w:rPr>
        <w:t>dB(A)，检测结果</w:t>
      </w:r>
      <w:r>
        <w:rPr>
          <w:rFonts w:hint="default" w:ascii="Times New Roman" w:hAnsi="Times New Roman" w:eastAsia="宋体" w:cs="Times New Roman"/>
          <w:kern w:val="0"/>
          <w:sz w:val="24"/>
          <w:szCs w:val="21"/>
          <w:lang w:val="en-US" w:eastAsia="zh-CN"/>
        </w:rPr>
        <w:t>满足</w:t>
      </w:r>
      <w:r>
        <w:rPr>
          <w:rFonts w:hint="default" w:ascii="Times New Roman" w:hAnsi="Times New Roman" w:eastAsia="宋体" w:cs="Times New Roman"/>
          <w:kern w:val="0"/>
          <w:sz w:val="24"/>
          <w:szCs w:val="21"/>
        </w:rPr>
        <w:t>《工业企业厂界环境噪声排放标准》(GB12348-2008)中</w:t>
      </w:r>
      <w:r>
        <w:rPr>
          <w:rFonts w:hint="default" w:ascii="Times New Roman" w:hAnsi="Times New Roman" w:eastAsia="宋体" w:cs="Times New Roman"/>
          <w:kern w:val="0"/>
          <w:sz w:val="24"/>
          <w:szCs w:val="21"/>
          <w:lang w:val="en-US" w:eastAsia="zh-CN"/>
        </w:rPr>
        <w:t>2</w:t>
      </w:r>
      <w:r>
        <w:rPr>
          <w:rFonts w:hint="default" w:ascii="Times New Roman" w:hAnsi="Times New Roman" w:eastAsia="宋体" w:cs="Times New Roman"/>
          <w:kern w:val="0"/>
          <w:sz w:val="24"/>
          <w:szCs w:val="21"/>
        </w:rPr>
        <w:t>类标准限值要求。</w:t>
      </w:r>
    </w:p>
    <w:bookmarkEnd w:id="69"/>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9.2.1.4固（液）体废物</w:t>
      </w:r>
    </w:p>
    <w:p>
      <w:pPr>
        <w:autoSpaceDE w:val="0"/>
        <w:autoSpaceDN w:val="0"/>
        <w:adjustRightInd w:val="0"/>
        <w:spacing w:line="348"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w:t>
      </w:r>
      <w:r>
        <w:rPr>
          <w:rFonts w:hint="eastAsia" w:ascii="Times New Roman" w:hAnsi="Times New Roman" w:eastAsia="宋体" w:cs="Times New Roman"/>
          <w:sz w:val="24"/>
          <w:lang w:val="en-US" w:eastAsia="zh-CN"/>
        </w:rPr>
        <w:t>不产生固废</w:t>
      </w:r>
      <w:r>
        <w:rPr>
          <w:rFonts w:hint="default" w:ascii="Times New Roman" w:hAnsi="Times New Roman" w:eastAsia="宋体" w:cs="Times New Roman"/>
          <w:sz w:val="24"/>
          <w:lang w:val="en-US" w:eastAsia="zh-CN"/>
        </w:rPr>
        <w:t>。</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9.2.2环保设施去除效率监测结果</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9.2.2.1废水治理设施</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该项目未做水质监测。</w:t>
      </w:r>
      <w:r>
        <w:rPr>
          <w:rFonts w:hint="default" w:ascii="Times New Roman" w:hAnsi="Times New Roman" w:eastAsia="宋体" w:cs="Times New Roman"/>
          <w:color w:val="auto"/>
          <w:sz w:val="24"/>
          <w:szCs w:val="24"/>
          <w:lang w:val="en-US" w:eastAsia="zh-CN"/>
        </w:rPr>
        <w:t>本项目无生产废水</w:t>
      </w:r>
      <w:r>
        <w:rPr>
          <w:rFonts w:hint="eastAsia" w:ascii="Times New Roman" w:hAnsi="Times New Roman" w:eastAsia="宋体" w:cs="Times New Roman"/>
          <w:color w:val="auto"/>
          <w:sz w:val="24"/>
          <w:szCs w:val="24"/>
          <w:lang w:val="en-US" w:eastAsia="zh-CN"/>
        </w:rPr>
        <w:t>、生活污水</w:t>
      </w:r>
      <w:r>
        <w:rPr>
          <w:rFonts w:hint="default" w:ascii="Times New Roman" w:hAnsi="Times New Roman" w:eastAsia="宋体" w:cs="Times New Roman"/>
          <w:color w:val="auto"/>
          <w:sz w:val="24"/>
          <w:szCs w:val="24"/>
          <w:lang w:val="en-US" w:eastAsia="zh-CN"/>
        </w:rPr>
        <w:t>产生。</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9.2.2.2废气治理设施</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根据监测结果可知：排气筒DA004、DA005、DA006废气有组织污染物颗粒物最大排放浓度为2.1mg/m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，最大排放速率为0.25kg/h；二氧化硫最大排放浓度为6mg/m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，最大排放速率为0.36kg/h；氮氧化物最大排放浓度为9mg/m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，最大排放速率为0.6kg/h满足山东省《区域性大气污染物综合排放标准》(DB37/2376-2019)以及《大气污染物综合排放标准》（GB16297-1996）标准要求。</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9.2.2.3厂界噪声治理设施</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该项目的噪声源治理采取集中布置、基础减振、建筑物隔音和加强管理等措施，这些降噪措施在技术上是成熟的，在经济上是合理的。</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9.2.2.4固体废物治理设施</w:t>
      </w:r>
    </w:p>
    <w:p>
      <w:pPr>
        <w:autoSpaceDE w:val="0"/>
        <w:autoSpaceDN w:val="0"/>
        <w:adjustRightInd w:val="0"/>
        <w:spacing w:line="348" w:lineRule="auto"/>
        <w:ind w:firstLine="477" w:firstLineChars="199"/>
        <w:rPr>
          <w:rFonts w:hint="default" w:ascii="Times New Roman" w:hAnsi="Times New Roman" w:eastAsia="宋体" w:cs="Times New Roman"/>
          <w:sz w:val="24"/>
          <w:lang w:val="en-US" w:eastAsia="zh-CN"/>
        </w:rPr>
      </w:pPr>
      <w:r>
        <w:rPr>
          <w:rFonts w:hint="default" w:ascii="Times New Roman" w:hAnsi="Times New Roman" w:eastAsia="宋体" w:cs="Times New Roman"/>
          <w:sz w:val="24"/>
          <w:szCs w:val="24"/>
        </w:rPr>
        <w:t>该项目不涉及固（液）体废物监测项目。</w:t>
      </w:r>
      <w:bookmarkStart w:id="70" w:name="_Hlk59628348"/>
      <w:r>
        <w:rPr>
          <w:rFonts w:hint="eastAsia" w:ascii="Times New Roman" w:hAnsi="Times New Roman" w:eastAsia="宋体" w:cs="Times New Roman"/>
          <w:sz w:val="24"/>
          <w:lang w:val="en-US" w:eastAsia="zh-CN"/>
        </w:rPr>
        <w:t>本项目不产生固废</w:t>
      </w:r>
      <w:r>
        <w:rPr>
          <w:rFonts w:hint="default" w:ascii="Times New Roman" w:hAnsi="Times New Roman" w:eastAsia="宋体" w:cs="Times New Roman"/>
          <w:sz w:val="24"/>
          <w:lang w:val="en-US" w:eastAsia="zh-CN"/>
        </w:rPr>
        <w:t>。</w:t>
      </w:r>
    </w:p>
    <w:bookmarkEnd w:id="70"/>
    <w:p>
      <w:pPr>
        <w:adjustRightInd w:val="0"/>
        <w:snapToGrid w:val="0"/>
        <w:spacing w:line="360" w:lineRule="auto"/>
        <w:outlineLvl w:val="1"/>
        <w:rPr>
          <w:rFonts w:hint="default" w:ascii="Times New Roman" w:hAnsi="Times New Roman" w:eastAsia="宋体" w:cs="Times New Roman"/>
          <w:b/>
          <w:sz w:val="28"/>
          <w:szCs w:val="32"/>
        </w:rPr>
      </w:pPr>
      <w:bookmarkStart w:id="71" w:name="_Toc12029"/>
      <w:r>
        <w:rPr>
          <w:rFonts w:hint="default" w:ascii="Times New Roman" w:hAnsi="Times New Roman" w:eastAsia="宋体" w:cs="Times New Roman"/>
          <w:b/>
          <w:sz w:val="28"/>
          <w:szCs w:val="32"/>
        </w:rPr>
        <w:t>9.</w:t>
      </w:r>
      <w:r>
        <w:rPr>
          <w:rFonts w:hint="eastAsia" w:ascii="Times New Roman" w:hAnsi="Times New Roman" w:eastAsia="宋体" w:cs="Times New Roman"/>
          <w:b/>
          <w:sz w:val="28"/>
          <w:szCs w:val="32"/>
          <w:lang w:val="en-US" w:eastAsia="zh-CN"/>
        </w:rPr>
        <w:t>3</w:t>
      </w:r>
      <w:r>
        <w:rPr>
          <w:rFonts w:hint="default" w:ascii="Times New Roman" w:hAnsi="Times New Roman" w:eastAsia="宋体" w:cs="Times New Roman"/>
          <w:b/>
          <w:sz w:val="28"/>
          <w:szCs w:val="32"/>
        </w:rPr>
        <w:t>工程建设对环境的影响</w:t>
      </w:r>
      <w:bookmarkEnd w:id="71"/>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在各项环保措施落实的情况下，该项目外排污染物能够达到相应标准的要求，对周围环境影响很小。</w:t>
      </w: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47"/>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72" w:name="_Toc8818"/>
      <w:r>
        <w:rPr>
          <w:rFonts w:hint="default" w:ascii="Times New Roman" w:hAnsi="Times New Roman" w:eastAsia="宋体" w:cs="Times New Roman"/>
          <w:b/>
          <w:sz w:val="32"/>
          <w:szCs w:val="32"/>
        </w:rPr>
        <w:t>10、验收监测结论</w:t>
      </w:r>
      <w:bookmarkEnd w:id="72"/>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73" w:name="_Toc31444"/>
      <w:r>
        <w:rPr>
          <w:rFonts w:hint="default" w:ascii="Times New Roman" w:hAnsi="Times New Roman" w:eastAsia="宋体" w:cs="Times New Roman"/>
          <w:b/>
          <w:sz w:val="28"/>
          <w:szCs w:val="32"/>
        </w:rPr>
        <w:t>10.1环境保护设施调试效果</w:t>
      </w:r>
      <w:bookmarkEnd w:id="73"/>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该项目按照国家建设项目环境保护法律法规办理了环评手续，环评及批复中提出的污染防治措施和各项要求基本落实到位，验收监测期间各项环保设施运行稳定正常。本次对</w:t>
      </w:r>
      <w:r>
        <w:rPr>
          <w:rFonts w:hint="default" w:ascii="Times New Roman" w:hAnsi="Times New Roman" w:eastAsia="宋体" w:cs="Times New Roman"/>
          <w:color w:val="000000"/>
          <w:sz w:val="24"/>
          <w:szCs w:val="28"/>
          <w:lang w:eastAsia="zh-CN"/>
        </w:rPr>
        <w:t>山东大树达孚特膳食品有限公司</w:t>
      </w:r>
      <w:r>
        <w:rPr>
          <w:rFonts w:hint="default" w:ascii="Times New Roman" w:hAnsi="Times New Roman" w:eastAsia="宋体" w:cs="Times New Roman"/>
          <w:color w:val="000000"/>
          <w:sz w:val="24"/>
          <w:szCs w:val="28"/>
          <w:lang w:val="en-US" w:eastAsia="zh-CN"/>
        </w:rPr>
        <w:t>供热方式技改</w:t>
      </w:r>
      <w:r>
        <w:rPr>
          <w:rFonts w:hint="default" w:ascii="Times New Roman" w:hAnsi="Times New Roman" w:eastAsia="宋体" w:cs="Times New Roman"/>
          <w:color w:val="000000"/>
          <w:sz w:val="24"/>
          <w:szCs w:val="28"/>
          <w:lang w:eastAsia="zh-CN"/>
        </w:rPr>
        <w:t>项目</w:t>
      </w:r>
      <w:r>
        <w:rPr>
          <w:rFonts w:hint="default" w:ascii="Times New Roman" w:hAnsi="Times New Roman" w:eastAsia="宋体" w:cs="Times New Roman"/>
          <w:color w:val="000000"/>
          <w:sz w:val="24"/>
          <w:szCs w:val="28"/>
        </w:rPr>
        <w:t>验收结论如下：</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10.1.1有组织废气</w:t>
      </w:r>
    </w:p>
    <w:p>
      <w:pPr>
        <w:pStyle w:val="11"/>
        <w:spacing w:after="0" w:line="360" w:lineRule="auto"/>
        <w:ind w:left="0" w:firstLine="480" w:firstLineChars="200"/>
        <w:rPr>
          <w:rFonts w:hint="default" w:ascii="Times New Roman" w:hAnsi="Times New Roman" w:eastAsia="宋体" w:cs="Times New Roman"/>
          <w:sz w:val="24"/>
          <w:szCs w:val="20"/>
          <w:lang w:val="en-US" w:eastAsia="zh-CN"/>
        </w:rPr>
      </w:pPr>
      <w:r>
        <w:rPr>
          <w:rFonts w:hint="default" w:ascii="Times New Roman" w:hAnsi="Times New Roman" w:eastAsia="宋体" w:cs="Times New Roman"/>
          <w:color w:val="000000"/>
          <w:sz w:val="24"/>
          <w:szCs w:val="28"/>
        </w:rPr>
        <w:t>由监测结果表明，排气筒DA004、DA005、DA006废气有组织污染物颗粒物最大排放浓度为2.1mg/m</w:t>
      </w:r>
      <w:r>
        <w:rPr>
          <w:rFonts w:hint="default" w:ascii="Times New Roman" w:hAnsi="Times New Roman" w:eastAsia="宋体" w:cs="Times New Roman"/>
          <w:color w:val="000000"/>
          <w:sz w:val="24"/>
          <w:szCs w:val="28"/>
          <w:vertAlign w:val="superscript"/>
        </w:rPr>
        <w:t>3</w:t>
      </w:r>
      <w:r>
        <w:rPr>
          <w:rFonts w:hint="default" w:ascii="Times New Roman" w:hAnsi="Times New Roman" w:eastAsia="宋体" w:cs="Times New Roman"/>
          <w:color w:val="000000"/>
          <w:sz w:val="24"/>
          <w:szCs w:val="28"/>
        </w:rPr>
        <w:t>，最大排放速率为0.25kg/h；二氧化硫最大排放浓度为6mg/m</w:t>
      </w:r>
      <w:r>
        <w:rPr>
          <w:rFonts w:hint="default" w:ascii="Times New Roman" w:hAnsi="Times New Roman" w:eastAsia="宋体" w:cs="Times New Roman"/>
          <w:color w:val="000000"/>
          <w:sz w:val="24"/>
          <w:szCs w:val="28"/>
          <w:vertAlign w:val="superscript"/>
        </w:rPr>
        <w:t>3</w:t>
      </w:r>
      <w:r>
        <w:rPr>
          <w:rFonts w:hint="default" w:ascii="Times New Roman" w:hAnsi="Times New Roman" w:eastAsia="宋体" w:cs="Times New Roman"/>
          <w:color w:val="000000"/>
          <w:sz w:val="24"/>
          <w:szCs w:val="28"/>
        </w:rPr>
        <w:t>，最大排放速率为0.36kg/h；氮氧化物最大排放浓度为9mg/m</w:t>
      </w:r>
      <w:r>
        <w:rPr>
          <w:rFonts w:hint="default" w:ascii="Times New Roman" w:hAnsi="Times New Roman" w:eastAsia="宋体" w:cs="Times New Roman"/>
          <w:color w:val="000000"/>
          <w:sz w:val="24"/>
          <w:szCs w:val="28"/>
          <w:vertAlign w:val="superscript"/>
        </w:rPr>
        <w:t>3</w:t>
      </w:r>
      <w:r>
        <w:rPr>
          <w:rFonts w:hint="default" w:ascii="Times New Roman" w:hAnsi="Times New Roman" w:eastAsia="宋体" w:cs="Times New Roman"/>
          <w:color w:val="000000"/>
          <w:sz w:val="24"/>
          <w:szCs w:val="28"/>
        </w:rPr>
        <w:t>，最大排放速率为0.6kg/h满足山东省《区域性大气污染物综合排放标准》(DB37/2376-2019)以及《大气污染物综合排放标准》（GB16297-1996）标准要求。</w:t>
      </w:r>
    </w:p>
    <w:p>
      <w:pPr>
        <w:pStyle w:val="47"/>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10.1.</w:t>
      </w:r>
      <w:r>
        <w:rPr>
          <w:rFonts w:hint="eastAsia" w:ascii="Times New Roman" w:hAnsi="Times New Roman" w:eastAsia="宋体" w:cs="Times New Roman"/>
          <w:b/>
          <w:sz w:val="24"/>
          <w:szCs w:val="32"/>
          <w:lang w:val="en-US" w:eastAsia="zh-CN"/>
        </w:rPr>
        <w:t>2</w:t>
      </w:r>
      <w:r>
        <w:rPr>
          <w:rFonts w:hint="default" w:ascii="Times New Roman" w:hAnsi="Times New Roman" w:eastAsia="宋体" w:cs="Times New Roman"/>
          <w:b/>
          <w:sz w:val="24"/>
          <w:szCs w:val="32"/>
        </w:rPr>
        <w:t>噪声</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根据现场监测期间监测结果：厂界4个噪声监测点，</w:t>
      </w:r>
      <w:r>
        <w:rPr>
          <w:rFonts w:hint="default" w:ascii="Times New Roman" w:hAnsi="Times New Roman" w:eastAsia="宋体" w:cs="Times New Roman"/>
          <w:kern w:val="0"/>
          <w:sz w:val="24"/>
          <w:szCs w:val="21"/>
        </w:rPr>
        <w:t>昼间噪声值范围为</w:t>
      </w:r>
      <w:r>
        <w:rPr>
          <w:rFonts w:hint="eastAsia" w:cs="Times New Roman"/>
          <w:kern w:val="0"/>
          <w:sz w:val="24"/>
          <w:szCs w:val="21"/>
          <w:lang w:val="en-US" w:eastAsia="zh-CN"/>
        </w:rPr>
        <w:t>45.7</w:t>
      </w:r>
      <w:r>
        <w:rPr>
          <w:rFonts w:hint="default" w:ascii="Times New Roman" w:hAnsi="Times New Roman" w:eastAsia="宋体" w:cs="Times New Roman"/>
          <w:kern w:val="0"/>
          <w:sz w:val="24"/>
          <w:szCs w:val="21"/>
        </w:rPr>
        <w:t>～</w:t>
      </w:r>
      <w:r>
        <w:rPr>
          <w:rFonts w:hint="eastAsia" w:cs="Times New Roman"/>
          <w:kern w:val="0"/>
          <w:sz w:val="24"/>
          <w:szCs w:val="21"/>
          <w:lang w:val="en-US" w:eastAsia="zh-CN"/>
        </w:rPr>
        <w:t>58.4</w:t>
      </w:r>
      <w:r>
        <w:rPr>
          <w:rFonts w:hint="default" w:ascii="Times New Roman" w:hAnsi="Times New Roman" w:eastAsia="宋体" w:cs="Times New Roman"/>
          <w:kern w:val="0"/>
          <w:sz w:val="24"/>
          <w:szCs w:val="21"/>
        </w:rPr>
        <w:t>dB(A)</w:t>
      </w:r>
      <w:r>
        <w:rPr>
          <w:rFonts w:hint="eastAsia" w:cs="Times New Roman"/>
          <w:kern w:val="0"/>
          <w:sz w:val="24"/>
          <w:szCs w:val="21"/>
          <w:lang w:eastAsia="zh-CN"/>
        </w:rPr>
        <w:t>，</w:t>
      </w:r>
      <w:r>
        <w:rPr>
          <w:rFonts w:hint="eastAsia" w:cs="Times New Roman"/>
          <w:kern w:val="0"/>
          <w:sz w:val="24"/>
          <w:szCs w:val="21"/>
          <w:lang w:val="en-US" w:eastAsia="zh-CN"/>
        </w:rPr>
        <w:t>夜</w:t>
      </w:r>
      <w:r>
        <w:rPr>
          <w:rFonts w:hint="default" w:ascii="Times New Roman" w:hAnsi="Times New Roman" w:eastAsia="宋体" w:cs="Times New Roman"/>
          <w:kern w:val="0"/>
          <w:sz w:val="24"/>
          <w:szCs w:val="21"/>
        </w:rPr>
        <w:t>间噪声值范围为</w:t>
      </w:r>
      <w:r>
        <w:rPr>
          <w:rFonts w:hint="eastAsia" w:cs="Times New Roman"/>
          <w:kern w:val="0"/>
          <w:sz w:val="24"/>
          <w:szCs w:val="21"/>
          <w:lang w:val="en-US" w:eastAsia="zh-CN"/>
        </w:rPr>
        <w:t>43.7</w:t>
      </w:r>
      <w:r>
        <w:rPr>
          <w:rFonts w:hint="default" w:ascii="Times New Roman" w:hAnsi="Times New Roman" w:eastAsia="宋体" w:cs="Times New Roman"/>
          <w:kern w:val="0"/>
          <w:sz w:val="24"/>
          <w:szCs w:val="21"/>
        </w:rPr>
        <w:t>～</w:t>
      </w:r>
      <w:r>
        <w:rPr>
          <w:rFonts w:hint="eastAsia" w:eastAsia="宋体" w:cs="Times New Roman"/>
          <w:kern w:val="0"/>
          <w:sz w:val="24"/>
          <w:szCs w:val="21"/>
          <w:lang w:val="en-US" w:eastAsia="zh-CN"/>
        </w:rPr>
        <w:t>49</w:t>
      </w:r>
      <w:r>
        <w:rPr>
          <w:rFonts w:hint="eastAsia" w:cs="Times New Roman"/>
          <w:kern w:val="0"/>
          <w:sz w:val="24"/>
          <w:szCs w:val="21"/>
          <w:lang w:val="en-US" w:eastAsia="zh-CN"/>
        </w:rPr>
        <w:t>.4</w:t>
      </w:r>
      <w:r>
        <w:rPr>
          <w:rFonts w:hint="default" w:ascii="Times New Roman" w:hAnsi="Times New Roman" w:eastAsia="宋体" w:cs="Times New Roman"/>
          <w:kern w:val="0"/>
          <w:sz w:val="24"/>
          <w:szCs w:val="21"/>
        </w:rPr>
        <w:t>dB(A)，检测结果</w:t>
      </w:r>
      <w:r>
        <w:rPr>
          <w:rFonts w:hint="default" w:ascii="Times New Roman" w:hAnsi="Times New Roman" w:eastAsia="宋体" w:cs="Times New Roman"/>
          <w:kern w:val="0"/>
          <w:sz w:val="24"/>
          <w:szCs w:val="21"/>
          <w:lang w:val="en-US" w:eastAsia="zh-CN"/>
        </w:rPr>
        <w:t>满足</w:t>
      </w:r>
      <w:r>
        <w:rPr>
          <w:rFonts w:hint="default" w:ascii="Times New Roman" w:hAnsi="Times New Roman" w:eastAsia="宋体" w:cs="Times New Roman"/>
          <w:kern w:val="0"/>
          <w:sz w:val="24"/>
          <w:szCs w:val="21"/>
        </w:rPr>
        <w:t>《工业企业厂界环境噪声排放标准》(GB12348-2008)中</w:t>
      </w:r>
      <w:r>
        <w:rPr>
          <w:rFonts w:hint="default" w:ascii="Times New Roman" w:hAnsi="Times New Roman" w:eastAsia="宋体" w:cs="Times New Roman"/>
          <w:kern w:val="0"/>
          <w:sz w:val="24"/>
          <w:szCs w:val="21"/>
          <w:lang w:val="en-US" w:eastAsia="zh-CN"/>
        </w:rPr>
        <w:t>2</w:t>
      </w:r>
      <w:r>
        <w:rPr>
          <w:rFonts w:hint="default" w:ascii="Times New Roman" w:hAnsi="Times New Roman" w:eastAsia="宋体" w:cs="Times New Roman"/>
          <w:kern w:val="0"/>
          <w:sz w:val="24"/>
          <w:szCs w:val="21"/>
        </w:rPr>
        <w:t>类标准限值要求。</w:t>
      </w:r>
    </w:p>
    <w:p>
      <w:pPr>
        <w:pStyle w:val="47"/>
        <w:spacing w:line="360" w:lineRule="auto"/>
        <w:ind w:firstLine="0" w:firstLineChars="0"/>
        <w:jc w:val="left"/>
        <w:outlineLvl w:val="1"/>
        <w:rPr>
          <w:rFonts w:hint="default" w:ascii="Times New Roman" w:hAnsi="Times New Roman" w:eastAsia="宋体" w:cs="Times New Roman"/>
          <w:b/>
          <w:sz w:val="28"/>
          <w:szCs w:val="32"/>
        </w:rPr>
      </w:pPr>
      <w:bookmarkStart w:id="74" w:name="_Toc32281"/>
      <w:r>
        <w:rPr>
          <w:rFonts w:hint="default" w:ascii="Times New Roman" w:hAnsi="Times New Roman" w:eastAsia="宋体" w:cs="Times New Roman"/>
          <w:b/>
          <w:sz w:val="28"/>
          <w:szCs w:val="32"/>
        </w:rPr>
        <w:t>10.2建议</w:t>
      </w:r>
      <w:bookmarkEnd w:id="74"/>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1、保护环境，人人有责，加强环境管理，提高职工环保意识，加强职工环保教育，制定各项环保规章制度，将环境管理纳入到日常生产中，最大限度减少资源浪费和环境污染。</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2、加强厂区周边绿化建设，扩大厂区绿化面积。</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3、加强厂区内风险防范设施的日常保养及维护，确保风险防范设施无故障。</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4、做好对噪声污染的防治措施，在设备选型时应优先选用高效、低噪的设备。对于高噪声的设备设置专门的消声、隔音罩，并加强维护管理。</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5、加强环保设施的维护与环境保护治理，确保项目运行期间保设施的正常运行，降低对周围环境造成的影响。</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6、做好环境应急预案的培训与演练，定期检查、维护消防设备与应急物资，提高环境事故应急响应能力。</w:t>
      </w:r>
    </w:p>
    <w:p>
      <w:pPr>
        <w:pStyle w:val="11"/>
        <w:spacing w:after="0" w:line="360" w:lineRule="auto"/>
        <w:ind w:left="0" w:firstLine="480" w:firstLineChars="200"/>
        <w:rPr>
          <w:rFonts w:hint="default" w:ascii="Times New Roman" w:hAnsi="Times New Roman" w:eastAsia="宋体" w:cs="Times New Roman"/>
          <w:color w:val="000000"/>
          <w:sz w:val="24"/>
          <w:szCs w:val="28"/>
        </w:rPr>
        <w:sectPr>
          <w:footerReference r:id="rId9" w:type="default"/>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color w:val="000000"/>
          <w:sz w:val="24"/>
          <w:szCs w:val="28"/>
        </w:rPr>
        <w:t>7、建立固废管理台帐，做好固废处理记录</w:t>
      </w:r>
    </w:p>
    <w:p>
      <w:pPr>
        <w:pStyle w:val="47"/>
        <w:adjustRightInd w:val="0"/>
        <w:snapToGrid w:val="0"/>
        <w:ind w:left="-210" w:leftChars="-100" w:firstLine="0" w:firstLineChars="0"/>
        <w:jc w:val="center"/>
        <w:outlineLvl w:val="0"/>
        <w:rPr>
          <w:rFonts w:hint="default" w:ascii="Times New Roman" w:hAnsi="Times New Roman" w:eastAsia="宋体" w:cs="Times New Roman"/>
          <w:b/>
          <w:sz w:val="32"/>
          <w:szCs w:val="32"/>
        </w:rPr>
      </w:pPr>
      <w:bookmarkStart w:id="75" w:name="_Toc523409008"/>
      <w:bookmarkStart w:id="76" w:name="_Toc522270330"/>
      <w:bookmarkStart w:id="77" w:name="_Toc523388556"/>
      <w:bookmarkStart w:id="78" w:name="_Toc8440"/>
      <w:r>
        <w:rPr>
          <w:rFonts w:hint="default" w:ascii="Times New Roman" w:hAnsi="Times New Roman" w:eastAsia="宋体" w:cs="Times New Roman"/>
          <w:b/>
          <w:sz w:val="32"/>
          <w:szCs w:val="32"/>
        </w:rPr>
        <w:t>11、</w:t>
      </w:r>
      <w:bookmarkEnd w:id="75"/>
      <w:bookmarkEnd w:id="76"/>
      <w:bookmarkEnd w:id="77"/>
      <w:r>
        <w:rPr>
          <w:rFonts w:hint="default" w:ascii="Times New Roman" w:hAnsi="Times New Roman" w:eastAsia="宋体" w:cs="Times New Roman"/>
          <w:b/>
          <w:sz w:val="32"/>
          <w:szCs w:val="32"/>
        </w:rPr>
        <w:t>建设项目竣工环境保护 “ 三同时 ”验收登记表</w:t>
      </w:r>
      <w:bookmarkEnd w:id="78"/>
    </w:p>
    <w:tbl>
      <w:tblPr>
        <w:tblStyle w:val="30"/>
        <w:tblW w:w="16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534"/>
        <w:gridCol w:w="141"/>
        <w:gridCol w:w="2100"/>
        <w:gridCol w:w="605"/>
        <w:gridCol w:w="1134"/>
        <w:gridCol w:w="142"/>
        <w:gridCol w:w="955"/>
        <w:gridCol w:w="888"/>
        <w:gridCol w:w="283"/>
        <w:gridCol w:w="567"/>
        <w:gridCol w:w="1134"/>
        <w:gridCol w:w="851"/>
        <w:gridCol w:w="2382"/>
        <w:gridCol w:w="1303"/>
        <w:gridCol w:w="388"/>
        <w:gridCol w:w="605"/>
        <w:gridCol w:w="425"/>
        <w:gridCol w:w="289"/>
        <w:gridCol w:w="845"/>
        <w:gridCol w:w="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181" w:type="dxa"/>
            <w:gridSpan w:val="20"/>
            <w:tcBorders>
              <w:top w:val="nil"/>
              <w:left w:val="nil"/>
              <w:bottom w:val="single" w:color="auto" w:sz="4" w:space="0"/>
              <w:right w:val="nil"/>
            </w:tcBorders>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填表单位(盖章)：                                             填表人(签字)：                                         项目经办人(签字)：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restart"/>
            <w:tcBorders>
              <w:top w:val="single" w:color="auto" w:sz="4" w:space="0"/>
            </w:tcBorders>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w:t>
            </w:r>
          </w:p>
        </w:tc>
        <w:tc>
          <w:tcPr>
            <w:tcW w:w="2241" w:type="dxa"/>
            <w:gridSpan w:val="2"/>
            <w:tcBorders>
              <w:top w:val="single" w:color="auto" w:sz="4" w:space="0"/>
            </w:tcBorders>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4574" w:type="dxa"/>
            <w:gridSpan w:val="7"/>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山东大树达孚特膳食品有限公司供热方式技改项目</w:t>
            </w:r>
          </w:p>
        </w:tc>
        <w:tc>
          <w:tcPr>
            <w:tcW w:w="1985" w:type="dxa"/>
            <w:gridSpan w:val="2"/>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项目代码</w:t>
            </w:r>
          </w:p>
        </w:tc>
        <w:tc>
          <w:tcPr>
            <w:tcW w:w="2382" w:type="dxa"/>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2305-371772-89-02-322711</w:t>
            </w:r>
          </w:p>
        </w:tc>
        <w:tc>
          <w:tcPr>
            <w:tcW w:w="1691" w:type="dxa"/>
            <w:gridSpan w:val="2"/>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建设地点</w:t>
            </w:r>
          </w:p>
        </w:tc>
        <w:tc>
          <w:tcPr>
            <w:tcW w:w="2774" w:type="dxa"/>
            <w:gridSpan w:val="5"/>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菏泽市鲁西新区吕陵镇黄河路山东大树达孚特膳食品有限公司内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hint="default" w:ascii="Times New Roman" w:hAnsi="Times New Roman" w:eastAsia="宋体" w:cs="Times New Roman"/>
                <w:sz w:val="18"/>
                <w:szCs w:val="18"/>
              </w:rPr>
            </w:pPr>
          </w:p>
        </w:tc>
        <w:tc>
          <w:tcPr>
            <w:tcW w:w="2241" w:type="dxa"/>
            <w:gridSpan w:val="2"/>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行业类别(分类管理名录)</w:t>
            </w:r>
          </w:p>
        </w:tc>
        <w:tc>
          <w:tcPr>
            <w:tcW w:w="4574" w:type="dxa"/>
            <w:gridSpan w:val="7"/>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D4430热力生产与供应</w:t>
            </w:r>
          </w:p>
        </w:tc>
        <w:tc>
          <w:tcPr>
            <w:tcW w:w="1985"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建设性质</w:t>
            </w:r>
          </w:p>
        </w:tc>
        <w:tc>
          <w:tcPr>
            <w:tcW w:w="4073" w:type="dxa"/>
            <w:gridSpan w:val="3"/>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rPr>
              <w:t>新建</w:t>
            </w:r>
            <w:r>
              <w:rPr>
                <w:rFonts w:hint="default" w:ascii="Times New Roman" w:hAnsi="Times New Roman" w:eastAsia="宋体" w:cs="Times New Roman"/>
                <w:sz w:val="18"/>
                <w:szCs w:val="18"/>
              </w:rPr>
              <w:sym w:font="Wingdings 2" w:char="00A3"/>
            </w:r>
            <w:r>
              <w:rPr>
                <w:rFonts w:hint="default" w:ascii="Times New Roman" w:hAnsi="Times New Roman" w:eastAsia="宋体" w:cs="Times New Roman"/>
                <w:sz w:val="18"/>
                <w:szCs w:val="18"/>
              </w:rPr>
              <w:t>改扩建</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rPr>
              <w:t>技术改造</w:t>
            </w:r>
          </w:p>
        </w:tc>
        <w:tc>
          <w:tcPr>
            <w:tcW w:w="1319" w:type="dxa"/>
            <w:gridSpan w:val="3"/>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项目厂区中心经度/纬度</w:t>
            </w:r>
          </w:p>
        </w:tc>
        <w:tc>
          <w:tcPr>
            <w:tcW w:w="1455" w:type="dxa"/>
            <w:gridSpan w:val="2"/>
            <w:shd w:val="clear" w:color="auto" w:fill="auto"/>
            <w:vAlign w:val="center"/>
          </w:tcPr>
          <w:p>
            <w:pPr>
              <w:jc w:val="both"/>
              <w:rPr>
                <w:rFonts w:hint="default" w:ascii="Times New Roman" w:hAnsi="Times New Roman" w:eastAsia="宋体" w:cs="Times New Roman"/>
                <w:spacing w:val="-20"/>
                <w:sz w:val="18"/>
                <w:szCs w:val="18"/>
                <w:lang w:val="en-US" w:eastAsia="zh-CN"/>
              </w:rPr>
            </w:pPr>
            <w:r>
              <w:rPr>
                <w:rFonts w:hint="default" w:ascii="Times New Roman" w:hAnsi="Times New Roman" w:eastAsia="宋体" w:cs="Times New Roman"/>
                <w:spacing w:val="-20"/>
                <w:sz w:val="18"/>
                <w:szCs w:val="18"/>
              </w:rPr>
              <w:t>东经</w:t>
            </w:r>
            <w:r>
              <w:rPr>
                <w:rFonts w:hint="eastAsia" w:ascii="Times New Roman" w:hAnsi="Times New Roman" w:eastAsia="宋体" w:cs="Times New Roman"/>
                <w:spacing w:val="-20"/>
                <w:sz w:val="18"/>
                <w:szCs w:val="18"/>
                <w:lang w:val="en-US" w:eastAsia="zh-CN"/>
              </w:rPr>
              <w:t>115°356′38.400″</w:t>
            </w:r>
          </w:p>
          <w:p>
            <w:pPr>
              <w:jc w:val="both"/>
              <w:rPr>
                <w:rFonts w:hint="default" w:ascii="Times New Roman" w:hAnsi="Times New Roman" w:eastAsia="宋体" w:cs="Times New Roman"/>
                <w:sz w:val="18"/>
                <w:szCs w:val="18"/>
                <w:lang w:val="en-US" w:eastAsia="zh-CN"/>
              </w:rPr>
            </w:pPr>
            <w:r>
              <w:rPr>
                <w:rFonts w:hint="default" w:ascii="Times New Roman" w:hAnsi="Times New Roman" w:eastAsia="宋体" w:cs="Times New Roman"/>
                <w:spacing w:val="-20"/>
                <w:sz w:val="18"/>
                <w:szCs w:val="18"/>
              </w:rPr>
              <w:t>北纬</w:t>
            </w:r>
            <w:r>
              <w:rPr>
                <w:rFonts w:hint="default" w:ascii="Times New Roman" w:hAnsi="Times New Roman" w:eastAsia="宋体" w:cs="Times New Roman"/>
                <w:spacing w:val="-20"/>
                <w:sz w:val="18"/>
                <w:szCs w:val="18"/>
                <w:lang w:val="en-US" w:eastAsia="zh-CN"/>
              </w:rPr>
              <w:t>35.</w:t>
            </w:r>
            <w:r>
              <w:rPr>
                <w:rFonts w:hint="eastAsia" w:ascii="Times New Roman" w:hAnsi="Times New Roman" w:eastAsia="宋体" w:cs="Times New Roman"/>
                <w:spacing w:val="-20"/>
                <w:sz w:val="18"/>
                <w:szCs w:val="18"/>
                <w:lang w:val="en-US" w:eastAsia="zh-CN"/>
              </w:rPr>
              <w:t>°15′43.199″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hint="default" w:ascii="Times New Roman" w:hAnsi="Times New Roman" w:eastAsia="宋体" w:cs="Times New Roman"/>
                <w:sz w:val="18"/>
                <w:szCs w:val="18"/>
              </w:rPr>
            </w:pPr>
          </w:p>
        </w:tc>
        <w:tc>
          <w:tcPr>
            <w:tcW w:w="224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设计生产能力</w:t>
            </w:r>
          </w:p>
        </w:tc>
        <w:tc>
          <w:tcPr>
            <w:tcW w:w="4574" w:type="dxa"/>
            <w:gridSpan w:val="7"/>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年生产8万吨植脂末</w:t>
            </w:r>
          </w:p>
        </w:tc>
        <w:tc>
          <w:tcPr>
            <w:tcW w:w="1985"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实际生产能力</w:t>
            </w:r>
          </w:p>
        </w:tc>
        <w:tc>
          <w:tcPr>
            <w:tcW w:w="2382" w:type="dxa"/>
            <w:shd w:val="clear" w:color="auto" w:fill="auto"/>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年生产8万吨植脂末</w:t>
            </w:r>
          </w:p>
        </w:tc>
        <w:tc>
          <w:tcPr>
            <w:tcW w:w="169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环评单位</w:t>
            </w:r>
          </w:p>
        </w:tc>
        <w:tc>
          <w:tcPr>
            <w:tcW w:w="2774" w:type="dxa"/>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山东国润环境科技有限公司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534" w:type="dxa"/>
            <w:vMerge w:val="continue"/>
            <w:shd w:val="clear" w:color="auto" w:fill="auto"/>
            <w:vAlign w:val="center"/>
          </w:tcPr>
          <w:p>
            <w:pPr>
              <w:jc w:val="center"/>
              <w:rPr>
                <w:rFonts w:hint="default" w:ascii="Times New Roman" w:hAnsi="Times New Roman" w:eastAsia="宋体" w:cs="Times New Roman"/>
                <w:sz w:val="18"/>
                <w:szCs w:val="18"/>
              </w:rPr>
            </w:pPr>
          </w:p>
        </w:tc>
        <w:tc>
          <w:tcPr>
            <w:tcW w:w="224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环评文件审批机关</w:t>
            </w:r>
          </w:p>
        </w:tc>
        <w:tc>
          <w:tcPr>
            <w:tcW w:w="4574" w:type="dxa"/>
            <w:gridSpan w:val="7"/>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菏泽鲁西新区行政审批服务局</w:t>
            </w:r>
          </w:p>
        </w:tc>
        <w:tc>
          <w:tcPr>
            <w:tcW w:w="1985"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审批文号</w:t>
            </w:r>
          </w:p>
        </w:tc>
        <w:tc>
          <w:tcPr>
            <w:tcW w:w="2382" w:type="dxa"/>
            <w:shd w:val="clear" w:color="auto" w:fill="auto"/>
            <w:vAlign w:val="center"/>
          </w:tcPr>
          <w:p>
            <w:pPr>
              <w:jc w:val="lef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菏新行审环【2023】20号</w:t>
            </w:r>
          </w:p>
        </w:tc>
        <w:tc>
          <w:tcPr>
            <w:tcW w:w="169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环评文件类型</w:t>
            </w:r>
          </w:p>
        </w:tc>
        <w:tc>
          <w:tcPr>
            <w:tcW w:w="2774" w:type="dxa"/>
            <w:gridSpan w:val="5"/>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hint="default" w:ascii="Times New Roman" w:hAnsi="Times New Roman" w:eastAsia="宋体" w:cs="Times New Roman"/>
                <w:sz w:val="18"/>
                <w:szCs w:val="18"/>
              </w:rPr>
            </w:pPr>
          </w:p>
        </w:tc>
        <w:tc>
          <w:tcPr>
            <w:tcW w:w="224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开工日期</w:t>
            </w:r>
          </w:p>
        </w:tc>
        <w:tc>
          <w:tcPr>
            <w:tcW w:w="4574" w:type="dxa"/>
            <w:gridSpan w:val="7"/>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202</w:t>
            </w:r>
            <w:r>
              <w:rPr>
                <w:rFonts w:hint="default" w:ascii="Times New Roman" w:hAnsi="Times New Roman" w:eastAsia="宋体" w:cs="Times New Roman"/>
                <w:sz w:val="18"/>
                <w:szCs w:val="18"/>
                <w:lang w:val="en-US" w:eastAsia="zh-CN"/>
              </w:rPr>
              <w:t>3</w:t>
            </w:r>
            <w:r>
              <w:rPr>
                <w:rFonts w:hint="default" w:ascii="Times New Roman" w:hAnsi="Times New Roman" w:eastAsia="宋体" w:cs="Times New Roman"/>
                <w:sz w:val="18"/>
                <w:szCs w:val="18"/>
              </w:rPr>
              <w:t>年</w:t>
            </w:r>
            <w:r>
              <w:rPr>
                <w:rFonts w:hint="default" w:ascii="Times New Roman" w:hAnsi="Times New Roman" w:eastAsia="宋体" w:cs="Times New Roman"/>
                <w:sz w:val="18"/>
                <w:szCs w:val="18"/>
                <w:lang w:val="en-US" w:eastAsia="zh-CN"/>
              </w:rPr>
              <w:t>09</w:t>
            </w:r>
            <w:r>
              <w:rPr>
                <w:rFonts w:hint="default" w:ascii="Times New Roman" w:hAnsi="Times New Roman" w:eastAsia="宋体" w:cs="Times New Roman"/>
                <w:sz w:val="18"/>
                <w:szCs w:val="18"/>
              </w:rPr>
              <w:t>月</w:t>
            </w:r>
          </w:p>
        </w:tc>
        <w:tc>
          <w:tcPr>
            <w:tcW w:w="1985"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竣工日期</w:t>
            </w:r>
          </w:p>
        </w:tc>
        <w:tc>
          <w:tcPr>
            <w:tcW w:w="2382" w:type="dxa"/>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202</w:t>
            </w:r>
            <w:r>
              <w:rPr>
                <w:rFonts w:hint="default" w:ascii="Times New Roman" w:hAnsi="Times New Roman" w:eastAsia="宋体" w:cs="Times New Roman"/>
                <w:sz w:val="18"/>
                <w:szCs w:val="18"/>
                <w:lang w:val="en-US" w:eastAsia="zh-CN"/>
              </w:rPr>
              <w:t>3</w:t>
            </w:r>
            <w:r>
              <w:rPr>
                <w:rFonts w:hint="default" w:ascii="Times New Roman" w:hAnsi="Times New Roman" w:eastAsia="宋体" w:cs="Times New Roman"/>
                <w:sz w:val="18"/>
                <w:szCs w:val="18"/>
              </w:rPr>
              <w:t>年</w:t>
            </w:r>
            <w:r>
              <w:rPr>
                <w:rFonts w:hint="default" w:ascii="Times New Roman" w:hAnsi="Times New Roman" w:eastAsia="宋体" w:cs="Times New Roman"/>
                <w:sz w:val="18"/>
                <w:szCs w:val="18"/>
                <w:lang w:val="en-US" w:eastAsia="zh-CN"/>
              </w:rPr>
              <w:t>1</w:t>
            </w: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rPr>
              <w:t>月</w:t>
            </w:r>
          </w:p>
        </w:tc>
        <w:tc>
          <w:tcPr>
            <w:tcW w:w="1691" w:type="dxa"/>
            <w:gridSpan w:val="2"/>
            <w:shd w:val="clear" w:color="auto" w:fill="auto"/>
            <w:vAlign w:val="center"/>
          </w:tcPr>
          <w:p>
            <w:pPr>
              <w:jc w:val="center"/>
              <w:rPr>
                <w:rFonts w:hint="default" w:ascii="Times New Roman" w:hAnsi="Times New Roman" w:eastAsia="宋体" w:cs="Times New Roman"/>
                <w:color w:val="000000" w:themeColor="text1"/>
                <w:spacing w:val="-20"/>
                <w:sz w:val="18"/>
                <w:szCs w:val="18"/>
                <w14:textFill>
                  <w14:solidFill>
                    <w14:schemeClr w14:val="tx1"/>
                  </w14:solidFill>
                </w14:textFill>
              </w:rPr>
            </w:pPr>
            <w:r>
              <w:rPr>
                <w:rFonts w:hint="default" w:ascii="Times New Roman" w:hAnsi="Times New Roman" w:eastAsia="宋体" w:cs="Times New Roman"/>
                <w:color w:val="000000" w:themeColor="text1"/>
                <w:spacing w:val="-20"/>
                <w:sz w:val="18"/>
                <w:szCs w:val="18"/>
                <w14:textFill>
                  <w14:solidFill>
                    <w14:schemeClr w14:val="tx1"/>
                  </w14:solidFill>
                </w14:textFill>
              </w:rPr>
              <w:t>排污许可证申领时间</w:t>
            </w:r>
          </w:p>
        </w:tc>
        <w:tc>
          <w:tcPr>
            <w:tcW w:w="2774" w:type="dxa"/>
            <w:gridSpan w:val="5"/>
            <w:shd w:val="clear" w:color="auto" w:fill="auto"/>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2020.04.08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hint="default" w:ascii="Times New Roman" w:hAnsi="Times New Roman" w:eastAsia="宋体" w:cs="Times New Roman"/>
                <w:sz w:val="18"/>
                <w:szCs w:val="18"/>
              </w:rPr>
            </w:pPr>
          </w:p>
        </w:tc>
        <w:tc>
          <w:tcPr>
            <w:tcW w:w="224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环保设施设计单位</w:t>
            </w:r>
          </w:p>
        </w:tc>
        <w:tc>
          <w:tcPr>
            <w:tcW w:w="4574" w:type="dxa"/>
            <w:gridSpan w:val="7"/>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985"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环保设施施工单位</w:t>
            </w:r>
          </w:p>
        </w:tc>
        <w:tc>
          <w:tcPr>
            <w:tcW w:w="2382"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691" w:type="dxa"/>
            <w:gridSpan w:val="2"/>
            <w:shd w:val="clear" w:color="auto" w:fill="auto"/>
            <w:vAlign w:val="center"/>
          </w:tcPr>
          <w:p>
            <w:pPr>
              <w:jc w:val="center"/>
              <w:rPr>
                <w:rFonts w:hint="default" w:ascii="Times New Roman" w:hAnsi="Times New Roman" w:eastAsia="宋体" w:cs="Times New Roman"/>
                <w:color w:val="000000" w:themeColor="text1"/>
                <w:spacing w:val="-2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18"/>
                <w:szCs w:val="18"/>
                <w:lang w:val="en-US" w:eastAsia="zh-CN"/>
                <w14:textFill>
                  <w14:solidFill>
                    <w14:schemeClr w14:val="tx1"/>
                  </w14:solidFill>
                </w14:textFill>
              </w:rPr>
              <w:t>91371700MA3CM82H7Q001X</w:t>
            </w:r>
          </w:p>
        </w:tc>
        <w:tc>
          <w:tcPr>
            <w:tcW w:w="2774" w:type="dxa"/>
            <w:gridSpan w:val="5"/>
            <w:shd w:val="clear" w:color="auto" w:fill="auto"/>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hint="default" w:ascii="Times New Roman" w:hAnsi="Times New Roman" w:eastAsia="宋体" w:cs="Times New Roman"/>
                <w:sz w:val="18"/>
                <w:szCs w:val="18"/>
              </w:rPr>
            </w:pPr>
          </w:p>
        </w:tc>
        <w:tc>
          <w:tcPr>
            <w:tcW w:w="224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验收单位</w:t>
            </w:r>
          </w:p>
        </w:tc>
        <w:tc>
          <w:tcPr>
            <w:tcW w:w="4574" w:type="dxa"/>
            <w:gridSpan w:val="7"/>
            <w:shd w:val="clear" w:color="auto" w:fill="auto"/>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山东大树达孚特膳食品有限公司</w:t>
            </w:r>
          </w:p>
        </w:tc>
        <w:tc>
          <w:tcPr>
            <w:tcW w:w="1985"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环保设施监测单位</w:t>
            </w:r>
          </w:p>
        </w:tc>
        <w:tc>
          <w:tcPr>
            <w:tcW w:w="2382"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山东汇成检测科技有限公司</w:t>
            </w:r>
          </w:p>
        </w:tc>
        <w:tc>
          <w:tcPr>
            <w:tcW w:w="169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验收监测时工况</w:t>
            </w:r>
          </w:p>
        </w:tc>
        <w:tc>
          <w:tcPr>
            <w:tcW w:w="2774" w:type="dxa"/>
            <w:gridSpan w:val="5"/>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100</w:t>
            </w: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hint="default" w:ascii="Times New Roman" w:hAnsi="Times New Roman" w:eastAsia="宋体" w:cs="Times New Roman"/>
                <w:sz w:val="18"/>
                <w:szCs w:val="18"/>
              </w:rPr>
            </w:pPr>
          </w:p>
        </w:tc>
        <w:tc>
          <w:tcPr>
            <w:tcW w:w="224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投资总概算(万元)</w:t>
            </w:r>
          </w:p>
        </w:tc>
        <w:tc>
          <w:tcPr>
            <w:tcW w:w="4574" w:type="dxa"/>
            <w:gridSpan w:val="7"/>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2000</w:t>
            </w:r>
          </w:p>
        </w:tc>
        <w:tc>
          <w:tcPr>
            <w:tcW w:w="1985" w:type="dxa"/>
            <w:gridSpan w:val="2"/>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环保投资总概算(万元)</w:t>
            </w:r>
          </w:p>
        </w:tc>
        <w:tc>
          <w:tcPr>
            <w:tcW w:w="2382"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200</w:t>
            </w:r>
          </w:p>
        </w:tc>
        <w:tc>
          <w:tcPr>
            <w:tcW w:w="169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w:t>
            </w:r>
          </w:p>
        </w:tc>
        <w:tc>
          <w:tcPr>
            <w:tcW w:w="2774" w:type="dxa"/>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hint="default" w:ascii="Times New Roman" w:hAnsi="Times New Roman" w:eastAsia="宋体" w:cs="Times New Roman"/>
                <w:sz w:val="18"/>
                <w:szCs w:val="18"/>
              </w:rPr>
            </w:pPr>
          </w:p>
        </w:tc>
        <w:tc>
          <w:tcPr>
            <w:tcW w:w="224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实际总投资(万元)</w:t>
            </w:r>
          </w:p>
        </w:tc>
        <w:tc>
          <w:tcPr>
            <w:tcW w:w="4574" w:type="dxa"/>
            <w:gridSpan w:val="7"/>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2000</w:t>
            </w:r>
          </w:p>
        </w:tc>
        <w:tc>
          <w:tcPr>
            <w:tcW w:w="1985" w:type="dxa"/>
            <w:gridSpan w:val="2"/>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实际环保投资(万元)</w:t>
            </w:r>
          </w:p>
        </w:tc>
        <w:tc>
          <w:tcPr>
            <w:tcW w:w="2382"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200</w:t>
            </w:r>
          </w:p>
        </w:tc>
        <w:tc>
          <w:tcPr>
            <w:tcW w:w="169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w:t>
            </w:r>
          </w:p>
        </w:tc>
        <w:tc>
          <w:tcPr>
            <w:tcW w:w="2774" w:type="dxa"/>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hint="default" w:ascii="Times New Roman" w:hAnsi="Times New Roman" w:eastAsia="宋体" w:cs="Times New Roman"/>
                <w:sz w:val="18"/>
                <w:szCs w:val="18"/>
              </w:rPr>
            </w:pPr>
          </w:p>
        </w:tc>
        <w:tc>
          <w:tcPr>
            <w:tcW w:w="224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废水治理(万元)</w:t>
            </w:r>
          </w:p>
        </w:tc>
        <w:tc>
          <w:tcPr>
            <w:tcW w:w="605"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0.00</w:t>
            </w:r>
          </w:p>
        </w:tc>
        <w:tc>
          <w:tcPr>
            <w:tcW w:w="1276"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废气治理(万元)</w:t>
            </w:r>
          </w:p>
        </w:tc>
        <w:tc>
          <w:tcPr>
            <w:tcW w:w="955"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200.0</w:t>
            </w:r>
          </w:p>
        </w:tc>
        <w:tc>
          <w:tcPr>
            <w:tcW w:w="117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噪声治理(万元)</w:t>
            </w:r>
          </w:p>
        </w:tc>
        <w:tc>
          <w:tcPr>
            <w:tcW w:w="567"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0.00</w:t>
            </w:r>
          </w:p>
        </w:tc>
        <w:tc>
          <w:tcPr>
            <w:tcW w:w="1985" w:type="dxa"/>
            <w:gridSpan w:val="2"/>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固体废物治理(万元)</w:t>
            </w:r>
          </w:p>
        </w:tc>
        <w:tc>
          <w:tcPr>
            <w:tcW w:w="2382"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0.00</w:t>
            </w:r>
          </w:p>
        </w:tc>
        <w:tc>
          <w:tcPr>
            <w:tcW w:w="169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绿化及生态(万元)</w:t>
            </w:r>
          </w:p>
        </w:tc>
        <w:tc>
          <w:tcPr>
            <w:tcW w:w="1030" w:type="dxa"/>
            <w:gridSpan w:val="2"/>
            <w:shd w:val="clear" w:color="auto" w:fill="auto"/>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w:t>
            </w:r>
          </w:p>
        </w:tc>
        <w:tc>
          <w:tcPr>
            <w:tcW w:w="1134"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其他(万元)</w:t>
            </w:r>
          </w:p>
        </w:tc>
        <w:tc>
          <w:tcPr>
            <w:tcW w:w="610"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hint="default" w:ascii="Times New Roman" w:hAnsi="Times New Roman" w:eastAsia="宋体" w:cs="Times New Roman"/>
                <w:sz w:val="18"/>
                <w:szCs w:val="18"/>
              </w:rPr>
            </w:pPr>
          </w:p>
        </w:tc>
        <w:tc>
          <w:tcPr>
            <w:tcW w:w="224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新增废水处理设施能力</w:t>
            </w:r>
          </w:p>
        </w:tc>
        <w:tc>
          <w:tcPr>
            <w:tcW w:w="4574" w:type="dxa"/>
            <w:gridSpan w:val="7"/>
            <w:shd w:val="clear" w:color="auto" w:fill="auto"/>
            <w:vAlign w:val="center"/>
          </w:tcPr>
          <w:p>
            <w:pPr>
              <w:jc w:val="center"/>
              <w:rPr>
                <w:rFonts w:hint="default" w:ascii="Times New Roman" w:hAnsi="Times New Roman" w:eastAsia="宋体" w:cs="Times New Roman"/>
                <w:sz w:val="18"/>
                <w:szCs w:val="18"/>
              </w:rPr>
            </w:pPr>
          </w:p>
        </w:tc>
        <w:tc>
          <w:tcPr>
            <w:tcW w:w="1985" w:type="dxa"/>
            <w:gridSpan w:val="2"/>
            <w:shd w:val="clear" w:color="auto" w:fill="auto"/>
            <w:vAlign w:val="center"/>
          </w:tcPr>
          <w:p>
            <w:pPr>
              <w:jc w:val="left"/>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新增废气处理设施能力</w:t>
            </w:r>
          </w:p>
        </w:tc>
        <w:tc>
          <w:tcPr>
            <w:tcW w:w="2382" w:type="dxa"/>
            <w:shd w:val="clear" w:color="auto" w:fill="auto"/>
            <w:vAlign w:val="center"/>
          </w:tcPr>
          <w:p>
            <w:pPr>
              <w:jc w:val="center"/>
              <w:rPr>
                <w:rFonts w:hint="default" w:ascii="Times New Roman" w:hAnsi="Times New Roman" w:eastAsia="宋体" w:cs="Times New Roman"/>
                <w:spacing w:val="-20"/>
                <w:sz w:val="18"/>
                <w:szCs w:val="18"/>
              </w:rPr>
            </w:pPr>
          </w:p>
        </w:tc>
        <w:tc>
          <w:tcPr>
            <w:tcW w:w="169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年平均工作时</w:t>
            </w:r>
          </w:p>
        </w:tc>
        <w:tc>
          <w:tcPr>
            <w:tcW w:w="2774" w:type="dxa"/>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75" w:type="dxa"/>
            <w:gridSpan w:val="3"/>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w:t>
            </w:r>
          </w:p>
        </w:tc>
        <w:tc>
          <w:tcPr>
            <w:tcW w:w="2836" w:type="dxa"/>
            <w:gridSpan w:val="4"/>
            <w:shd w:val="clear" w:color="auto" w:fill="auto"/>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山东大树达孚特膳食品有限公司</w:t>
            </w:r>
          </w:p>
        </w:tc>
        <w:tc>
          <w:tcPr>
            <w:tcW w:w="3723" w:type="dxa"/>
            <w:gridSpan w:val="5"/>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运营单位统一社会信用代码(或组织机构代码)</w:t>
            </w:r>
          </w:p>
        </w:tc>
        <w:tc>
          <w:tcPr>
            <w:tcW w:w="2382" w:type="dxa"/>
            <w:shd w:val="clear" w:color="auto" w:fill="auto"/>
            <w:vAlign w:val="center"/>
          </w:tcPr>
          <w:p>
            <w:pPr>
              <w:jc w:val="center"/>
              <w:rPr>
                <w:rFonts w:hint="default" w:ascii="Times New Roman" w:hAnsi="Times New Roman" w:eastAsia="宋体" w:cs="Times New Roman"/>
                <w:spacing w:val="-20"/>
                <w:sz w:val="18"/>
                <w:szCs w:val="18"/>
                <w:lang w:val="en-US" w:eastAsia="zh-CN"/>
              </w:rPr>
            </w:pPr>
            <w:r>
              <w:rPr>
                <w:rFonts w:hint="default" w:ascii="Times New Roman" w:hAnsi="Times New Roman" w:eastAsia="宋体" w:cs="Times New Roman"/>
                <w:spacing w:val="-20"/>
                <w:sz w:val="18"/>
                <w:szCs w:val="18"/>
                <w:lang w:val="en-US" w:eastAsia="zh-CN"/>
              </w:rPr>
              <w:t>91371700MA3CM82H7Q</w:t>
            </w:r>
          </w:p>
        </w:tc>
        <w:tc>
          <w:tcPr>
            <w:tcW w:w="1691"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验收时间</w:t>
            </w:r>
          </w:p>
        </w:tc>
        <w:tc>
          <w:tcPr>
            <w:tcW w:w="2774" w:type="dxa"/>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color w:val="0000FF"/>
                <w:sz w:val="18"/>
                <w:szCs w:val="18"/>
                <w:lang w:val="en-US" w:eastAsia="zh-CN"/>
              </w:rPr>
              <w:t>202</w:t>
            </w:r>
            <w:r>
              <w:rPr>
                <w:rFonts w:hint="eastAsia" w:ascii="Times New Roman" w:hAnsi="Times New Roman" w:eastAsia="宋体" w:cs="Times New Roman"/>
                <w:color w:val="0000FF"/>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restar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污染物排放达标与总量控制(工业建设项目详填)</w:t>
            </w:r>
          </w:p>
        </w:tc>
        <w:tc>
          <w:tcPr>
            <w:tcW w:w="2100" w:type="dxa"/>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605" w:type="dxa"/>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原有排放量(1)</w:t>
            </w:r>
          </w:p>
        </w:tc>
        <w:tc>
          <w:tcPr>
            <w:tcW w:w="1134" w:type="dxa"/>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本期工程实际排放浓度(2)</w:t>
            </w:r>
          </w:p>
        </w:tc>
        <w:tc>
          <w:tcPr>
            <w:tcW w:w="1097"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本期工程允许排放浓度(3)</w:t>
            </w:r>
          </w:p>
        </w:tc>
        <w:tc>
          <w:tcPr>
            <w:tcW w:w="888" w:type="dxa"/>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本期工程产生量(4)</w:t>
            </w:r>
          </w:p>
        </w:tc>
        <w:tc>
          <w:tcPr>
            <w:tcW w:w="850" w:type="dxa"/>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本期工程自身削减量(5)</w:t>
            </w:r>
          </w:p>
        </w:tc>
        <w:tc>
          <w:tcPr>
            <w:tcW w:w="1134" w:type="dxa"/>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本期工程实际排放量(6)</w:t>
            </w:r>
          </w:p>
        </w:tc>
        <w:tc>
          <w:tcPr>
            <w:tcW w:w="851" w:type="dxa"/>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本期工程核定排放(7)</w:t>
            </w:r>
          </w:p>
        </w:tc>
        <w:tc>
          <w:tcPr>
            <w:tcW w:w="2382" w:type="dxa"/>
            <w:shd w:val="clear" w:color="auto" w:fill="auto"/>
            <w:vAlign w:val="center"/>
          </w:tcPr>
          <w:p>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本期工程“以新带老”削减量(8)</w:t>
            </w:r>
          </w:p>
        </w:tc>
        <w:tc>
          <w:tcPr>
            <w:tcW w:w="1303" w:type="dxa"/>
            <w:shd w:val="clear" w:color="auto" w:fill="auto"/>
            <w:vAlign w:val="center"/>
          </w:tcPr>
          <w:p>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全厂实际排放量(9)</w:t>
            </w:r>
          </w:p>
        </w:tc>
        <w:tc>
          <w:tcPr>
            <w:tcW w:w="993" w:type="dxa"/>
            <w:gridSpan w:val="2"/>
            <w:shd w:val="clear" w:color="auto" w:fill="auto"/>
            <w:vAlign w:val="center"/>
          </w:tcPr>
          <w:p>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全厂核定排放总量(10)</w:t>
            </w:r>
          </w:p>
        </w:tc>
        <w:tc>
          <w:tcPr>
            <w:tcW w:w="714" w:type="dxa"/>
            <w:gridSpan w:val="2"/>
            <w:shd w:val="clear" w:color="auto" w:fill="auto"/>
            <w:vAlign w:val="center"/>
          </w:tcPr>
          <w:p>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区域平衡替代削减量(11)</w:t>
            </w:r>
          </w:p>
        </w:tc>
        <w:tc>
          <w:tcPr>
            <w:tcW w:w="1455" w:type="dxa"/>
            <w:gridSpan w:val="2"/>
            <w:shd w:val="clear" w:color="auto" w:fill="auto"/>
            <w:vAlign w:val="center"/>
          </w:tcPr>
          <w:p>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hint="default" w:ascii="Times New Roman" w:hAnsi="Times New Roman" w:eastAsia="宋体" w:cs="Times New Roman"/>
                <w:sz w:val="18"/>
                <w:szCs w:val="18"/>
              </w:rPr>
            </w:pPr>
          </w:p>
        </w:tc>
        <w:tc>
          <w:tcPr>
            <w:tcW w:w="2100" w:type="dxa"/>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bCs/>
                <w:sz w:val="18"/>
                <w:szCs w:val="18"/>
              </w:rPr>
              <w:t>废水</w:t>
            </w:r>
          </w:p>
        </w:tc>
        <w:tc>
          <w:tcPr>
            <w:tcW w:w="605" w:type="dxa"/>
            <w:shd w:val="clear" w:color="auto" w:fill="auto"/>
            <w:vAlign w:val="center"/>
          </w:tcPr>
          <w:p>
            <w:pPr>
              <w:jc w:val="center"/>
              <w:rPr>
                <w:rFonts w:hint="default" w:ascii="Times New Roman" w:hAnsi="Times New Roman" w:eastAsia="宋体" w:cs="Times New Roman"/>
                <w:sz w:val="18"/>
                <w:szCs w:val="18"/>
              </w:rPr>
            </w:pPr>
          </w:p>
        </w:tc>
        <w:tc>
          <w:tcPr>
            <w:tcW w:w="1134" w:type="dxa"/>
            <w:shd w:val="clear" w:color="auto" w:fill="auto"/>
            <w:vAlign w:val="center"/>
          </w:tcPr>
          <w:p>
            <w:pPr>
              <w:jc w:val="center"/>
              <w:rPr>
                <w:rFonts w:hint="default" w:ascii="Times New Roman" w:hAnsi="Times New Roman" w:eastAsia="宋体" w:cs="Times New Roman"/>
                <w:sz w:val="18"/>
                <w:szCs w:val="18"/>
              </w:rPr>
            </w:pPr>
          </w:p>
        </w:tc>
        <w:tc>
          <w:tcPr>
            <w:tcW w:w="1097" w:type="dxa"/>
            <w:gridSpan w:val="2"/>
            <w:shd w:val="clear" w:color="auto" w:fill="auto"/>
            <w:vAlign w:val="center"/>
          </w:tcPr>
          <w:p>
            <w:pPr>
              <w:jc w:val="center"/>
              <w:rPr>
                <w:rFonts w:hint="default" w:ascii="Times New Roman" w:hAnsi="Times New Roman" w:eastAsia="宋体" w:cs="Times New Roman"/>
                <w:sz w:val="18"/>
                <w:szCs w:val="18"/>
              </w:rPr>
            </w:pPr>
          </w:p>
        </w:tc>
        <w:tc>
          <w:tcPr>
            <w:tcW w:w="888" w:type="dxa"/>
            <w:shd w:val="clear" w:color="auto" w:fill="auto"/>
            <w:vAlign w:val="center"/>
          </w:tcPr>
          <w:p>
            <w:pPr>
              <w:jc w:val="center"/>
              <w:rPr>
                <w:rFonts w:hint="default" w:ascii="Times New Roman" w:hAnsi="Times New Roman" w:eastAsia="宋体" w:cs="Times New Roman"/>
                <w:sz w:val="18"/>
                <w:szCs w:val="18"/>
              </w:rPr>
            </w:pPr>
          </w:p>
        </w:tc>
        <w:tc>
          <w:tcPr>
            <w:tcW w:w="850" w:type="dxa"/>
            <w:gridSpan w:val="2"/>
            <w:shd w:val="clear" w:color="auto" w:fill="auto"/>
            <w:vAlign w:val="center"/>
          </w:tcPr>
          <w:p>
            <w:pPr>
              <w:jc w:val="center"/>
              <w:rPr>
                <w:rFonts w:hint="default" w:ascii="Times New Roman" w:hAnsi="Times New Roman" w:eastAsia="宋体" w:cs="Times New Roman"/>
                <w:sz w:val="18"/>
                <w:szCs w:val="18"/>
              </w:rPr>
            </w:pPr>
          </w:p>
        </w:tc>
        <w:tc>
          <w:tcPr>
            <w:tcW w:w="1134" w:type="dxa"/>
            <w:shd w:val="clear" w:color="auto" w:fill="auto"/>
            <w:vAlign w:val="center"/>
          </w:tcPr>
          <w:p>
            <w:pPr>
              <w:jc w:val="center"/>
              <w:rPr>
                <w:rFonts w:hint="default" w:ascii="Times New Roman" w:hAnsi="Times New Roman" w:eastAsia="宋体" w:cs="Times New Roman"/>
                <w:sz w:val="18"/>
                <w:szCs w:val="18"/>
              </w:rPr>
            </w:pPr>
          </w:p>
        </w:tc>
        <w:tc>
          <w:tcPr>
            <w:tcW w:w="851" w:type="dxa"/>
            <w:shd w:val="clear" w:color="auto" w:fill="auto"/>
            <w:vAlign w:val="center"/>
          </w:tcPr>
          <w:p>
            <w:pPr>
              <w:jc w:val="center"/>
              <w:rPr>
                <w:rFonts w:hint="default" w:ascii="Times New Roman" w:hAnsi="Times New Roman" w:eastAsia="宋体" w:cs="Times New Roman"/>
                <w:sz w:val="18"/>
                <w:szCs w:val="18"/>
              </w:rPr>
            </w:pPr>
          </w:p>
        </w:tc>
        <w:tc>
          <w:tcPr>
            <w:tcW w:w="2382" w:type="dxa"/>
            <w:shd w:val="clear" w:color="auto" w:fill="auto"/>
            <w:vAlign w:val="center"/>
          </w:tcPr>
          <w:p>
            <w:pPr>
              <w:jc w:val="center"/>
              <w:rPr>
                <w:rFonts w:hint="default" w:ascii="Times New Roman" w:hAnsi="Times New Roman" w:eastAsia="宋体" w:cs="Times New Roman"/>
                <w:sz w:val="18"/>
                <w:szCs w:val="18"/>
              </w:rPr>
            </w:pPr>
          </w:p>
        </w:tc>
        <w:tc>
          <w:tcPr>
            <w:tcW w:w="1303" w:type="dxa"/>
            <w:shd w:val="clear" w:color="auto" w:fill="auto"/>
            <w:vAlign w:val="center"/>
          </w:tcPr>
          <w:p>
            <w:pPr>
              <w:jc w:val="center"/>
              <w:rPr>
                <w:rFonts w:hint="default" w:ascii="Times New Roman" w:hAnsi="Times New Roman" w:eastAsia="宋体" w:cs="Times New Roman"/>
                <w:sz w:val="18"/>
                <w:szCs w:val="18"/>
              </w:rPr>
            </w:pPr>
          </w:p>
        </w:tc>
        <w:tc>
          <w:tcPr>
            <w:tcW w:w="993" w:type="dxa"/>
            <w:gridSpan w:val="2"/>
            <w:shd w:val="clear" w:color="auto" w:fill="auto"/>
            <w:vAlign w:val="center"/>
          </w:tcPr>
          <w:p>
            <w:pPr>
              <w:jc w:val="center"/>
              <w:rPr>
                <w:rFonts w:hint="default" w:ascii="Times New Roman" w:hAnsi="Times New Roman" w:eastAsia="宋体" w:cs="Times New Roman"/>
                <w:sz w:val="18"/>
                <w:szCs w:val="18"/>
              </w:rPr>
            </w:pPr>
          </w:p>
        </w:tc>
        <w:tc>
          <w:tcPr>
            <w:tcW w:w="714" w:type="dxa"/>
            <w:gridSpan w:val="2"/>
            <w:shd w:val="clear" w:color="auto" w:fill="auto"/>
            <w:vAlign w:val="center"/>
          </w:tcPr>
          <w:p>
            <w:pPr>
              <w:jc w:val="center"/>
              <w:rPr>
                <w:rFonts w:hint="default" w:ascii="Times New Roman" w:hAnsi="Times New Roman" w:eastAsia="宋体" w:cs="Times New Roman"/>
                <w:sz w:val="18"/>
                <w:szCs w:val="18"/>
              </w:rPr>
            </w:pPr>
          </w:p>
        </w:tc>
        <w:tc>
          <w:tcPr>
            <w:tcW w:w="1455" w:type="dxa"/>
            <w:gridSpan w:val="2"/>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75" w:type="dxa"/>
            <w:gridSpan w:val="2"/>
            <w:vMerge w:val="continue"/>
            <w:shd w:val="clear" w:color="auto" w:fill="auto"/>
            <w:vAlign w:val="center"/>
          </w:tcPr>
          <w:p>
            <w:pPr>
              <w:jc w:val="center"/>
              <w:rPr>
                <w:rFonts w:hint="default" w:ascii="Times New Roman" w:hAnsi="Times New Roman" w:eastAsia="宋体" w:cs="Times New Roman"/>
                <w:sz w:val="18"/>
                <w:szCs w:val="18"/>
              </w:rPr>
            </w:pPr>
          </w:p>
        </w:tc>
        <w:tc>
          <w:tcPr>
            <w:tcW w:w="2100" w:type="dxa"/>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化学需氧量</w:t>
            </w:r>
          </w:p>
        </w:tc>
        <w:tc>
          <w:tcPr>
            <w:tcW w:w="605" w:type="dxa"/>
            <w:shd w:val="clear" w:color="auto" w:fill="auto"/>
            <w:vAlign w:val="center"/>
          </w:tcPr>
          <w:p>
            <w:pPr>
              <w:jc w:val="center"/>
              <w:rPr>
                <w:rFonts w:hint="default" w:ascii="Times New Roman" w:hAnsi="Times New Roman" w:eastAsia="宋体" w:cs="Times New Roman"/>
                <w:sz w:val="18"/>
                <w:szCs w:val="18"/>
              </w:rPr>
            </w:pPr>
          </w:p>
        </w:tc>
        <w:tc>
          <w:tcPr>
            <w:tcW w:w="1134" w:type="dxa"/>
            <w:shd w:val="clear" w:color="auto" w:fill="auto"/>
            <w:vAlign w:val="center"/>
          </w:tcPr>
          <w:p>
            <w:pPr>
              <w:jc w:val="center"/>
              <w:rPr>
                <w:rFonts w:hint="default" w:ascii="Times New Roman" w:hAnsi="Times New Roman" w:eastAsia="宋体" w:cs="Times New Roman"/>
                <w:sz w:val="18"/>
                <w:szCs w:val="18"/>
              </w:rPr>
            </w:pPr>
          </w:p>
        </w:tc>
        <w:tc>
          <w:tcPr>
            <w:tcW w:w="1097" w:type="dxa"/>
            <w:gridSpan w:val="2"/>
            <w:shd w:val="clear" w:color="auto" w:fill="auto"/>
            <w:vAlign w:val="center"/>
          </w:tcPr>
          <w:p>
            <w:pPr>
              <w:jc w:val="center"/>
              <w:rPr>
                <w:rFonts w:hint="default" w:ascii="Times New Roman" w:hAnsi="Times New Roman" w:eastAsia="宋体" w:cs="Times New Roman"/>
                <w:sz w:val="18"/>
                <w:szCs w:val="18"/>
              </w:rPr>
            </w:pPr>
          </w:p>
        </w:tc>
        <w:tc>
          <w:tcPr>
            <w:tcW w:w="888" w:type="dxa"/>
            <w:shd w:val="clear" w:color="auto" w:fill="auto"/>
            <w:vAlign w:val="center"/>
          </w:tcPr>
          <w:p>
            <w:pPr>
              <w:jc w:val="center"/>
              <w:rPr>
                <w:rFonts w:hint="default" w:ascii="Times New Roman" w:hAnsi="Times New Roman" w:eastAsia="宋体" w:cs="Times New Roman"/>
                <w:sz w:val="18"/>
                <w:szCs w:val="18"/>
              </w:rPr>
            </w:pPr>
          </w:p>
        </w:tc>
        <w:tc>
          <w:tcPr>
            <w:tcW w:w="850" w:type="dxa"/>
            <w:gridSpan w:val="2"/>
            <w:shd w:val="clear" w:color="auto" w:fill="auto"/>
            <w:vAlign w:val="center"/>
          </w:tcPr>
          <w:p>
            <w:pPr>
              <w:jc w:val="center"/>
              <w:rPr>
                <w:rFonts w:hint="default" w:ascii="Times New Roman" w:hAnsi="Times New Roman" w:eastAsia="宋体" w:cs="Times New Roman"/>
                <w:sz w:val="18"/>
                <w:szCs w:val="18"/>
              </w:rPr>
            </w:pPr>
          </w:p>
        </w:tc>
        <w:tc>
          <w:tcPr>
            <w:tcW w:w="1134" w:type="dxa"/>
            <w:shd w:val="clear" w:color="auto" w:fill="auto"/>
            <w:vAlign w:val="center"/>
          </w:tcPr>
          <w:p>
            <w:pPr>
              <w:jc w:val="center"/>
              <w:rPr>
                <w:rFonts w:hint="default" w:ascii="Times New Roman" w:hAnsi="Times New Roman" w:eastAsia="宋体" w:cs="Times New Roman"/>
                <w:sz w:val="18"/>
                <w:szCs w:val="18"/>
              </w:rPr>
            </w:pPr>
          </w:p>
        </w:tc>
        <w:tc>
          <w:tcPr>
            <w:tcW w:w="851" w:type="dxa"/>
            <w:shd w:val="clear" w:color="auto" w:fill="auto"/>
            <w:vAlign w:val="center"/>
          </w:tcPr>
          <w:p>
            <w:pPr>
              <w:jc w:val="center"/>
              <w:rPr>
                <w:rFonts w:hint="default" w:ascii="Times New Roman" w:hAnsi="Times New Roman" w:eastAsia="宋体" w:cs="Times New Roman"/>
                <w:sz w:val="18"/>
                <w:szCs w:val="18"/>
              </w:rPr>
            </w:pPr>
          </w:p>
        </w:tc>
        <w:tc>
          <w:tcPr>
            <w:tcW w:w="2382" w:type="dxa"/>
            <w:shd w:val="clear" w:color="auto" w:fill="auto"/>
            <w:vAlign w:val="center"/>
          </w:tcPr>
          <w:p>
            <w:pPr>
              <w:jc w:val="center"/>
              <w:rPr>
                <w:rFonts w:hint="default" w:ascii="Times New Roman" w:hAnsi="Times New Roman" w:eastAsia="宋体" w:cs="Times New Roman"/>
                <w:sz w:val="18"/>
                <w:szCs w:val="18"/>
              </w:rPr>
            </w:pPr>
          </w:p>
        </w:tc>
        <w:tc>
          <w:tcPr>
            <w:tcW w:w="1303" w:type="dxa"/>
            <w:shd w:val="clear" w:color="auto" w:fill="auto"/>
            <w:vAlign w:val="center"/>
          </w:tcPr>
          <w:p>
            <w:pPr>
              <w:jc w:val="center"/>
              <w:rPr>
                <w:rFonts w:hint="default" w:ascii="Times New Roman" w:hAnsi="Times New Roman" w:eastAsia="宋体" w:cs="Times New Roman"/>
                <w:sz w:val="18"/>
                <w:szCs w:val="18"/>
              </w:rPr>
            </w:pPr>
          </w:p>
        </w:tc>
        <w:tc>
          <w:tcPr>
            <w:tcW w:w="993" w:type="dxa"/>
            <w:gridSpan w:val="2"/>
            <w:shd w:val="clear" w:color="auto" w:fill="auto"/>
            <w:vAlign w:val="center"/>
          </w:tcPr>
          <w:p>
            <w:pPr>
              <w:jc w:val="center"/>
              <w:rPr>
                <w:rFonts w:hint="default" w:ascii="Times New Roman" w:hAnsi="Times New Roman" w:eastAsia="宋体" w:cs="Times New Roman"/>
                <w:sz w:val="18"/>
                <w:szCs w:val="18"/>
              </w:rPr>
            </w:pPr>
          </w:p>
        </w:tc>
        <w:tc>
          <w:tcPr>
            <w:tcW w:w="714" w:type="dxa"/>
            <w:gridSpan w:val="2"/>
            <w:shd w:val="clear" w:color="auto" w:fill="auto"/>
            <w:vAlign w:val="center"/>
          </w:tcPr>
          <w:p>
            <w:pPr>
              <w:jc w:val="center"/>
              <w:rPr>
                <w:rFonts w:hint="default" w:ascii="Times New Roman" w:hAnsi="Times New Roman" w:eastAsia="宋体" w:cs="Times New Roman"/>
                <w:sz w:val="18"/>
                <w:szCs w:val="18"/>
              </w:rPr>
            </w:pPr>
          </w:p>
        </w:tc>
        <w:tc>
          <w:tcPr>
            <w:tcW w:w="1455" w:type="dxa"/>
            <w:gridSpan w:val="2"/>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hint="default" w:ascii="Times New Roman" w:hAnsi="Times New Roman" w:eastAsia="宋体" w:cs="Times New Roman"/>
                <w:sz w:val="18"/>
                <w:szCs w:val="18"/>
              </w:rPr>
            </w:pPr>
          </w:p>
        </w:tc>
        <w:tc>
          <w:tcPr>
            <w:tcW w:w="2100" w:type="dxa"/>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w:t>
            </w:r>
          </w:p>
        </w:tc>
        <w:tc>
          <w:tcPr>
            <w:tcW w:w="605" w:type="dxa"/>
            <w:shd w:val="clear" w:color="auto" w:fill="auto"/>
            <w:vAlign w:val="center"/>
          </w:tcPr>
          <w:p>
            <w:pPr>
              <w:jc w:val="center"/>
              <w:rPr>
                <w:rFonts w:hint="default" w:ascii="Times New Roman" w:hAnsi="Times New Roman" w:eastAsia="宋体" w:cs="Times New Roman"/>
                <w:sz w:val="18"/>
                <w:szCs w:val="18"/>
              </w:rPr>
            </w:pPr>
          </w:p>
        </w:tc>
        <w:tc>
          <w:tcPr>
            <w:tcW w:w="1134" w:type="dxa"/>
            <w:shd w:val="clear" w:color="auto" w:fill="auto"/>
            <w:vAlign w:val="center"/>
          </w:tcPr>
          <w:p>
            <w:pPr>
              <w:jc w:val="center"/>
              <w:rPr>
                <w:rFonts w:hint="default" w:ascii="Times New Roman" w:hAnsi="Times New Roman" w:eastAsia="宋体" w:cs="Times New Roman"/>
                <w:sz w:val="18"/>
                <w:szCs w:val="18"/>
              </w:rPr>
            </w:pPr>
          </w:p>
        </w:tc>
        <w:tc>
          <w:tcPr>
            <w:tcW w:w="1097" w:type="dxa"/>
            <w:gridSpan w:val="2"/>
            <w:shd w:val="clear" w:color="auto" w:fill="auto"/>
            <w:vAlign w:val="center"/>
          </w:tcPr>
          <w:p>
            <w:pPr>
              <w:jc w:val="center"/>
              <w:rPr>
                <w:rFonts w:hint="default" w:ascii="Times New Roman" w:hAnsi="Times New Roman" w:eastAsia="宋体" w:cs="Times New Roman"/>
                <w:sz w:val="18"/>
                <w:szCs w:val="18"/>
              </w:rPr>
            </w:pPr>
          </w:p>
        </w:tc>
        <w:tc>
          <w:tcPr>
            <w:tcW w:w="888" w:type="dxa"/>
            <w:shd w:val="clear" w:color="auto" w:fill="auto"/>
            <w:vAlign w:val="center"/>
          </w:tcPr>
          <w:p>
            <w:pPr>
              <w:jc w:val="center"/>
              <w:rPr>
                <w:rFonts w:hint="default" w:ascii="Times New Roman" w:hAnsi="Times New Roman" w:eastAsia="宋体" w:cs="Times New Roman"/>
                <w:sz w:val="18"/>
                <w:szCs w:val="18"/>
              </w:rPr>
            </w:pPr>
          </w:p>
        </w:tc>
        <w:tc>
          <w:tcPr>
            <w:tcW w:w="850" w:type="dxa"/>
            <w:gridSpan w:val="2"/>
            <w:shd w:val="clear" w:color="auto" w:fill="auto"/>
            <w:vAlign w:val="center"/>
          </w:tcPr>
          <w:p>
            <w:pPr>
              <w:jc w:val="center"/>
              <w:rPr>
                <w:rFonts w:hint="default" w:ascii="Times New Roman" w:hAnsi="Times New Roman" w:eastAsia="宋体" w:cs="Times New Roman"/>
                <w:sz w:val="18"/>
                <w:szCs w:val="18"/>
              </w:rPr>
            </w:pPr>
          </w:p>
        </w:tc>
        <w:tc>
          <w:tcPr>
            <w:tcW w:w="1134" w:type="dxa"/>
            <w:shd w:val="clear" w:color="auto" w:fill="auto"/>
            <w:vAlign w:val="center"/>
          </w:tcPr>
          <w:p>
            <w:pPr>
              <w:jc w:val="center"/>
              <w:rPr>
                <w:rFonts w:hint="default" w:ascii="Times New Roman" w:hAnsi="Times New Roman" w:eastAsia="宋体" w:cs="Times New Roman"/>
                <w:sz w:val="18"/>
                <w:szCs w:val="18"/>
              </w:rPr>
            </w:pPr>
          </w:p>
        </w:tc>
        <w:tc>
          <w:tcPr>
            <w:tcW w:w="851" w:type="dxa"/>
            <w:shd w:val="clear" w:color="auto" w:fill="auto"/>
            <w:vAlign w:val="center"/>
          </w:tcPr>
          <w:p>
            <w:pPr>
              <w:jc w:val="center"/>
              <w:rPr>
                <w:rFonts w:hint="default" w:ascii="Times New Roman" w:hAnsi="Times New Roman" w:eastAsia="宋体" w:cs="Times New Roman"/>
                <w:sz w:val="18"/>
                <w:szCs w:val="18"/>
              </w:rPr>
            </w:pPr>
          </w:p>
        </w:tc>
        <w:tc>
          <w:tcPr>
            <w:tcW w:w="2382" w:type="dxa"/>
            <w:shd w:val="clear" w:color="auto" w:fill="auto"/>
            <w:vAlign w:val="center"/>
          </w:tcPr>
          <w:p>
            <w:pPr>
              <w:jc w:val="center"/>
              <w:rPr>
                <w:rFonts w:hint="default" w:ascii="Times New Roman" w:hAnsi="Times New Roman" w:eastAsia="宋体" w:cs="Times New Roman"/>
                <w:sz w:val="18"/>
                <w:szCs w:val="18"/>
              </w:rPr>
            </w:pPr>
          </w:p>
        </w:tc>
        <w:tc>
          <w:tcPr>
            <w:tcW w:w="1303" w:type="dxa"/>
            <w:shd w:val="clear" w:color="auto" w:fill="auto"/>
            <w:vAlign w:val="center"/>
          </w:tcPr>
          <w:p>
            <w:pPr>
              <w:jc w:val="center"/>
              <w:rPr>
                <w:rFonts w:hint="default" w:ascii="Times New Roman" w:hAnsi="Times New Roman" w:eastAsia="宋体" w:cs="Times New Roman"/>
                <w:sz w:val="18"/>
                <w:szCs w:val="18"/>
              </w:rPr>
            </w:pPr>
          </w:p>
        </w:tc>
        <w:tc>
          <w:tcPr>
            <w:tcW w:w="993" w:type="dxa"/>
            <w:gridSpan w:val="2"/>
            <w:shd w:val="clear" w:color="auto" w:fill="auto"/>
            <w:vAlign w:val="center"/>
          </w:tcPr>
          <w:p>
            <w:pPr>
              <w:jc w:val="center"/>
              <w:rPr>
                <w:rFonts w:hint="default" w:ascii="Times New Roman" w:hAnsi="Times New Roman" w:eastAsia="宋体" w:cs="Times New Roman"/>
                <w:sz w:val="18"/>
                <w:szCs w:val="18"/>
              </w:rPr>
            </w:pPr>
          </w:p>
        </w:tc>
        <w:tc>
          <w:tcPr>
            <w:tcW w:w="714" w:type="dxa"/>
            <w:gridSpan w:val="2"/>
            <w:shd w:val="clear" w:color="auto" w:fill="auto"/>
            <w:vAlign w:val="center"/>
          </w:tcPr>
          <w:p>
            <w:pPr>
              <w:jc w:val="center"/>
              <w:rPr>
                <w:rFonts w:hint="default" w:ascii="Times New Roman" w:hAnsi="Times New Roman" w:eastAsia="宋体" w:cs="Times New Roman"/>
                <w:sz w:val="18"/>
                <w:szCs w:val="18"/>
              </w:rPr>
            </w:pPr>
          </w:p>
        </w:tc>
        <w:tc>
          <w:tcPr>
            <w:tcW w:w="1455" w:type="dxa"/>
            <w:gridSpan w:val="2"/>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hint="default" w:ascii="Times New Roman" w:hAnsi="Times New Roman" w:eastAsia="宋体" w:cs="Times New Roman"/>
                <w:sz w:val="18"/>
                <w:szCs w:val="18"/>
              </w:rPr>
            </w:pPr>
          </w:p>
        </w:tc>
        <w:tc>
          <w:tcPr>
            <w:tcW w:w="2100" w:type="dxa"/>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石油类</w:t>
            </w:r>
          </w:p>
        </w:tc>
        <w:tc>
          <w:tcPr>
            <w:tcW w:w="605" w:type="dxa"/>
            <w:shd w:val="clear" w:color="auto" w:fill="auto"/>
            <w:vAlign w:val="center"/>
          </w:tcPr>
          <w:p>
            <w:pPr>
              <w:jc w:val="center"/>
              <w:rPr>
                <w:rFonts w:hint="default" w:ascii="Times New Roman" w:hAnsi="Times New Roman" w:eastAsia="宋体" w:cs="Times New Roman"/>
                <w:sz w:val="18"/>
                <w:szCs w:val="18"/>
              </w:rPr>
            </w:pPr>
          </w:p>
        </w:tc>
        <w:tc>
          <w:tcPr>
            <w:tcW w:w="1134" w:type="dxa"/>
            <w:shd w:val="clear" w:color="auto" w:fill="auto"/>
            <w:vAlign w:val="center"/>
          </w:tcPr>
          <w:p>
            <w:pPr>
              <w:jc w:val="center"/>
              <w:rPr>
                <w:rFonts w:hint="default" w:ascii="Times New Roman" w:hAnsi="Times New Roman" w:eastAsia="宋体" w:cs="Times New Roman"/>
                <w:sz w:val="18"/>
                <w:szCs w:val="18"/>
              </w:rPr>
            </w:pPr>
          </w:p>
        </w:tc>
        <w:tc>
          <w:tcPr>
            <w:tcW w:w="1097" w:type="dxa"/>
            <w:gridSpan w:val="2"/>
            <w:shd w:val="clear" w:color="auto" w:fill="auto"/>
            <w:vAlign w:val="center"/>
          </w:tcPr>
          <w:p>
            <w:pPr>
              <w:jc w:val="center"/>
              <w:rPr>
                <w:rFonts w:hint="default" w:ascii="Times New Roman" w:hAnsi="Times New Roman" w:eastAsia="宋体" w:cs="Times New Roman"/>
                <w:sz w:val="18"/>
                <w:szCs w:val="18"/>
              </w:rPr>
            </w:pPr>
          </w:p>
        </w:tc>
        <w:tc>
          <w:tcPr>
            <w:tcW w:w="888" w:type="dxa"/>
            <w:shd w:val="clear" w:color="auto" w:fill="auto"/>
            <w:vAlign w:val="center"/>
          </w:tcPr>
          <w:p>
            <w:pPr>
              <w:jc w:val="center"/>
              <w:rPr>
                <w:rFonts w:hint="default" w:ascii="Times New Roman" w:hAnsi="Times New Roman" w:eastAsia="宋体" w:cs="Times New Roman"/>
                <w:sz w:val="18"/>
                <w:szCs w:val="18"/>
              </w:rPr>
            </w:pPr>
          </w:p>
        </w:tc>
        <w:tc>
          <w:tcPr>
            <w:tcW w:w="850" w:type="dxa"/>
            <w:gridSpan w:val="2"/>
            <w:shd w:val="clear" w:color="auto" w:fill="auto"/>
            <w:vAlign w:val="center"/>
          </w:tcPr>
          <w:p>
            <w:pPr>
              <w:jc w:val="center"/>
              <w:rPr>
                <w:rFonts w:hint="default" w:ascii="Times New Roman" w:hAnsi="Times New Roman" w:eastAsia="宋体" w:cs="Times New Roman"/>
                <w:sz w:val="18"/>
                <w:szCs w:val="18"/>
              </w:rPr>
            </w:pPr>
          </w:p>
        </w:tc>
        <w:tc>
          <w:tcPr>
            <w:tcW w:w="1134" w:type="dxa"/>
            <w:shd w:val="clear" w:color="auto" w:fill="auto"/>
            <w:vAlign w:val="center"/>
          </w:tcPr>
          <w:p>
            <w:pPr>
              <w:jc w:val="center"/>
              <w:rPr>
                <w:rFonts w:hint="default" w:ascii="Times New Roman" w:hAnsi="Times New Roman" w:eastAsia="宋体" w:cs="Times New Roman"/>
                <w:sz w:val="18"/>
                <w:szCs w:val="18"/>
              </w:rPr>
            </w:pPr>
          </w:p>
        </w:tc>
        <w:tc>
          <w:tcPr>
            <w:tcW w:w="851" w:type="dxa"/>
            <w:shd w:val="clear" w:color="auto" w:fill="auto"/>
            <w:vAlign w:val="center"/>
          </w:tcPr>
          <w:p>
            <w:pPr>
              <w:jc w:val="center"/>
              <w:rPr>
                <w:rFonts w:hint="default" w:ascii="Times New Roman" w:hAnsi="Times New Roman" w:eastAsia="宋体" w:cs="Times New Roman"/>
                <w:sz w:val="18"/>
                <w:szCs w:val="18"/>
              </w:rPr>
            </w:pPr>
          </w:p>
        </w:tc>
        <w:tc>
          <w:tcPr>
            <w:tcW w:w="2382" w:type="dxa"/>
            <w:shd w:val="clear" w:color="auto" w:fill="auto"/>
            <w:vAlign w:val="center"/>
          </w:tcPr>
          <w:p>
            <w:pPr>
              <w:jc w:val="center"/>
              <w:rPr>
                <w:rFonts w:hint="default" w:ascii="Times New Roman" w:hAnsi="Times New Roman" w:eastAsia="宋体" w:cs="Times New Roman"/>
                <w:sz w:val="18"/>
                <w:szCs w:val="18"/>
              </w:rPr>
            </w:pPr>
          </w:p>
        </w:tc>
        <w:tc>
          <w:tcPr>
            <w:tcW w:w="1303" w:type="dxa"/>
            <w:shd w:val="clear" w:color="auto" w:fill="auto"/>
            <w:vAlign w:val="center"/>
          </w:tcPr>
          <w:p>
            <w:pPr>
              <w:jc w:val="center"/>
              <w:rPr>
                <w:rFonts w:hint="default" w:ascii="Times New Roman" w:hAnsi="Times New Roman" w:eastAsia="宋体" w:cs="Times New Roman"/>
                <w:sz w:val="18"/>
                <w:szCs w:val="18"/>
              </w:rPr>
            </w:pPr>
          </w:p>
        </w:tc>
        <w:tc>
          <w:tcPr>
            <w:tcW w:w="993" w:type="dxa"/>
            <w:gridSpan w:val="2"/>
            <w:shd w:val="clear" w:color="auto" w:fill="auto"/>
            <w:vAlign w:val="center"/>
          </w:tcPr>
          <w:p>
            <w:pPr>
              <w:jc w:val="center"/>
              <w:rPr>
                <w:rFonts w:hint="default" w:ascii="Times New Roman" w:hAnsi="Times New Roman" w:eastAsia="宋体" w:cs="Times New Roman"/>
                <w:sz w:val="18"/>
                <w:szCs w:val="18"/>
              </w:rPr>
            </w:pPr>
          </w:p>
        </w:tc>
        <w:tc>
          <w:tcPr>
            <w:tcW w:w="714" w:type="dxa"/>
            <w:gridSpan w:val="2"/>
            <w:shd w:val="clear" w:color="auto" w:fill="auto"/>
            <w:vAlign w:val="center"/>
          </w:tcPr>
          <w:p>
            <w:pPr>
              <w:jc w:val="center"/>
              <w:rPr>
                <w:rFonts w:hint="default" w:ascii="Times New Roman" w:hAnsi="Times New Roman" w:eastAsia="宋体" w:cs="Times New Roman"/>
                <w:sz w:val="18"/>
                <w:szCs w:val="18"/>
              </w:rPr>
            </w:pPr>
          </w:p>
        </w:tc>
        <w:tc>
          <w:tcPr>
            <w:tcW w:w="1455" w:type="dxa"/>
            <w:gridSpan w:val="2"/>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hint="default" w:ascii="Times New Roman" w:hAnsi="Times New Roman" w:eastAsia="宋体" w:cs="Times New Roman"/>
                <w:sz w:val="18"/>
                <w:szCs w:val="18"/>
              </w:rPr>
            </w:pPr>
          </w:p>
        </w:tc>
        <w:tc>
          <w:tcPr>
            <w:tcW w:w="2100" w:type="dxa"/>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bCs/>
                <w:sz w:val="18"/>
                <w:szCs w:val="18"/>
              </w:rPr>
              <w:t>废气</w:t>
            </w:r>
          </w:p>
        </w:tc>
        <w:tc>
          <w:tcPr>
            <w:tcW w:w="605" w:type="dxa"/>
            <w:shd w:val="clear" w:color="auto" w:fill="auto"/>
            <w:vAlign w:val="center"/>
          </w:tcPr>
          <w:p>
            <w:pPr>
              <w:jc w:val="center"/>
              <w:rPr>
                <w:rFonts w:hint="default" w:ascii="Times New Roman" w:hAnsi="Times New Roman" w:eastAsia="宋体" w:cs="Times New Roman"/>
                <w:sz w:val="18"/>
                <w:szCs w:val="18"/>
              </w:rPr>
            </w:pPr>
          </w:p>
        </w:tc>
        <w:tc>
          <w:tcPr>
            <w:tcW w:w="1134" w:type="dxa"/>
            <w:shd w:val="clear" w:color="auto" w:fill="auto"/>
            <w:vAlign w:val="center"/>
          </w:tcPr>
          <w:p>
            <w:pPr>
              <w:jc w:val="center"/>
              <w:rPr>
                <w:rFonts w:hint="default" w:ascii="Times New Roman" w:hAnsi="Times New Roman" w:eastAsia="宋体" w:cs="Times New Roman"/>
                <w:sz w:val="18"/>
                <w:szCs w:val="18"/>
              </w:rPr>
            </w:pPr>
          </w:p>
        </w:tc>
        <w:tc>
          <w:tcPr>
            <w:tcW w:w="1097" w:type="dxa"/>
            <w:gridSpan w:val="2"/>
            <w:shd w:val="clear" w:color="auto" w:fill="auto"/>
            <w:vAlign w:val="center"/>
          </w:tcPr>
          <w:p>
            <w:pPr>
              <w:jc w:val="center"/>
              <w:rPr>
                <w:rFonts w:hint="default" w:ascii="Times New Roman" w:hAnsi="Times New Roman" w:eastAsia="宋体" w:cs="Times New Roman"/>
                <w:sz w:val="18"/>
                <w:szCs w:val="18"/>
              </w:rPr>
            </w:pPr>
          </w:p>
        </w:tc>
        <w:tc>
          <w:tcPr>
            <w:tcW w:w="888" w:type="dxa"/>
            <w:shd w:val="clear" w:color="auto" w:fill="auto"/>
            <w:vAlign w:val="center"/>
          </w:tcPr>
          <w:p>
            <w:pPr>
              <w:jc w:val="center"/>
              <w:rPr>
                <w:rFonts w:hint="default" w:ascii="Times New Roman" w:hAnsi="Times New Roman" w:eastAsia="宋体" w:cs="Times New Roman"/>
                <w:sz w:val="18"/>
                <w:szCs w:val="18"/>
              </w:rPr>
            </w:pPr>
          </w:p>
        </w:tc>
        <w:tc>
          <w:tcPr>
            <w:tcW w:w="850" w:type="dxa"/>
            <w:gridSpan w:val="2"/>
            <w:shd w:val="clear" w:color="auto" w:fill="auto"/>
            <w:vAlign w:val="center"/>
          </w:tcPr>
          <w:p>
            <w:pPr>
              <w:jc w:val="center"/>
              <w:rPr>
                <w:rFonts w:hint="default" w:ascii="Times New Roman" w:hAnsi="Times New Roman" w:eastAsia="宋体" w:cs="Times New Roman"/>
                <w:sz w:val="18"/>
                <w:szCs w:val="18"/>
              </w:rPr>
            </w:pPr>
          </w:p>
        </w:tc>
        <w:tc>
          <w:tcPr>
            <w:tcW w:w="1134" w:type="dxa"/>
            <w:shd w:val="clear" w:color="auto" w:fill="auto"/>
            <w:vAlign w:val="center"/>
          </w:tcPr>
          <w:p>
            <w:pPr>
              <w:jc w:val="center"/>
              <w:rPr>
                <w:rFonts w:hint="default" w:ascii="Times New Roman" w:hAnsi="Times New Roman" w:eastAsia="宋体" w:cs="Times New Roman"/>
                <w:sz w:val="18"/>
                <w:szCs w:val="18"/>
              </w:rPr>
            </w:pPr>
          </w:p>
        </w:tc>
        <w:tc>
          <w:tcPr>
            <w:tcW w:w="851" w:type="dxa"/>
            <w:shd w:val="clear" w:color="auto" w:fill="auto"/>
            <w:vAlign w:val="center"/>
          </w:tcPr>
          <w:p>
            <w:pPr>
              <w:jc w:val="center"/>
              <w:rPr>
                <w:rFonts w:hint="default" w:ascii="Times New Roman" w:hAnsi="Times New Roman" w:eastAsia="宋体" w:cs="Times New Roman"/>
                <w:sz w:val="18"/>
                <w:szCs w:val="18"/>
              </w:rPr>
            </w:pPr>
          </w:p>
        </w:tc>
        <w:tc>
          <w:tcPr>
            <w:tcW w:w="2382" w:type="dxa"/>
            <w:shd w:val="clear" w:color="auto" w:fill="auto"/>
            <w:vAlign w:val="center"/>
          </w:tcPr>
          <w:p>
            <w:pPr>
              <w:jc w:val="center"/>
              <w:rPr>
                <w:rFonts w:hint="default" w:ascii="Times New Roman" w:hAnsi="Times New Roman" w:eastAsia="宋体" w:cs="Times New Roman"/>
                <w:sz w:val="18"/>
                <w:szCs w:val="18"/>
              </w:rPr>
            </w:pPr>
          </w:p>
        </w:tc>
        <w:tc>
          <w:tcPr>
            <w:tcW w:w="1303" w:type="dxa"/>
            <w:shd w:val="clear" w:color="auto" w:fill="auto"/>
            <w:vAlign w:val="center"/>
          </w:tcPr>
          <w:p>
            <w:pPr>
              <w:jc w:val="center"/>
              <w:rPr>
                <w:rFonts w:hint="default" w:ascii="Times New Roman" w:hAnsi="Times New Roman" w:eastAsia="宋体" w:cs="Times New Roman"/>
                <w:sz w:val="18"/>
                <w:szCs w:val="18"/>
              </w:rPr>
            </w:pPr>
          </w:p>
        </w:tc>
        <w:tc>
          <w:tcPr>
            <w:tcW w:w="993" w:type="dxa"/>
            <w:gridSpan w:val="2"/>
            <w:shd w:val="clear" w:color="auto" w:fill="auto"/>
            <w:vAlign w:val="center"/>
          </w:tcPr>
          <w:p>
            <w:pPr>
              <w:jc w:val="center"/>
              <w:rPr>
                <w:rFonts w:hint="default" w:ascii="Times New Roman" w:hAnsi="Times New Roman" w:eastAsia="宋体" w:cs="Times New Roman"/>
                <w:sz w:val="18"/>
                <w:szCs w:val="18"/>
              </w:rPr>
            </w:pPr>
          </w:p>
        </w:tc>
        <w:tc>
          <w:tcPr>
            <w:tcW w:w="714" w:type="dxa"/>
            <w:gridSpan w:val="2"/>
            <w:shd w:val="clear" w:color="auto" w:fill="auto"/>
            <w:vAlign w:val="center"/>
          </w:tcPr>
          <w:p>
            <w:pPr>
              <w:jc w:val="center"/>
              <w:rPr>
                <w:rFonts w:hint="default" w:ascii="Times New Roman" w:hAnsi="Times New Roman" w:eastAsia="宋体" w:cs="Times New Roman"/>
                <w:sz w:val="18"/>
                <w:szCs w:val="18"/>
              </w:rPr>
            </w:pPr>
          </w:p>
        </w:tc>
        <w:tc>
          <w:tcPr>
            <w:tcW w:w="1455" w:type="dxa"/>
            <w:gridSpan w:val="2"/>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hint="default" w:ascii="Times New Roman" w:hAnsi="Times New Roman" w:eastAsia="宋体" w:cs="Times New Roman"/>
                <w:sz w:val="18"/>
                <w:szCs w:val="18"/>
              </w:rPr>
            </w:pPr>
          </w:p>
        </w:tc>
        <w:tc>
          <w:tcPr>
            <w:tcW w:w="2100" w:type="dxa"/>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二氧化硫</w:t>
            </w:r>
          </w:p>
        </w:tc>
        <w:tc>
          <w:tcPr>
            <w:tcW w:w="605" w:type="dxa"/>
            <w:shd w:val="clear" w:color="auto" w:fill="auto"/>
            <w:vAlign w:val="center"/>
          </w:tcPr>
          <w:p>
            <w:pPr>
              <w:jc w:val="center"/>
              <w:rPr>
                <w:rFonts w:hint="default" w:ascii="Times New Roman" w:hAnsi="Times New Roman" w:eastAsia="宋体" w:cs="Times New Roman"/>
                <w:sz w:val="18"/>
                <w:szCs w:val="18"/>
              </w:rPr>
            </w:pPr>
          </w:p>
        </w:tc>
        <w:tc>
          <w:tcPr>
            <w:tcW w:w="1134" w:type="dxa"/>
            <w:shd w:val="clear" w:color="auto" w:fill="auto"/>
            <w:vAlign w:val="center"/>
          </w:tcPr>
          <w:p>
            <w:pPr>
              <w:jc w:val="center"/>
              <w:rPr>
                <w:rFonts w:hint="default" w:ascii="Times New Roman" w:hAnsi="Times New Roman" w:eastAsia="宋体" w:cs="Times New Roman"/>
                <w:color w:val="0000FF"/>
                <w:kern w:val="2"/>
                <w:sz w:val="18"/>
                <w:szCs w:val="18"/>
                <w:lang w:val="en-US" w:eastAsia="zh-CN" w:bidi="ar-SA"/>
              </w:rPr>
            </w:pPr>
          </w:p>
        </w:tc>
        <w:tc>
          <w:tcPr>
            <w:tcW w:w="1097" w:type="dxa"/>
            <w:gridSpan w:val="2"/>
            <w:shd w:val="clear" w:color="auto" w:fill="auto"/>
            <w:vAlign w:val="center"/>
          </w:tcPr>
          <w:p>
            <w:pPr>
              <w:jc w:val="center"/>
              <w:rPr>
                <w:rFonts w:hint="default" w:ascii="Times New Roman" w:hAnsi="Times New Roman" w:eastAsia="宋体" w:cs="Times New Roman"/>
                <w:kern w:val="2"/>
                <w:sz w:val="18"/>
                <w:szCs w:val="18"/>
                <w:lang w:val="en-US" w:eastAsia="zh-CN" w:bidi="ar-SA"/>
              </w:rPr>
            </w:pPr>
          </w:p>
        </w:tc>
        <w:tc>
          <w:tcPr>
            <w:tcW w:w="888" w:type="dxa"/>
            <w:shd w:val="clear" w:color="auto" w:fill="auto"/>
            <w:vAlign w:val="center"/>
          </w:tcPr>
          <w:p>
            <w:pPr>
              <w:jc w:val="center"/>
              <w:rPr>
                <w:rFonts w:hint="default" w:ascii="Times New Roman" w:hAnsi="Times New Roman" w:eastAsia="宋体" w:cs="Times New Roman"/>
                <w:color w:val="0000FF"/>
                <w:kern w:val="2"/>
                <w:sz w:val="18"/>
                <w:szCs w:val="18"/>
                <w:lang w:val="en-US" w:eastAsia="zh-CN" w:bidi="ar-SA"/>
              </w:rPr>
            </w:pPr>
          </w:p>
        </w:tc>
        <w:tc>
          <w:tcPr>
            <w:tcW w:w="850" w:type="dxa"/>
            <w:gridSpan w:val="2"/>
            <w:shd w:val="clear" w:color="auto" w:fill="auto"/>
            <w:vAlign w:val="center"/>
          </w:tcPr>
          <w:p>
            <w:pPr>
              <w:jc w:val="center"/>
              <w:rPr>
                <w:rFonts w:hint="default" w:ascii="Times New Roman" w:hAnsi="Times New Roman" w:eastAsia="宋体" w:cs="Times New Roman"/>
                <w:color w:val="0000FF"/>
                <w:sz w:val="18"/>
                <w:szCs w:val="18"/>
              </w:rPr>
            </w:pPr>
          </w:p>
        </w:tc>
        <w:tc>
          <w:tcPr>
            <w:tcW w:w="1134" w:type="dxa"/>
            <w:shd w:val="clear" w:color="auto" w:fill="auto"/>
            <w:vAlign w:val="center"/>
          </w:tcPr>
          <w:p>
            <w:pPr>
              <w:jc w:val="center"/>
              <w:rPr>
                <w:rFonts w:hint="default" w:ascii="Times New Roman" w:hAnsi="Times New Roman" w:eastAsia="宋体" w:cs="Times New Roman"/>
                <w:color w:val="0000FF"/>
                <w:sz w:val="18"/>
                <w:szCs w:val="18"/>
                <w:lang w:val="en-US" w:eastAsia="zh-CN"/>
              </w:rPr>
            </w:pPr>
          </w:p>
        </w:tc>
        <w:tc>
          <w:tcPr>
            <w:tcW w:w="851" w:type="dxa"/>
            <w:shd w:val="clear" w:color="auto" w:fill="auto"/>
            <w:vAlign w:val="center"/>
          </w:tcPr>
          <w:p>
            <w:pPr>
              <w:jc w:val="center"/>
              <w:rPr>
                <w:rFonts w:hint="default" w:ascii="Times New Roman" w:hAnsi="Times New Roman" w:eastAsia="宋体" w:cs="Times New Roman"/>
                <w:sz w:val="18"/>
                <w:szCs w:val="18"/>
              </w:rPr>
            </w:pPr>
          </w:p>
        </w:tc>
        <w:tc>
          <w:tcPr>
            <w:tcW w:w="2382" w:type="dxa"/>
            <w:shd w:val="clear" w:color="auto" w:fill="auto"/>
            <w:vAlign w:val="center"/>
          </w:tcPr>
          <w:p>
            <w:pPr>
              <w:jc w:val="center"/>
              <w:rPr>
                <w:rFonts w:hint="default" w:ascii="Times New Roman" w:hAnsi="Times New Roman" w:eastAsia="宋体" w:cs="Times New Roman"/>
                <w:sz w:val="18"/>
                <w:szCs w:val="18"/>
              </w:rPr>
            </w:pPr>
          </w:p>
        </w:tc>
        <w:tc>
          <w:tcPr>
            <w:tcW w:w="1303" w:type="dxa"/>
            <w:shd w:val="clear" w:color="auto" w:fill="auto"/>
            <w:vAlign w:val="center"/>
          </w:tcPr>
          <w:p>
            <w:pPr>
              <w:jc w:val="center"/>
              <w:rPr>
                <w:rFonts w:hint="default" w:ascii="Times New Roman" w:hAnsi="Times New Roman" w:eastAsia="宋体" w:cs="Times New Roman"/>
                <w:sz w:val="18"/>
                <w:szCs w:val="18"/>
              </w:rPr>
            </w:pPr>
          </w:p>
        </w:tc>
        <w:tc>
          <w:tcPr>
            <w:tcW w:w="993" w:type="dxa"/>
            <w:gridSpan w:val="2"/>
            <w:shd w:val="clear" w:color="auto" w:fill="auto"/>
            <w:vAlign w:val="center"/>
          </w:tcPr>
          <w:p>
            <w:pPr>
              <w:jc w:val="center"/>
              <w:rPr>
                <w:rFonts w:hint="default" w:ascii="Times New Roman" w:hAnsi="Times New Roman" w:eastAsia="宋体" w:cs="Times New Roman"/>
                <w:sz w:val="18"/>
                <w:szCs w:val="18"/>
              </w:rPr>
            </w:pPr>
          </w:p>
        </w:tc>
        <w:tc>
          <w:tcPr>
            <w:tcW w:w="714" w:type="dxa"/>
            <w:gridSpan w:val="2"/>
            <w:shd w:val="clear" w:color="auto" w:fill="auto"/>
            <w:vAlign w:val="center"/>
          </w:tcPr>
          <w:p>
            <w:pPr>
              <w:jc w:val="center"/>
              <w:rPr>
                <w:rFonts w:hint="default" w:ascii="Times New Roman" w:hAnsi="Times New Roman" w:eastAsia="宋体" w:cs="Times New Roman"/>
                <w:sz w:val="18"/>
                <w:szCs w:val="18"/>
              </w:rPr>
            </w:pPr>
          </w:p>
        </w:tc>
        <w:tc>
          <w:tcPr>
            <w:tcW w:w="1455" w:type="dxa"/>
            <w:gridSpan w:val="2"/>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hint="default" w:ascii="Times New Roman" w:hAnsi="Times New Roman" w:eastAsia="宋体" w:cs="Times New Roman"/>
                <w:sz w:val="18"/>
                <w:szCs w:val="18"/>
              </w:rPr>
            </w:pPr>
          </w:p>
        </w:tc>
        <w:tc>
          <w:tcPr>
            <w:tcW w:w="2100" w:type="dxa"/>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烟尘</w:t>
            </w:r>
          </w:p>
        </w:tc>
        <w:tc>
          <w:tcPr>
            <w:tcW w:w="605" w:type="dxa"/>
            <w:shd w:val="clear" w:color="auto" w:fill="auto"/>
            <w:vAlign w:val="center"/>
          </w:tcPr>
          <w:p>
            <w:pPr>
              <w:jc w:val="center"/>
              <w:rPr>
                <w:rFonts w:hint="default" w:ascii="Times New Roman" w:hAnsi="Times New Roman" w:eastAsia="宋体" w:cs="Times New Roman"/>
                <w:sz w:val="18"/>
                <w:szCs w:val="18"/>
              </w:rPr>
            </w:pPr>
          </w:p>
        </w:tc>
        <w:tc>
          <w:tcPr>
            <w:tcW w:w="1134" w:type="dxa"/>
            <w:shd w:val="clear" w:color="auto" w:fill="auto"/>
            <w:vAlign w:val="center"/>
          </w:tcPr>
          <w:p>
            <w:pPr>
              <w:jc w:val="center"/>
              <w:rPr>
                <w:rFonts w:hint="default" w:ascii="Times New Roman" w:hAnsi="Times New Roman" w:eastAsia="宋体" w:cs="Times New Roman"/>
                <w:color w:val="0000FF"/>
                <w:sz w:val="18"/>
                <w:szCs w:val="18"/>
              </w:rPr>
            </w:pPr>
          </w:p>
        </w:tc>
        <w:tc>
          <w:tcPr>
            <w:tcW w:w="1097" w:type="dxa"/>
            <w:gridSpan w:val="2"/>
            <w:shd w:val="clear" w:color="auto" w:fill="auto"/>
            <w:vAlign w:val="center"/>
          </w:tcPr>
          <w:p>
            <w:pPr>
              <w:jc w:val="center"/>
              <w:rPr>
                <w:rFonts w:hint="default" w:ascii="Times New Roman" w:hAnsi="Times New Roman" w:eastAsia="宋体" w:cs="Times New Roman"/>
                <w:sz w:val="18"/>
                <w:szCs w:val="18"/>
              </w:rPr>
            </w:pPr>
          </w:p>
        </w:tc>
        <w:tc>
          <w:tcPr>
            <w:tcW w:w="888" w:type="dxa"/>
            <w:shd w:val="clear" w:color="auto" w:fill="auto"/>
            <w:vAlign w:val="center"/>
          </w:tcPr>
          <w:p>
            <w:pPr>
              <w:jc w:val="center"/>
              <w:rPr>
                <w:rFonts w:hint="default" w:ascii="Times New Roman" w:hAnsi="Times New Roman" w:eastAsia="宋体" w:cs="Times New Roman"/>
                <w:color w:val="0000FF"/>
                <w:kern w:val="2"/>
                <w:sz w:val="18"/>
                <w:szCs w:val="18"/>
                <w:lang w:val="en-US" w:eastAsia="zh-CN" w:bidi="ar-SA"/>
              </w:rPr>
            </w:pPr>
          </w:p>
        </w:tc>
        <w:tc>
          <w:tcPr>
            <w:tcW w:w="850" w:type="dxa"/>
            <w:gridSpan w:val="2"/>
            <w:shd w:val="clear" w:color="auto" w:fill="auto"/>
            <w:vAlign w:val="center"/>
          </w:tcPr>
          <w:p>
            <w:pPr>
              <w:jc w:val="center"/>
              <w:rPr>
                <w:rFonts w:hint="default" w:ascii="Times New Roman" w:hAnsi="Times New Roman" w:eastAsia="宋体" w:cs="Times New Roman"/>
                <w:color w:val="0000FF"/>
                <w:sz w:val="18"/>
                <w:szCs w:val="18"/>
              </w:rPr>
            </w:pPr>
          </w:p>
        </w:tc>
        <w:tc>
          <w:tcPr>
            <w:tcW w:w="1134" w:type="dxa"/>
            <w:shd w:val="clear" w:color="auto" w:fill="auto"/>
            <w:vAlign w:val="center"/>
          </w:tcPr>
          <w:p>
            <w:pPr>
              <w:jc w:val="center"/>
              <w:rPr>
                <w:rFonts w:hint="default" w:ascii="Times New Roman" w:hAnsi="Times New Roman" w:eastAsia="宋体" w:cs="Times New Roman"/>
                <w:color w:val="0000FF"/>
                <w:sz w:val="18"/>
                <w:szCs w:val="18"/>
              </w:rPr>
            </w:pPr>
          </w:p>
        </w:tc>
        <w:tc>
          <w:tcPr>
            <w:tcW w:w="851" w:type="dxa"/>
            <w:shd w:val="clear" w:color="auto" w:fill="auto"/>
            <w:vAlign w:val="center"/>
          </w:tcPr>
          <w:p>
            <w:pPr>
              <w:jc w:val="center"/>
              <w:rPr>
                <w:rFonts w:hint="default" w:ascii="Times New Roman" w:hAnsi="Times New Roman" w:eastAsia="宋体" w:cs="Times New Roman"/>
                <w:sz w:val="18"/>
                <w:szCs w:val="18"/>
              </w:rPr>
            </w:pPr>
          </w:p>
        </w:tc>
        <w:tc>
          <w:tcPr>
            <w:tcW w:w="2382" w:type="dxa"/>
            <w:shd w:val="clear" w:color="auto" w:fill="auto"/>
            <w:vAlign w:val="center"/>
          </w:tcPr>
          <w:p>
            <w:pPr>
              <w:jc w:val="center"/>
              <w:rPr>
                <w:rFonts w:hint="default" w:ascii="Times New Roman" w:hAnsi="Times New Roman" w:eastAsia="宋体" w:cs="Times New Roman"/>
                <w:sz w:val="18"/>
                <w:szCs w:val="18"/>
              </w:rPr>
            </w:pPr>
          </w:p>
        </w:tc>
        <w:tc>
          <w:tcPr>
            <w:tcW w:w="1303" w:type="dxa"/>
            <w:shd w:val="clear" w:color="auto" w:fill="auto"/>
            <w:vAlign w:val="center"/>
          </w:tcPr>
          <w:p>
            <w:pPr>
              <w:jc w:val="center"/>
              <w:rPr>
                <w:rFonts w:hint="default" w:ascii="Times New Roman" w:hAnsi="Times New Roman" w:eastAsia="宋体" w:cs="Times New Roman"/>
                <w:sz w:val="18"/>
                <w:szCs w:val="18"/>
              </w:rPr>
            </w:pPr>
          </w:p>
        </w:tc>
        <w:tc>
          <w:tcPr>
            <w:tcW w:w="993" w:type="dxa"/>
            <w:gridSpan w:val="2"/>
            <w:shd w:val="clear" w:color="auto" w:fill="auto"/>
            <w:vAlign w:val="center"/>
          </w:tcPr>
          <w:p>
            <w:pPr>
              <w:jc w:val="center"/>
              <w:rPr>
                <w:rFonts w:hint="default" w:ascii="Times New Roman" w:hAnsi="Times New Roman" w:eastAsia="宋体" w:cs="Times New Roman"/>
                <w:sz w:val="18"/>
                <w:szCs w:val="18"/>
              </w:rPr>
            </w:pPr>
          </w:p>
        </w:tc>
        <w:tc>
          <w:tcPr>
            <w:tcW w:w="714" w:type="dxa"/>
            <w:gridSpan w:val="2"/>
            <w:shd w:val="clear" w:color="auto" w:fill="auto"/>
            <w:vAlign w:val="center"/>
          </w:tcPr>
          <w:p>
            <w:pPr>
              <w:jc w:val="center"/>
              <w:rPr>
                <w:rFonts w:hint="default" w:ascii="Times New Roman" w:hAnsi="Times New Roman" w:eastAsia="宋体" w:cs="Times New Roman"/>
                <w:sz w:val="18"/>
                <w:szCs w:val="18"/>
              </w:rPr>
            </w:pPr>
          </w:p>
        </w:tc>
        <w:tc>
          <w:tcPr>
            <w:tcW w:w="1455" w:type="dxa"/>
            <w:gridSpan w:val="2"/>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hint="default" w:ascii="Times New Roman" w:hAnsi="Times New Roman" w:eastAsia="宋体" w:cs="Times New Roman"/>
                <w:sz w:val="18"/>
                <w:szCs w:val="18"/>
              </w:rPr>
            </w:pPr>
          </w:p>
        </w:tc>
        <w:tc>
          <w:tcPr>
            <w:tcW w:w="2100" w:type="dxa"/>
            <w:shd w:val="clear" w:color="auto" w:fill="auto"/>
            <w:vAlign w:val="center"/>
          </w:tcPr>
          <w:p>
            <w:pPr>
              <w:jc w:val="left"/>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工业粉尘</w:t>
            </w:r>
          </w:p>
        </w:tc>
        <w:tc>
          <w:tcPr>
            <w:tcW w:w="605" w:type="dxa"/>
            <w:shd w:val="clear" w:color="auto" w:fill="auto"/>
            <w:vAlign w:val="center"/>
          </w:tcPr>
          <w:p>
            <w:pPr>
              <w:jc w:val="center"/>
              <w:rPr>
                <w:rFonts w:hint="default" w:ascii="Times New Roman" w:hAnsi="Times New Roman" w:eastAsia="宋体" w:cs="Times New Roman"/>
                <w:sz w:val="18"/>
                <w:szCs w:val="18"/>
                <w:lang w:val="en-US" w:eastAsia="zh-CN"/>
              </w:rPr>
            </w:pPr>
          </w:p>
        </w:tc>
        <w:tc>
          <w:tcPr>
            <w:tcW w:w="1134" w:type="dxa"/>
            <w:shd w:val="clear" w:color="auto" w:fill="auto"/>
            <w:vAlign w:val="center"/>
          </w:tcPr>
          <w:p>
            <w:pPr>
              <w:jc w:val="center"/>
              <w:rPr>
                <w:rFonts w:hint="default" w:ascii="Times New Roman" w:hAnsi="Times New Roman" w:eastAsia="宋体" w:cs="Times New Roman"/>
                <w:color w:val="0000FF"/>
                <w:sz w:val="18"/>
                <w:szCs w:val="18"/>
                <w:lang w:val="en-US" w:eastAsia="zh-CN"/>
              </w:rPr>
            </w:pPr>
          </w:p>
        </w:tc>
        <w:tc>
          <w:tcPr>
            <w:tcW w:w="1097" w:type="dxa"/>
            <w:gridSpan w:val="2"/>
            <w:shd w:val="clear" w:color="auto" w:fill="auto"/>
            <w:vAlign w:val="center"/>
          </w:tcPr>
          <w:p>
            <w:pPr>
              <w:jc w:val="center"/>
              <w:rPr>
                <w:rFonts w:hint="default" w:ascii="Times New Roman" w:hAnsi="Times New Roman" w:eastAsia="宋体" w:cs="Times New Roman"/>
                <w:sz w:val="18"/>
                <w:szCs w:val="18"/>
                <w:lang w:val="en-US" w:eastAsia="zh-CN"/>
              </w:rPr>
            </w:pPr>
          </w:p>
        </w:tc>
        <w:tc>
          <w:tcPr>
            <w:tcW w:w="888" w:type="dxa"/>
            <w:shd w:val="clear" w:color="auto" w:fill="auto"/>
            <w:vAlign w:val="center"/>
          </w:tcPr>
          <w:p>
            <w:pPr>
              <w:jc w:val="center"/>
              <w:rPr>
                <w:rFonts w:hint="default" w:ascii="Times New Roman" w:hAnsi="Times New Roman" w:eastAsia="宋体" w:cs="Times New Roman"/>
                <w:color w:val="0000FF"/>
                <w:kern w:val="2"/>
                <w:sz w:val="18"/>
                <w:szCs w:val="18"/>
                <w:lang w:val="en-US" w:eastAsia="zh-CN" w:bidi="ar-SA"/>
              </w:rPr>
            </w:pPr>
          </w:p>
        </w:tc>
        <w:tc>
          <w:tcPr>
            <w:tcW w:w="850" w:type="dxa"/>
            <w:gridSpan w:val="2"/>
            <w:shd w:val="clear" w:color="auto" w:fill="auto"/>
            <w:vAlign w:val="center"/>
          </w:tcPr>
          <w:p>
            <w:pPr>
              <w:jc w:val="center"/>
              <w:rPr>
                <w:rFonts w:hint="default" w:ascii="Times New Roman" w:hAnsi="Times New Roman" w:eastAsia="宋体" w:cs="Times New Roman"/>
                <w:color w:val="0000FF"/>
                <w:sz w:val="18"/>
                <w:szCs w:val="18"/>
              </w:rPr>
            </w:pPr>
          </w:p>
        </w:tc>
        <w:tc>
          <w:tcPr>
            <w:tcW w:w="1134" w:type="dxa"/>
            <w:shd w:val="clear" w:color="auto" w:fill="auto"/>
            <w:vAlign w:val="center"/>
          </w:tcPr>
          <w:p>
            <w:pPr>
              <w:jc w:val="center"/>
              <w:rPr>
                <w:rFonts w:hint="default" w:ascii="Times New Roman" w:hAnsi="Times New Roman" w:eastAsia="宋体" w:cs="Times New Roman"/>
                <w:color w:val="0000FF"/>
                <w:kern w:val="2"/>
                <w:sz w:val="18"/>
                <w:szCs w:val="18"/>
                <w:lang w:val="en-US" w:eastAsia="zh-CN" w:bidi="ar-SA"/>
              </w:rPr>
            </w:pPr>
          </w:p>
        </w:tc>
        <w:tc>
          <w:tcPr>
            <w:tcW w:w="851" w:type="dxa"/>
            <w:shd w:val="clear" w:color="auto" w:fill="auto"/>
            <w:vAlign w:val="center"/>
          </w:tcPr>
          <w:p>
            <w:pPr>
              <w:jc w:val="center"/>
              <w:rPr>
                <w:rFonts w:hint="default" w:ascii="Times New Roman" w:hAnsi="Times New Roman" w:eastAsia="宋体" w:cs="Times New Roman"/>
                <w:sz w:val="18"/>
                <w:szCs w:val="18"/>
              </w:rPr>
            </w:pPr>
          </w:p>
        </w:tc>
        <w:tc>
          <w:tcPr>
            <w:tcW w:w="2382" w:type="dxa"/>
            <w:shd w:val="clear" w:color="auto" w:fill="auto"/>
            <w:vAlign w:val="center"/>
          </w:tcPr>
          <w:p>
            <w:pPr>
              <w:jc w:val="center"/>
              <w:rPr>
                <w:rFonts w:hint="default" w:ascii="Times New Roman" w:hAnsi="Times New Roman" w:eastAsia="宋体" w:cs="Times New Roman"/>
                <w:sz w:val="18"/>
                <w:szCs w:val="18"/>
              </w:rPr>
            </w:pPr>
          </w:p>
        </w:tc>
        <w:tc>
          <w:tcPr>
            <w:tcW w:w="1303" w:type="dxa"/>
            <w:shd w:val="clear" w:color="auto" w:fill="auto"/>
            <w:vAlign w:val="center"/>
          </w:tcPr>
          <w:p>
            <w:pPr>
              <w:jc w:val="center"/>
              <w:rPr>
                <w:rFonts w:hint="default" w:ascii="Times New Roman" w:hAnsi="Times New Roman" w:eastAsia="宋体" w:cs="Times New Roman"/>
                <w:sz w:val="18"/>
                <w:szCs w:val="18"/>
              </w:rPr>
            </w:pPr>
          </w:p>
        </w:tc>
        <w:tc>
          <w:tcPr>
            <w:tcW w:w="993" w:type="dxa"/>
            <w:gridSpan w:val="2"/>
            <w:shd w:val="clear" w:color="auto" w:fill="auto"/>
            <w:vAlign w:val="center"/>
          </w:tcPr>
          <w:p>
            <w:pPr>
              <w:jc w:val="center"/>
              <w:rPr>
                <w:rFonts w:hint="default" w:ascii="Times New Roman" w:hAnsi="Times New Roman" w:eastAsia="宋体" w:cs="Times New Roman"/>
                <w:sz w:val="18"/>
                <w:szCs w:val="18"/>
              </w:rPr>
            </w:pPr>
          </w:p>
        </w:tc>
        <w:tc>
          <w:tcPr>
            <w:tcW w:w="714" w:type="dxa"/>
            <w:gridSpan w:val="2"/>
            <w:shd w:val="clear" w:color="auto" w:fill="auto"/>
            <w:vAlign w:val="center"/>
          </w:tcPr>
          <w:p>
            <w:pPr>
              <w:jc w:val="center"/>
              <w:rPr>
                <w:rFonts w:hint="default" w:ascii="Times New Roman" w:hAnsi="Times New Roman" w:eastAsia="宋体" w:cs="Times New Roman"/>
                <w:sz w:val="18"/>
                <w:szCs w:val="18"/>
              </w:rPr>
            </w:pPr>
          </w:p>
        </w:tc>
        <w:tc>
          <w:tcPr>
            <w:tcW w:w="1455" w:type="dxa"/>
            <w:gridSpan w:val="2"/>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hint="default" w:ascii="Times New Roman" w:hAnsi="Times New Roman" w:eastAsia="宋体" w:cs="Times New Roman"/>
                <w:sz w:val="18"/>
                <w:szCs w:val="18"/>
              </w:rPr>
            </w:pPr>
          </w:p>
        </w:tc>
        <w:tc>
          <w:tcPr>
            <w:tcW w:w="2100" w:type="dxa"/>
            <w:shd w:val="clear" w:color="auto" w:fill="auto"/>
            <w:vAlign w:val="center"/>
          </w:tcPr>
          <w:p>
            <w:pPr>
              <w:jc w:val="left"/>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氮氧化物</w:t>
            </w:r>
          </w:p>
        </w:tc>
        <w:tc>
          <w:tcPr>
            <w:tcW w:w="605" w:type="dxa"/>
            <w:shd w:val="clear" w:color="auto" w:fill="auto"/>
            <w:vAlign w:val="center"/>
          </w:tcPr>
          <w:p>
            <w:pPr>
              <w:jc w:val="center"/>
              <w:rPr>
                <w:rFonts w:hint="default" w:ascii="Times New Roman" w:hAnsi="Times New Roman" w:eastAsia="宋体" w:cs="Times New Roman"/>
                <w:sz w:val="18"/>
                <w:szCs w:val="18"/>
                <w:lang w:val="en-US" w:eastAsia="zh-CN"/>
              </w:rPr>
            </w:pPr>
          </w:p>
        </w:tc>
        <w:tc>
          <w:tcPr>
            <w:tcW w:w="1134" w:type="dxa"/>
            <w:shd w:val="clear" w:color="auto" w:fill="auto"/>
            <w:vAlign w:val="center"/>
          </w:tcPr>
          <w:p>
            <w:pPr>
              <w:jc w:val="center"/>
              <w:rPr>
                <w:rFonts w:hint="default" w:ascii="Times New Roman" w:hAnsi="Times New Roman" w:eastAsia="宋体" w:cs="Times New Roman"/>
                <w:color w:val="0000FF"/>
                <w:kern w:val="2"/>
                <w:sz w:val="18"/>
                <w:szCs w:val="18"/>
                <w:lang w:val="en-US" w:eastAsia="zh-CN" w:bidi="ar-SA"/>
              </w:rPr>
            </w:pPr>
          </w:p>
        </w:tc>
        <w:tc>
          <w:tcPr>
            <w:tcW w:w="1097" w:type="dxa"/>
            <w:gridSpan w:val="2"/>
            <w:shd w:val="clear" w:color="auto" w:fill="auto"/>
            <w:vAlign w:val="center"/>
          </w:tcPr>
          <w:p>
            <w:pPr>
              <w:jc w:val="center"/>
              <w:rPr>
                <w:rFonts w:hint="default" w:ascii="Times New Roman" w:hAnsi="Times New Roman" w:eastAsia="宋体" w:cs="Times New Roman"/>
                <w:kern w:val="2"/>
                <w:sz w:val="18"/>
                <w:szCs w:val="18"/>
                <w:lang w:val="en-US" w:eastAsia="zh-CN" w:bidi="ar-SA"/>
              </w:rPr>
            </w:pPr>
          </w:p>
        </w:tc>
        <w:tc>
          <w:tcPr>
            <w:tcW w:w="888" w:type="dxa"/>
            <w:shd w:val="clear" w:color="auto" w:fill="auto"/>
            <w:vAlign w:val="center"/>
          </w:tcPr>
          <w:p>
            <w:pPr>
              <w:jc w:val="center"/>
              <w:rPr>
                <w:rFonts w:hint="default" w:ascii="Times New Roman" w:hAnsi="Times New Roman" w:eastAsia="宋体" w:cs="Times New Roman"/>
                <w:color w:val="0000FF"/>
                <w:kern w:val="2"/>
                <w:sz w:val="18"/>
                <w:szCs w:val="18"/>
                <w:lang w:val="en-US" w:eastAsia="zh-CN" w:bidi="ar-SA"/>
              </w:rPr>
            </w:pPr>
          </w:p>
        </w:tc>
        <w:tc>
          <w:tcPr>
            <w:tcW w:w="850" w:type="dxa"/>
            <w:gridSpan w:val="2"/>
            <w:shd w:val="clear" w:color="auto" w:fill="auto"/>
            <w:vAlign w:val="center"/>
          </w:tcPr>
          <w:p>
            <w:pPr>
              <w:jc w:val="center"/>
              <w:rPr>
                <w:rFonts w:hint="default" w:ascii="Times New Roman" w:hAnsi="Times New Roman" w:eastAsia="宋体" w:cs="Times New Roman"/>
                <w:color w:val="0000FF"/>
                <w:sz w:val="18"/>
                <w:szCs w:val="18"/>
              </w:rPr>
            </w:pPr>
          </w:p>
        </w:tc>
        <w:tc>
          <w:tcPr>
            <w:tcW w:w="1134" w:type="dxa"/>
            <w:shd w:val="clear" w:color="auto" w:fill="auto"/>
            <w:vAlign w:val="center"/>
          </w:tcPr>
          <w:p>
            <w:pPr>
              <w:jc w:val="center"/>
              <w:rPr>
                <w:rFonts w:hint="default" w:ascii="Times New Roman" w:hAnsi="Times New Roman" w:eastAsia="宋体" w:cs="Times New Roman"/>
                <w:color w:val="0000FF"/>
                <w:kern w:val="2"/>
                <w:sz w:val="18"/>
                <w:szCs w:val="18"/>
                <w:lang w:val="en-US" w:eastAsia="zh-CN" w:bidi="ar-SA"/>
              </w:rPr>
            </w:pPr>
          </w:p>
        </w:tc>
        <w:tc>
          <w:tcPr>
            <w:tcW w:w="851" w:type="dxa"/>
            <w:shd w:val="clear" w:color="auto" w:fill="auto"/>
            <w:vAlign w:val="center"/>
          </w:tcPr>
          <w:p>
            <w:pPr>
              <w:jc w:val="center"/>
              <w:rPr>
                <w:rFonts w:hint="default" w:ascii="Times New Roman" w:hAnsi="Times New Roman" w:eastAsia="宋体" w:cs="Times New Roman"/>
                <w:sz w:val="18"/>
                <w:szCs w:val="18"/>
              </w:rPr>
            </w:pPr>
          </w:p>
        </w:tc>
        <w:tc>
          <w:tcPr>
            <w:tcW w:w="2382" w:type="dxa"/>
            <w:shd w:val="clear" w:color="auto" w:fill="auto"/>
            <w:vAlign w:val="center"/>
          </w:tcPr>
          <w:p>
            <w:pPr>
              <w:jc w:val="center"/>
              <w:rPr>
                <w:rFonts w:hint="default" w:ascii="Times New Roman" w:hAnsi="Times New Roman" w:eastAsia="宋体" w:cs="Times New Roman"/>
                <w:sz w:val="18"/>
                <w:szCs w:val="18"/>
              </w:rPr>
            </w:pPr>
          </w:p>
        </w:tc>
        <w:tc>
          <w:tcPr>
            <w:tcW w:w="1303" w:type="dxa"/>
            <w:shd w:val="clear" w:color="auto" w:fill="auto"/>
            <w:vAlign w:val="center"/>
          </w:tcPr>
          <w:p>
            <w:pPr>
              <w:jc w:val="center"/>
              <w:rPr>
                <w:rFonts w:hint="default" w:ascii="Times New Roman" w:hAnsi="Times New Roman" w:eastAsia="宋体" w:cs="Times New Roman"/>
                <w:sz w:val="18"/>
                <w:szCs w:val="18"/>
              </w:rPr>
            </w:pPr>
          </w:p>
        </w:tc>
        <w:tc>
          <w:tcPr>
            <w:tcW w:w="993" w:type="dxa"/>
            <w:gridSpan w:val="2"/>
            <w:shd w:val="clear" w:color="auto" w:fill="auto"/>
            <w:vAlign w:val="center"/>
          </w:tcPr>
          <w:p>
            <w:pPr>
              <w:jc w:val="center"/>
              <w:rPr>
                <w:rFonts w:hint="default" w:ascii="Times New Roman" w:hAnsi="Times New Roman" w:eastAsia="宋体" w:cs="Times New Roman"/>
                <w:sz w:val="18"/>
                <w:szCs w:val="18"/>
              </w:rPr>
            </w:pPr>
          </w:p>
        </w:tc>
        <w:tc>
          <w:tcPr>
            <w:tcW w:w="714" w:type="dxa"/>
            <w:gridSpan w:val="2"/>
            <w:shd w:val="clear" w:color="auto" w:fill="auto"/>
            <w:vAlign w:val="center"/>
          </w:tcPr>
          <w:p>
            <w:pPr>
              <w:jc w:val="center"/>
              <w:rPr>
                <w:rFonts w:hint="default" w:ascii="Times New Roman" w:hAnsi="Times New Roman" w:eastAsia="宋体" w:cs="Times New Roman"/>
                <w:sz w:val="18"/>
                <w:szCs w:val="18"/>
              </w:rPr>
            </w:pPr>
          </w:p>
        </w:tc>
        <w:tc>
          <w:tcPr>
            <w:tcW w:w="1455" w:type="dxa"/>
            <w:gridSpan w:val="2"/>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hint="default" w:ascii="Times New Roman" w:hAnsi="Times New Roman" w:eastAsia="宋体" w:cs="Times New Roman"/>
                <w:sz w:val="18"/>
                <w:szCs w:val="18"/>
              </w:rPr>
            </w:pPr>
          </w:p>
        </w:tc>
        <w:tc>
          <w:tcPr>
            <w:tcW w:w="2100" w:type="dxa"/>
            <w:shd w:val="clear" w:color="auto" w:fill="auto"/>
            <w:vAlign w:val="center"/>
          </w:tcPr>
          <w:p>
            <w:pPr>
              <w:jc w:val="left"/>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工业固体废物</w:t>
            </w:r>
          </w:p>
        </w:tc>
        <w:tc>
          <w:tcPr>
            <w:tcW w:w="605" w:type="dxa"/>
            <w:shd w:val="clear" w:color="auto" w:fill="auto"/>
            <w:vAlign w:val="center"/>
          </w:tcPr>
          <w:p>
            <w:pPr>
              <w:jc w:val="center"/>
              <w:rPr>
                <w:rFonts w:hint="default" w:ascii="Times New Roman" w:hAnsi="Times New Roman" w:eastAsia="宋体" w:cs="Times New Roman"/>
                <w:sz w:val="18"/>
                <w:szCs w:val="18"/>
                <w:lang w:val="en-US" w:eastAsia="zh-CN"/>
              </w:rPr>
            </w:pPr>
          </w:p>
        </w:tc>
        <w:tc>
          <w:tcPr>
            <w:tcW w:w="1134" w:type="dxa"/>
            <w:shd w:val="clear" w:color="auto" w:fill="auto"/>
            <w:vAlign w:val="center"/>
          </w:tcPr>
          <w:p>
            <w:pPr>
              <w:jc w:val="center"/>
              <w:rPr>
                <w:rFonts w:hint="default" w:ascii="Times New Roman" w:hAnsi="Times New Roman" w:eastAsia="宋体" w:cs="Times New Roman"/>
                <w:sz w:val="18"/>
                <w:szCs w:val="18"/>
                <w:lang w:val="en-US" w:eastAsia="zh-CN"/>
              </w:rPr>
            </w:pPr>
          </w:p>
        </w:tc>
        <w:tc>
          <w:tcPr>
            <w:tcW w:w="1097" w:type="dxa"/>
            <w:gridSpan w:val="2"/>
            <w:shd w:val="clear" w:color="auto" w:fill="auto"/>
            <w:vAlign w:val="center"/>
          </w:tcPr>
          <w:p>
            <w:pPr>
              <w:jc w:val="center"/>
              <w:rPr>
                <w:rFonts w:hint="default" w:ascii="Times New Roman" w:hAnsi="Times New Roman" w:eastAsia="宋体" w:cs="Times New Roman"/>
                <w:sz w:val="18"/>
                <w:szCs w:val="18"/>
                <w:lang w:val="en-US" w:eastAsia="zh-CN"/>
              </w:rPr>
            </w:pPr>
          </w:p>
        </w:tc>
        <w:tc>
          <w:tcPr>
            <w:tcW w:w="888" w:type="dxa"/>
            <w:shd w:val="clear" w:color="auto" w:fill="auto"/>
            <w:vAlign w:val="center"/>
          </w:tcPr>
          <w:p>
            <w:pPr>
              <w:jc w:val="center"/>
              <w:rPr>
                <w:rFonts w:hint="default" w:ascii="Times New Roman" w:hAnsi="Times New Roman" w:eastAsia="宋体" w:cs="Times New Roman"/>
                <w:sz w:val="18"/>
                <w:szCs w:val="18"/>
              </w:rPr>
            </w:pPr>
          </w:p>
        </w:tc>
        <w:tc>
          <w:tcPr>
            <w:tcW w:w="850" w:type="dxa"/>
            <w:gridSpan w:val="2"/>
            <w:shd w:val="clear" w:color="auto" w:fill="auto"/>
            <w:vAlign w:val="center"/>
          </w:tcPr>
          <w:p>
            <w:pPr>
              <w:jc w:val="center"/>
              <w:rPr>
                <w:rFonts w:hint="default" w:ascii="Times New Roman" w:hAnsi="Times New Roman" w:eastAsia="宋体" w:cs="Times New Roman"/>
                <w:sz w:val="18"/>
                <w:szCs w:val="18"/>
              </w:rPr>
            </w:pPr>
          </w:p>
        </w:tc>
        <w:tc>
          <w:tcPr>
            <w:tcW w:w="1134" w:type="dxa"/>
            <w:shd w:val="clear" w:color="auto" w:fill="auto"/>
            <w:vAlign w:val="center"/>
          </w:tcPr>
          <w:p>
            <w:pPr>
              <w:jc w:val="center"/>
              <w:rPr>
                <w:rFonts w:hint="default" w:ascii="Times New Roman" w:hAnsi="Times New Roman" w:eastAsia="宋体" w:cs="Times New Roman"/>
                <w:sz w:val="18"/>
                <w:szCs w:val="18"/>
              </w:rPr>
            </w:pPr>
          </w:p>
        </w:tc>
        <w:tc>
          <w:tcPr>
            <w:tcW w:w="851" w:type="dxa"/>
            <w:shd w:val="clear" w:color="auto" w:fill="auto"/>
            <w:vAlign w:val="center"/>
          </w:tcPr>
          <w:p>
            <w:pPr>
              <w:jc w:val="center"/>
              <w:rPr>
                <w:rFonts w:hint="default" w:ascii="Times New Roman" w:hAnsi="Times New Roman" w:eastAsia="宋体" w:cs="Times New Roman"/>
                <w:sz w:val="18"/>
                <w:szCs w:val="18"/>
              </w:rPr>
            </w:pPr>
          </w:p>
        </w:tc>
        <w:tc>
          <w:tcPr>
            <w:tcW w:w="2382" w:type="dxa"/>
            <w:shd w:val="clear" w:color="auto" w:fill="auto"/>
            <w:vAlign w:val="center"/>
          </w:tcPr>
          <w:p>
            <w:pPr>
              <w:jc w:val="center"/>
              <w:rPr>
                <w:rFonts w:hint="default" w:ascii="Times New Roman" w:hAnsi="Times New Roman" w:eastAsia="宋体" w:cs="Times New Roman"/>
                <w:sz w:val="18"/>
                <w:szCs w:val="18"/>
              </w:rPr>
            </w:pPr>
          </w:p>
        </w:tc>
        <w:tc>
          <w:tcPr>
            <w:tcW w:w="1303" w:type="dxa"/>
            <w:shd w:val="clear" w:color="auto" w:fill="auto"/>
            <w:vAlign w:val="center"/>
          </w:tcPr>
          <w:p>
            <w:pPr>
              <w:jc w:val="center"/>
              <w:rPr>
                <w:rFonts w:hint="default" w:ascii="Times New Roman" w:hAnsi="Times New Roman" w:eastAsia="宋体" w:cs="Times New Roman"/>
                <w:sz w:val="18"/>
                <w:szCs w:val="18"/>
              </w:rPr>
            </w:pPr>
          </w:p>
        </w:tc>
        <w:tc>
          <w:tcPr>
            <w:tcW w:w="993" w:type="dxa"/>
            <w:gridSpan w:val="2"/>
            <w:shd w:val="clear" w:color="auto" w:fill="auto"/>
            <w:vAlign w:val="center"/>
          </w:tcPr>
          <w:p>
            <w:pPr>
              <w:jc w:val="center"/>
              <w:rPr>
                <w:rFonts w:hint="default" w:ascii="Times New Roman" w:hAnsi="Times New Roman" w:eastAsia="宋体" w:cs="Times New Roman"/>
                <w:sz w:val="18"/>
                <w:szCs w:val="18"/>
              </w:rPr>
            </w:pPr>
          </w:p>
        </w:tc>
        <w:tc>
          <w:tcPr>
            <w:tcW w:w="714" w:type="dxa"/>
            <w:gridSpan w:val="2"/>
            <w:shd w:val="clear" w:color="auto" w:fill="auto"/>
            <w:vAlign w:val="center"/>
          </w:tcPr>
          <w:p>
            <w:pPr>
              <w:jc w:val="center"/>
              <w:rPr>
                <w:rFonts w:hint="default" w:ascii="Times New Roman" w:hAnsi="Times New Roman" w:eastAsia="宋体" w:cs="Times New Roman"/>
                <w:sz w:val="18"/>
                <w:szCs w:val="18"/>
              </w:rPr>
            </w:pPr>
          </w:p>
        </w:tc>
        <w:tc>
          <w:tcPr>
            <w:tcW w:w="1455" w:type="dxa"/>
            <w:gridSpan w:val="2"/>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75" w:type="dxa"/>
            <w:gridSpan w:val="2"/>
            <w:vMerge w:val="continue"/>
            <w:shd w:val="clear" w:color="auto" w:fill="auto"/>
            <w:vAlign w:val="center"/>
          </w:tcPr>
          <w:p>
            <w:pPr>
              <w:jc w:val="center"/>
              <w:rPr>
                <w:rFonts w:hint="default" w:ascii="Times New Roman" w:hAnsi="Times New Roman" w:eastAsia="宋体" w:cs="Times New Roman"/>
                <w:sz w:val="18"/>
                <w:szCs w:val="18"/>
              </w:rPr>
            </w:pPr>
          </w:p>
        </w:tc>
        <w:tc>
          <w:tcPr>
            <w:tcW w:w="2100" w:type="dxa"/>
            <w:shd w:val="clear" w:color="auto" w:fill="auto"/>
            <w:vAlign w:val="center"/>
          </w:tcPr>
          <w:p>
            <w:pPr>
              <w:jc w:val="left"/>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VOCs</w:t>
            </w:r>
          </w:p>
        </w:tc>
        <w:tc>
          <w:tcPr>
            <w:tcW w:w="605" w:type="dxa"/>
            <w:shd w:val="clear" w:color="auto" w:fill="auto"/>
            <w:vAlign w:val="center"/>
          </w:tcPr>
          <w:p>
            <w:pPr>
              <w:jc w:val="center"/>
              <w:rPr>
                <w:rFonts w:hint="default" w:ascii="Times New Roman" w:hAnsi="Times New Roman" w:eastAsia="宋体" w:cs="Times New Roman"/>
                <w:sz w:val="18"/>
                <w:szCs w:val="18"/>
                <w:lang w:val="en-US" w:eastAsia="zh-CN"/>
              </w:rPr>
            </w:pPr>
          </w:p>
        </w:tc>
        <w:tc>
          <w:tcPr>
            <w:tcW w:w="1134" w:type="dxa"/>
            <w:shd w:val="clear" w:color="auto" w:fill="auto"/>
            <w:vAlign w:val="center"/>
          </w:tcPr>
          <w:p>
            <w:pPr>
              <w:jc w:val="center"/>
              <w:rPr>
                <w:rFonts w:hint="default" w:ascii="Times New Roman" w:hAnsi="Times New Roman" w:eastAsia="宋体" w:cs="Times New Roman"/>
                <w:sz w:val="18"/>
                <w:szCs w:val="18"/>
                <w:lang w:val="en-US" w:eastAsia="zh-CN"/>
              </w:rPr>
            </w:pPr>
          </w:p>
        </w:tc>
        <w:tc>
          <w:tcPr>
            <w:tcW w:w="1097" w:type="dxa"/>
            <w:gridSpan w:val="2"/>
            <w:shd w:val="clear" w:color="auto" w:fill="auto"/>
            <w:vAlign w:val="center"/>
          </w:tcPr>
          <w:p>
            <w:pPr>
              <w:jc w:val="center"/>
              <w:rPr>
                <w:rFonts w:hint="default" w:ascii="Times New Roman" w:hAnsi="Times New Roman" w:eastAsia="宋体" w:cs="Times New Roman"/>
                <w:sz w:val="18"/>
                <w:szCs w:val="18"/>
                <w:lang w:val="en-US" w:eastAsia="zh-CN"/>
              </w:rPr>
            </w:pPr>
          </w:p>
        </w:tc>
        <w:tc>
          <w:tcPr>
            <w:tcW w:w="888" w:type="dxa"/>
            <w:shd w:val="clear" w:color="auto" w:fill="auto"/>
            <w:vAlign w:val="center"/>
          </w:tcPr>
          <w:p>
            <w:pPr>
              <w:jc w:val="center"/>
              <w:rPr>
                <w:rFonts w:hint="default" w:ascii="Times New Roman" w:hAnsi="Times New Roman" w:eastAsia="宋体" w:cs="Times New Roman"/>
                <w:sz w:val="18"/>
                <w:szCs w:val="18"/>
              </w:rPr>
            </w:pPr>
          </w:p>
        </w:tc>
        <w:tc>
          <w:tcPr>
            <w:tcW w:w="850" w:type="dxa"/>
            <w:gridSpan w:val="2"/>
            <w:shd w:val="clear" w:color="auto" w:fill="auto"/>
            <w:vAlign w:val="center"/>
          </w:tcPr>
          <w:p>
            <w:pPr>
              <w:jc w:val="center"/>
              <w:rPr>
                <w:rFonts w:hint="default" w:ascii="Times New Roman" w:hAnsi="Times New Roman" w:eastAsia="宋体" w:cs="Times New Roman"/>
                <w:sz w:val="18"/>
                <w:szCs w:val="18"/>
              </w:rPr>
            </w:pPr>
          </w:p>
        </w:tc>
        <w:tc>
          <w:tcPr>
            <w:tcW w:w="1134" w:type="dxa"/>
            <w:shd w:val="clear" w:color="auto" w:fill="auto"/>
            <w:vAlign w:val="center"/>
          </w:tcPr>
          <w:p>
            <w:pPr>
              <w:jc w:val="center"/>
              <w:rPr>
                <w:rFonts w:hint="default" w:ascii="Times New Roman" w:hAnsi="Times New Roman" w:eastAsia="宋体" w:cs="Times New Roman"/>
                <w:sz w:val="18"/>
                <w:szCs w:val="18"/>
              </w:rPr>
            </w:pPr>
          </w:p>
        </w:tc>
        <w:tc>
          <w:tcPr>
            <w:tcW w:w="851" w:type="dxa"/>
            <w:shd w:val="clear" w:color="auto" w:fill="auto"/>
            <w:vAlign w:val="center"/>
          </w:tcPr>
          <w:p>
            <w:pPr>
              <w:jc w:val="center"/>
              <w:rPr>
                <w:rFonts w:hint="default" w:ascii="Times New Roman" w:hAnsi="Times New Roman" w:eastAsia="宋体" w:cs="Times New Roman"/>
                <w:sz w:val="18"/>
                <w:szCs w:val="18"/>
              </w:rPr>
            </w:pPr>
          </w:p>
        </w:tc>
        <w:tc>
          <w:tcPr>
            <w:tcW w:w="2382" w:type="dxa"/>
            <w:shd w:val="clear" w:color="auto" w:fill="auto"/>
            <w:vAlign w:val="center"/>
          </w:tcPr>
          <w:p>
            <w:pPr>
              <w:jc w:val="center"/>
              <w:rPr>
                <w:rFonts w:hint="default" w:ascii="Times New Roman" w:hAnsi="Times New Roman" w:eastAsia="宋体" w:cs="Times New Roman"/>
                <w:sz w:val="18"/>
                <w:szCs w:val="18"/>
              </w:rPr>
            </w:pPr>
          </w:p>
        </w:tc>
        <w:tc>
          <w:tcPr>
            <w:tcW w:w="1303" w:type="dxa"/>
            <w:shd w:val="clear" w:color="auto" w:fill="auto"/>
            <w:vAlign w:val="center"/>
          </w:tcPr>
          <w:p>
            <w:pPr>
              <w:jc w:val="center"/>
              <w:rPr>
                <w:rFonts w:hint="default" w:ascii="Times New Roman" w:hAnsi="Times New Roman" w:eastAsia="宋体" w:cs="Times New Roman"/>
                <w:sz w:val="18"/>
                <w:szCs w:val="18"/>
              </w:rPr>
            </w:pPr>
          </w:p>
        </w:tc>
        <w:tc>
          <w:tcPr>
            <w:tcW w:w="993" w:type="dxa"/>
            <w:gridSpan w:val="2"/>
            <w:shd w:val="clear" w:color="auto" w:fill="auto"/>
            <w:vAlign w:val="center"/>
          </w:tcPr>
          <w:p>
            <w:pPr>
              <w:jc w:val="center"/>
              <w:rPr>
                <w:rFonts w:hint="default" w:ascii="Times New Roman" w:hAnsi="Times New Roman" w:eastAsia="宋体" w:cs="Times New Roman"/>
                <w:sz w:val="18"/>
                <w:szCs w:val="18"/>
              </w:rPr>
            </w:pPr>
          </w:p>
        </w:tc>
        <w:tc>
          <w:tcPr>
            <w:tcW w:w="714" w:type="dxa"/>
            <w:gridSpan w:val="2"/>
            <w:shd w:val="clear" w:color="auto" w:fill="auto"/>
            <w:vAlign w:val="center"/>
          </w:tcPr>
          <w:p>
            <w:pPr>
              <w:jc w:val="center"/>
              <w:rPr>
                <w:rFonts w:hint="default" w:ascii="Times New Roman" w:hAnsi="Times New Roman" w:eastAsia="宋体" w:cs="Times New Roman"/>
                <w:sz w:val="18"/>
                <w:szCs w:val="18"/>
              </w:rPr>
            </w:pPr>
          </w:p>
        </w:tc>
        <w:tc>
          <w:tcPr>
            <w:tcW w:w="1455" w:type="dxa"/>
            <w:gridSpan w:val="2"/>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tcBorders>
              <w:left w:val="nil"/>
              <w:bottom w:val="nil"/>
              <w:right w:val="nil"/>
            </w:tcBorders>
            <w:shd w:val="clear" w:color="auto" w:fill="FFFFFF" w:themeFill="background1"/>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w:t>
            </w:r>
          </w:p>
        </w:tc>
        <w:tc>
          <w:tcPr>
            <w:tcW w:w="15506" w:type="dxa"/>
            <w:gridSpan w:val="18"/>
            <w:tcBorders>
              <w:left w:val="nil"/>
              <w:bottom w:val="nil"/>
              <w:right w:val="nil"/>
            </w:tcBorders>
            <w:shd w:val="clear" w:color="auto" w:fill="FFFFFF" w:themeFill="background1"/>
            <w:vAlign w:val="center"/>
          </w:tcPr>
          <w:p>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排放增减量：(+)表示增加、(—)表示减少；2、(12)=(6)—(8)—(11)、(9)=(4)—(5)—(8)-(11)+(1)；3、计量单位：废水排放量——万吨/年；废气排放量——万标立方米/年；工业固体废物排放量——万吨/年；水污染排放浓度——毫克/升；</w:t>
            </w:r>
          </w:p>
        </w:tc>
      </w:tr>
    </w:tbl>
    <w:p>
      <w:pPr>
        <w:pStyle w:val="11"/>
        <w:spacing w:after="0" w:line="360" w:lineRule="auto"/>
        <w:ind w:left="0" w:firstLine="562" w:firstLineChars="200"/>
        <w:rPr>
          <w:rFonts w:hint="default" w:ascii="Times New Roman" w:hAnsi="Times New Roman" w:eastAsia="宋体" w:cs="Times New Roman"/>
          <w:b/>
          <w:sz w:val="28"/>
          <w:szCs w:val="28"/>
        </w:rPr>
        <w:sectPr>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default" w:ascii="Times New Roman" w:hAnsi="Times New Roman" w:eastAsia="宋体" w:cs="Times New Roman"/>
          <w:sz w:val="24"/>
          <w:szCs w:val="24"/>
          <w:highlight w:val="none"/>
          <w:lang w:val="en-US" w:eastAsia="zh-CN"/>
        </w:rPr>
      </w:pPr>
      <w:bookmarkStart w:id="79" w:name="_Toc523388557"/>
      <w:bookmarkStart w:id="80" w:name="_Toc523409009"/>
      <w:bookmarkStart w:id="81" w:name="_Toc31878"/>
      <w:r>
        <w:rPr>
          <w:rFonts w:hint="default" w:ascii="Times New Roman" w:hAnsi="Times New Roman" w:eastAsia="宋体" w:cs="Times New Roman"/>
          <w:sz w:val="24"/>
          <w:szCs w:val="24"/>
          <w:highlight w:val="none"/>
        </w:rPr>
        <w:t>附件1：</w:t>
      </w:r>
      <w:bookmarkEnd w:id="79"/>
      <w:bookmarkEnd w:id="80"/>
      <w:r>
        <w:rPr>
          <w:rFonts w:hint="default" w:ascii="Times New Roman" w:hAnsi="Times New Roman" w:eastAsia="宋体" w:cs="Times New Roman"/>
          <w:sz w:val="24"/>
          <w:szCs w:val="24"/>
          <w:highlight w:val="none"/>
          <w:lang w:val="en-US" w:eastAsia="zh-CN"/>
        </w:rPr>
        <w:t>营业执照</w:t>
      </w:r>
      <w:bookmarkEnd w:id="81"/>
      <w:bookmarkStart w:id="82" w:name="_Toc523388561"/>
    </w:p>
    <w:p>
      <w:pPr>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p>
    <w:p>
      <w:pPr>
        <w:pStyle w:val="28"/>
        <w:jc w:val="center"/>
        <w:rPr>
          <w:rFonts w:hint="default" w:ascii="Times New Roman" w:hAnsi="Times New Roman" w:eastAsia="宋体" w:cs="Times New Roman"/>
          <w:lang w:val="en-US" w:eastAsia="zh-CN"/>
        </w:rPr>
        <w:sectPr>
          <w:headerReference r:id="rId10" w:type="default"/>
          <w:footerReference r:id="rId11" w:type="default"/>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lang w:val="en-US" w:eastAsia="zh-CN"/>
        </w:rPr>
        <w:drawing>
          <wp:inline distT="0" distB="0" distL="114300" distR="114300">
            <wp:extent cx="7057390" cy="4866005"/>
            <wp:effectExtent l="0" t="0" r="10160" b="10795"/>
            <wp:docPr id="40" name="图片 40" descr="ebef9d94812efb2fecc8d9a5df1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bef9d94812efb2fecc8d9a5df14699"/>
                    <pic:cNvPicPr>
                      <a:picLocks noChangeAspect="1"/>
                    </pic:cNvPicPr>
                  </pic:nvPicPr>
                  <pic:blipFill>
                    <a:blip r:embed="rId23"/>
                    <a:srcRect t="1076" r="175" b="1300"/>
                    <a:stretch>
                      <a:fillRect/>
                    </a:stretch>
                  </pic:blipFill>
                  <pic:spPr>
                    <a:xfrm>
                      <a:off x="0" y="0"/>
                      <a:ext cx="7057390" cy="4866005"/>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default" w:ascii="Times New Roman" w:hAnsi="Times New Roman" w:eastAsia="宋体" w:cs="Times New Roman"/>
          <w:sz w:val="24"/>
          <w:szCs w:val="24"/>
        </w:rPr>
      </w:pPr>
      <w:bookmarkStart w:id="83" w:name="_Toc32462"/>
      <w:r>
        <w:rPr>
          <w:rFonts w:hint="default" w:ascii="Times New Roman" w:hAnsi="Times New Roman" w:eastAsia="宋体" w:cs="Times New Roman"/>
          <w:sz w:val="24"/>
          <w:szCs w:val="24"/>
        </w:rPr>
        <w:t>附件2：环评批复</w:t>
      </w:r>
      <w:bookmarkEnd w:id="82"/>
      <w:bookmarkEnd w:id="83"/>
    </w:p>
    <w:p>
      <w:pPr>
        <w:rPr>
          <w:rFonts w:hint="default" w:ascii="Times New Roman" w:hAnsi="Times New Roman" w:eastAsia="宋体" w:cs="Times New Roman"/>
          <w:lang w:eastAsia="zh-CN"/>
        </w:rPr>
      </w:pPr>
    </w:p>
    <w:p>
      <w:pP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5643245" cy="8117205"/>
            <wp:effectExtent l="0" t="0" r="1460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5643245" cy="8117205"/>
                    </a:xfrm>
                    <a:prstGeom prst="rect">
                      <a:avLst/>
                    </a:prstGeom>
                    <a:noFill/>
                    <a:ln>
                      <a:noFill/>
                    </a:ln>
                  </pic:spPr>
                </pic:pic>
              </a:graphicData>
            </a:graphic>
          </wp:inline>
        </w:drawing>
      </w:r>
    </w:p>
    <w:p>
      <w:pPr>
        <w:rPr>
          <w:rFonts w:hint="default" w:ascii="Times New Roman" w:hAnsi="Times New Roman" w:eastAsia="宋体" w:cs="Times New Roman"/>
          <w:b/>
          <w:sz w:val="44"/>
          <w:szCs w:val="44"/>
          <w:lang w:eastAsia="zh-CN"/>
        </w:rPr>
      </w:pPr>
      <w:r>
        <w:rPr>
          <w:rFonts w:hint="default" w:ascii="Times New Roman" w:hAnsi="Times New Roman" w:eastAsia="宋体" w:cs="Times New Roman"/>
        </w:rPr>
        <w:drawing>
          <wp:inline distT="0" distB="0" distL="114300" distR="114300">
            <wp:extent cx="5578475" cy="7878445"/>
            <wp:effectExtent l="0" t="0" r="317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5578475" cy="7878445"/>
                    </a:xfrm>
                    <a:prstGeom prst="rect">
                      <a:avLst/>
                    </a:prstGeom>
                    <a:noFill/>
                    <a:ln>
                      <a:noFill/>
                    </a:ln>
                  </pic:spPr>
                </pic:pic>
              </a:graphicData>
            </a:graphic>
          </wp:inline>
        </w:drawing>
      </w:r>
    </w:p>
    <w:p>
      <w:pPr>
        <w:jc w:val="both"/>
        <w:rPr>
          <w:rFonts w:hint="default" w:ascii="Times New Roman" w:hAnsi="Times New Roman" w:eastAsia="宋体" w:cs="Times New Roman"/>
          <w:b/>
          <w:sz w:val="44"/>
          <w:szCs w:val="44"/>
          <w:lang w:eastAsia="zh-CN"/>
        </w:rPr>
      </w:pPr>
    </w:p>
    <w:p>
      <w:pPr>
        <w:pStyle w:val="28"/>
        <w:rPr>
          <w:rFonts w:hint="default" w:ascii="Times New Roman" w:hAnsi="Times New Roman" w:eastAsia="宋体" w:cs="Times New Roman"/>
          <w:b/>
          <w:sz w:val="44"/>
          <w:szCs w:val="44"/>
          <w:lang w:eastAsia="zh-CN"/>
        </w:rPr>
        <w:sectPr>
          <w:headerReference r:id="rId12" w:type="default"/>
          <w:footerReference r:id="rId13" w:type="default"/>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24"/>
        <w:jc w:val="both"/>
        <w:rPr>
          <w:rFonts w:hint="default" w:ascii="Times New Roman" w:hAnsi="Times New Roman" w:eastAsia="宋体" w:cs="Times New Roma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rPr>
        <w:drawing>
          <wp:inline distT="0" distB="0" distL="114300" distR="114300">
            <wp:extent cx="5654040" cy="8525510"/>
            <wp:effectExtent l="0" t="0" r="3810" b="8890"/>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pic:cNvPicPr>
                      <a:picLocks noChangeAspect="1"/>
                    </pic:cNvPicPr>
                  </pic:nvPicPr>
                  <pic:blipFill>
                    <a:blip r:embed="rId26"/>
                    <a:stretch>
                      <a:fillRect/>
                    </a:stretch>
                  </pic:blipFill>
                  <pic:spPr>
                    <a:xfrm>
                      <a:off x="0" y="0"/>
                      <a:ext cx="5654040" cy="8525510"/>
                    </a:xfrm>
                    <a:prstGeom prst="rect">
                      <a:avLst/>
                    </a:prstGeom>
                    <a:noFill/>
                    <a:ln>
                      <a:noFill/>
                    </a:ln>
                  </pic:spPr>
                </pic:pic>
              </a:graphicData>
            </a:graphic>
          </wp:inline>
        </w:drawing>
      </w:r>
    </w:p>
    <w:p>
      <w:pPr>
        <w:rPr>
          <w:rFonts w:hint="default" w:ascii="Times New Roman" w:hAnsi="Times New Roman" w:eastAsia="宋体" w:cs="Times New Roman"/>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rPr>
        <w:drawing>
          <wp:inline distT="0" distB="0" distL="114300" distR="114300">
            <wp:extent cx="5583555" cy="8257540"/>
            <wp:effectExtent l="0" t="0" r="17145" b="10160"/>
            <wp:docPr id="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
                    <pic:cNvPicPr>
                      <a:picLocks noChangeAspect="1"/>
                    </pic:cNvPicPr>
                  </pic:nvPicPr>
                  <pic:blipFill>
                    <a:blip r:embed="rId27"/>
                    <a:stretch>
                      <a:fillRect/>
                    </a:stretch>
                  </pic:blipFill>
                  <pic:spPr>
                    <a:xfrm>
                      <a:off x="0" y="0"/>
                      <a:ext cx="5583555" cy="8257540"/>
                    </a:xfrm>
                    <a:prstGeom prst="rect">
                      <a:avLst/>
                    </a:prstGeom>
                    <a:noFill/>
                    <a:ln>
                      <a:noFill/>
                    </a:ln>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default" w:ascii="Times New Roman" w:hAnsi="Times New Roman" w:eastAsia="宋体" w:cs="Times New Roman"/>
          <w:sz w:val="24"/>
          <w:szCs w:val="24"/>
          <w:lang w:val="en-US" w:eastAsia="zh-CN"/>
        </w:rPr>
      </w:pPr>
      <w:bookmarkStart w:id="84" w:name="_Toc21709"/>
      <w:r>
        <w:rPr>
          <w:rFonts w:hint="default" w:ascii="Times New Roman" w:hAnsi="Times New Roman" w:eastAsia="宋体" w:cs="Times New Roman"/>
          <w:sz w:val="24"/>
          <w:szCs w:val="24"/>
          <w:lang w:val="en-US" w:eastAsia="zh-CN"/>
        </w:rPr>
        <w:t>附件</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排污许可证</w:t>
      </w:r>
      <w:bookmarkEnd w:id="84"/>
    </w:p>
    <w:p>
      <w:pPr>
        <w:rPr>
          <w:rFonts w:hint="default" w:ascii="Times New Roman" w:hAnsi="Times New Roman" w:eastAsia="宋体" w:cs="Times New Roman"/>
          <w:lang w:val="en-US" w:eastAsia="zh-CN"/>
        </w:rPr>
      </w:pPr>
    </w:p>
    <w:p>
      <w:pPr>
        <w:pStyle w:val="29"/>
        <w:ind w:left="0" w:leftChars="0" w:firstLine="0" w:firstLineChars="0"/>
        <w:rPr>
          <w:rFonts w:hint="default" w:ascii="Times New Roman" w:hAnsi="Times New Roman" w:eastAsia="宋体" w:cs="Times New Roman"/>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rPr>
        <w:drawing>
          <wp:inline distT="0" distB="0" distL="114300" distR="114300">
            <wp:extent cx="5788025" cy="7360920"/>
            <wp:effectExtent l="0" t="0" r="3175" b="11430"/>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pic:cNvPicPr>
                      <a:picLocks noChangeAspect="1"/>
                    </pic:cNvPicPr>
                  </pic:nvPicPr>
                  <pic:blipFill>
                    <a:blip r:embed="rId28"/>
                    <a:stretch>
                      <a:fillRect/>
                    </a:stretch>
                  </pic:blipFill>
                  <pic:spPr>
                    <a:xfrm>
                      <a:off x="0" y="0"/>
                      <a:ext cx="5788025" cy="7360920"/>
                    </a:xfrm>
                    <a:prstGeom prst="rect">
                      <a:avLst/>
                    </a:prstGeom>
                    <a:noFill/>
                    <a:ln>
                      <a:noFill/>
                    </a:ln>
                  </pic:spPr>
                </pic:pic>
              </a:graphicData>
            </a:graphic>
          </wp:inline>
        </w:drawing>
      </w:r>
    </w:p>
    <w:p>
      <w:pPr>
        <w:pStyle w:val="4"/>
        <w:bidi w:val="0"/>
        <w:spacing w:after="0" w:afterAutospacing="0"/>
        <w:outlineLvl w:val="0"/>
        <w:rPr>
          <w:rFonts w:hint="default" w:ascii="Times New Roman" w:hAnsi="Times New Roman" w:eastAsia="宋体" w:cs="Times New Roman"/>
          <w:sz w:val="21"/>
          <w:szCs w:val="21"/>
          <w:lang w:val="en-US" w:eastAsia="zh-CN"/>
        </w:rPr>
      </w:pPr>
      <w:bookmarkStart w:id="85" w:name="_Toc10557"/>
      <w:r>
        <w:rPr>
          <w:rFonts w:hint="default" w:ascii="Times New Roman" w:hAnsi="Times New Roman" w:eastAsia="宋体" w:cs="Times New Roman"/>
          <w:sz w:val="21"/>
          <w:szCs w:val="21"/>
          <w:lang w:val="en-US" w:eastAsia="zh-CN"/>
        </w:rPr>
        <w:t>附件</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：监测报告</w:t>
      </w:r>
      <w:bookmarkEnd w:id="85"/>
    </w:p>
    <w:p>
      <w:pPr>
        <w:widowControl/>
        <w:spacing w:beforeAutospacing="0" w:line="240" w:lineRule="auto"/>
        <w:jc w:val="left"/>
        <w:rPr>
          <w:rFonts w:hint="default" w:ascii="Times New Roman" w:hAnsi="Times New Roman" w:eastAsia="宋体" w:cs="Times New Roman"/>
        </w:rPr>
      </w:pPr>
    </w:p>
    <w:p>
      <w:pPr>
        <w:pStyle w:val="29"/>
        <w:rPr>
          <w:rFonts w:hint="eastAsia" w:eastAsiaTheme="minorEastAsia"/>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eastAsiaTheme="minorEastAsia"/>
          <w:lang w:eastAsia="zh-CN"/>
        </w:rPr>
        <w:drawing>
          <wp:inline distT="0" distB="0" distL="114300" distR="114300">
            <wp:extent cx="5634355" cy="8035290"/>
            <wp:effectExtent l="0" t="0" r="4445" b="3810"/>
            <wp:docPr id="5" name="图片 5" descr="HC24030801山东大树达孚特膳食品有限公司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C24030801山东大树达孚特膳食品有限公司_页面_01"/>
                    <pic:cNvPicPr>
                      <a:picLocks noChangeAspect="1"/>
                    </pic:cNvPicPr>
                  </pic:nvPicPr>
                  <pic:blipFill>
                    <a:blip r:embed="rId29"/>
                    <a:stretch>
                      <a:fillRect/>
                    </a:stretch>
                  </pic:blipFill>
                  <pic:spPr>
                    <a:xfrm>
                      <a:off x="0" y="0"/>
                      <a:ext cx="5634355" cy="8035290"/>
                    </a:xfrm>
                    <a:prstGeom prst="rect">
                      <a:avLst/>
                    </a:prstGeom>
                  </pic:spPr>
                </pic:pic>
              </a:graphicData>
            </a:graphic>
          </wp:inline>
        </w:drawing>
      </w:r>
    </w:p>
    <w:p>
      <w:pPr>
        <w:pStyle w:val="40"/>
        <w:ind w:left="0" w:leftChars="0" w:firstLine="0" w:firstLineChars="0"/>
        <w:jc w:val="both"/>
        <w:rPr>
          <w:rFonts w:hint="eastAsia" w:ascii="Times New Roman" w:hAnsi="Times New Roman" w:eastAsia="宋体" w:cs="Times New Roman"/>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lang w:eastAsia="zh-CN"/>
        </w:rPr>
        <w:drawing>
          <wp:inline distT="0" distB="0" distL="114300" distR="114300">
            <wp:extent cx="5634355" cy="8035290"/>
            <wp:effectExtent l="0" t="0" r="4445" b="3810"/>
            <wp:docPr id="6" name="图片 6" descr="HC24030801山东大树达孚特膳食品有限公司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C24030801山东大树达孚特膳食品有限公司_页面_02"/>
                    <pic:cNvPicPr>
                      <a:picLocks noChangeAspect="1"/>
                    </pic:cNvPicPr>
                  </pic:nvPicPr>
                  <pic:blipFill>
                    <a:blip r:embed="rId30"/>
                    <a:stretch>
                      <a:fillRect/>
                    </a:stretch>
                  </pic:blipFill>
                  <pic:spPr>
                    <a:xfrm>
                      <a:off x="0" y="0"/>
                      <a:ext cx="5634355" cy="8035290"/>
                    </a:xfrm>
                    <a:prstGeom prst="rect">
                      <a:avLst/>
                    </a:prstGeom>
                  </pic:spPr>
                </pic:pic>
              </a:graphicData>
            </a:graphic>
          </wp:inline>
        </w:drawing>
      </w:r>
    </w:p>
    <w:p>
      <w:pPr>
        <w:pStyle w:val="40"/>
        <w:ind w:left="0" w:leftChars="0" w:firstLine="0" w:firstLineChars="0"/>
        <w:jc w:val="both"/>
        <w:rPr>
          <w:rFonts w:hint="eastAsia" w:ascii="Times New Roman" w:hAnsi="Times New Roman" w:eastAsia="宋体" w:cs="Times New Roman"/>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lang w:eastAsia="zh-CN"/>
        </w:rPr>
        <w:drawing>
          <wp:inline distT="0" distB="0" distL="114300" distR="114300">
            <wp:extent cx="5634355" cy="8035290"/>
            <wp:effectExtent l="0" t="0" r="4445" b="3810"/>
            <wp:docPr id="9" name="图片 9" descr="HC24030801山东大树达孚特膳食品有限公司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C24030801山东大树达孚特膳食品有限公司_页面_03"/>
                    <pic:cNvPicPr>
                      <a:picLocks noChangeAspect="1"/>
                    </pic:cNvPicPr>
                  </pic:nvPicPr>
                  <pic:blipFill>
                    <a:blip r:embed="rId31"/>
                    <a:stretch>
                      <a:fillRect/>
                    </a:stretch>
                  </pic:blipFill>
                  <pic:spPr>
                    <a:xfrm>
                      <a:off x="0" y="0"/>
                      <a:ext cx="5634355" cy="8035290"/>
                    </a:xfrm>
                    <a:prstGeom prst="rect">
                      <a:avLst/>
                    </a:prstGeom>
                  </pic:spPr>
                </pic:pic>
              </a:graphicData>
            </a:graphic>
          </wp:inline>
        </w:drawing>
      </w:r>
    </w:p>
    <w:p>
      <w:pPr>
        <w:pStyle w:val="40"/>
        <w:ind w:left="0" w:leftChars="0" w:firstLine="0" w:firstLineChars="0"/>
        <w:jc w:val="both"/>
        <w:rPr>
          <w:rFonts w:hint="eastAsia" w:ascii="Times New Roman" w:hAnsi="Times New Roman" w:eastAsia="宋体" w:cs="Times New Roman"/>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lang w:eastAsia="zh-CN"/>
        </w:rPr>
        <w:drawing>
          <wp:inline distT="0" distB="0" distL="114300" distR="114300">
            <wp:extent cx="5634355" cy="8035290"/>
            <wp:effectExtent l="0" t="0" r="4445" b="3810"/>
            <wp:docPr id="11" name="图片 11" descr="HC24030801山东大树达孚特膳食品有限公司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C24030801山东大树达孚特膳食品有限公司_页面_04"/>
                    <pic:cNvPicPr>
                      <a:picLocks noChangeAspect="1"/>
                    </pic:cNvPicPr>
                  </pic:nvPicPr>
                  <pic:blipFill>
                    <a:blip r:embed="rId32"/>
                    <a:stretch>
                      <a:fillRect/>
                    </a:stretch>
                  </pic:blipFill>
                  <pic:spPr>
                    <a:xfrm>
                      <a:off x="0" y="0"/>
                      <a:ext cx="5634355" cy="8035290"/>
                    </a:xfrm>
                    <a:prstGeom prst="rect">
                      <a:avLst/>
                    </a:prstGeom>
                  </pic:spPr>
                </pic:pic>
              </a:graphicData>
            </a:graphic>
          </wp:inline>
        </w:drawing>
      </w:r>
    </w:p>
    <w:p>
      <w:pPr>
        <w:pStyle w:val="40"/>
        <w:ind w:left="0" w:leftChars="0" w:firstLine="0" w:firstLineChars="0"/>
        <w:jc w:val="both"/>
        <w:rPr>
          <w:rFonts w:hint="eastAsia" w:ascii="Times New Roman" w:hAnsi="Times New Roman" w:eastAsia="宋体" w:cs="Times New Roman"/>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lang w:eastAsia="zh-CN"/>
        </w:rPr>
        <w:drawing>
          <wp:inline distT="0" distB="0" distL="114300" distR="114300">
            <wp:extent cx="5634355" cy="8035290"/>
            <wp:effectExtent l="0" t="0" r="4445" b="3810"/>
            <wp:docPr id="12" name="图片 12" descr="HC24030801山东大树达孚特膳食品有限公司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C24030801山东大树达孚特膳食品有限公司_页面_05"/>
                    <pic:cNvPicPr>
                      <a:picLocks noChangeAspect="1"/>
                    </pic:cNvPicPr>
                  </pic:nvPicPr>
                  <pic:blipFill>
                    <a:blip r:embed="rId33"/>
                    <a:stretch>
                      <a:fillRect/>
                    </a:stretch>
                  </pic:blipFill>
                  <pic:spPr>
                    <a:xfrm>
                      <a:off x="0" y="0"/>
                      <a:ext cx="5634355" cy="8035290"/>
                    </a:xfrm>
                    <a:prstGeom prst="rect">
                      <a:avLst/>
                    </a:prstGeom>
                  </pic:spPr>
                </pic:pic>
              </a:graphicData>
            </a:graphic>
          </wp:inline>
        </w:drawing>
      </w:r>
    </w:p>
    <w:p>
      <w:pPr>
        <w:pStyle w:val="40"/>
        <w:ind w:left="0" w:leftChars="0" w:firstLine="0" w:firstLineChars="0"/>
        <w:jc w:val="both"/>
        <w:rPr>
          <w:rFonts w:hint="eastAsia" w:ascii="Times New Roman" w:hAnsi="Times New Roman" w:eastAsia="宋体" w:cs="Times New Roman"/>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lang w:eastAsia="zh-CN"/>
        </w:rPr>
        <w:drawing>
          <wp:inline distT="0" distB="0" distL="114300" distR="114300">
            <wp:extent cx="5634355" cy="8035290"/>
            <wp:effectExtent l="0" t="0" r="4445" b="3810"/>
            <wp:docPr id="13" name="图片 13" descr="HC24030801山东大树达孚特膳食品有限公司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C24030801山东大树达孚特膳食品有限公司_页面_06"/>
                    <pic:cNvPicPr>
                      <a:picLocks noChangeAspect="1"/>
                    </pic:cNvPicPr>
                  </pic:nvPicPr>
                  <pic:blipFill>
                    <a:blip r:embed="rId34"/>
                    <a:stretch>
                      <a:fillRect/>
                    </a:stretch>
                  </pic:blipFill>
                  <pic:spPr>
                    <a:xfrm>
                      <a:off x="0" y="0"/>
                      <a:ext cx="5634355" cy="8035290"/>
                    </a:xfrm>
                    <a:prstGeom prst="rect">
                      <a:avLst/>
                    </a:prstGeom>
                  </pic:spPr>
                </pic:pic>
              </a:graphicData>
            </a:graphic>
          </wp:inline>
        </w:drawing>
      </w:r>
    </w:p>
    <w:p>
      <w:pPr>
        <w:pStyle w:val="40"/>
        <w:ind w:left="0" w:leftChars="0" w:firstLine="0" w:firstLineChars="0"/>
        <w:jc w:val="both"/>
        <w:rPr>
          <w:rFonts w:hint="eastAsia" w:ascii="Times New Roman" w:hAnsi="Times New Roman" w:eastAsia="宋体" w:cs="Times New Roman"/>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lang w:eastAsia="zh-CN"/>
        </w:rPr>
        <w:drawing>
          <wp:inline distT="0" distB="0" distL="114300" distR="114300">
            <wp:extent cx="5634355" cy="8035290"/>
            <wp:effectExtent l="0" t="0" r="4445" b="3810"/>
            <wp:docPr id="14" name="图片 14" descr="HC24030801山东大树达孚特膳食品有限公司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C24030801山东大树达孚特膳食品有限公司_页面_07"/>
                    <pic:cNvPicPr>
                      <a:picLocks noChangeAspect="1"/>
                    </pic:cNvPicPr>
                  </pic:nvPicPr>
                  <pic:blipFill>
                    <a:blip r:embed="rId35"/>
                    <a:stretch>
                      <a:fillRect/>
                    </a:stretch>
                  </pic:blipFill>
                  <pic:spPr>
                    <a:xfrm>
                      <a:off x="0" y="0"/>
                      <a:ext cx="5634355" cy="8035290"/>
                    </a:xfrm>
                    <a:prstGeom prst="rect">
                      <a:avLst/>
                    </a:prstGeom>
                  </pic:spPr>
                </pic:pic>
              </a:graphicData>
            </a:graphic>
          </wp:inline>
        </w:drawing>
      </w:r>
    </w:p>
    <w:p>
      <w:pPr>
        <w:pStyle w:val="40"/>
        <w:ind w:left="0" w:leftChars="0" w:firstLine="0" w:firstLineChars="0"/>
        <w:jc w:val="both"/>
        <w:rPr>
          <w:rFonts w:hint="eastAsia" w:ascii="Times New Roman" w:hAnsi="Times New Roman" w:eastAsia="宋体" w:cs="Times New Roman"/>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lang w:eastAsia="zh-CN"/>
        </w:rPr>
        <w:drawing>
          <wp:inline distT="0" distB="0" distL="114300" distR="114300">
            <wp:extent cx="5634355" cy="8035290"/>
            <wp:effectExtent l="0" t="0" r="4445" b="3810"/>
            <wp:docPr id="15" name="图片 15" descr="HC24030801山东大树达孚特膳食品有限公司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C24030801山东大树达孚特膳食品有限公司_页面_08"/>
                    <pic:cNvPicPr>
                      <a:picLocks noChangeAspect="1"/>
                    </pic:cNvPicPr>
                  </pic:nvPicPr>
                  <pic:blipFill>
                    <a:blip r:embed="rId36"/>
                    <a:stretch>
                      <a:fillRect/>
                    </a:stretch>
                  </pic:blipFill>
                  <pic:spPr>
                    <a:xfrm>
                      <a:off x="0" y="0"/>
                      <a:ext cx="5634355" cy="8035290"/>
                    </a:xfrm>
                    <a:prstGeom prst="rect">
                      <a:avLst/>
                    </a:prstGeom>
                  </pic:spPr>
                </pic:pic>
              </a:graphicData>
            </a:graphic>
          </wp:inline>
        </w:drawing>
      </w:r>
    </w:p>
    <w:p>
      <w:pPr>
        <w:pStyle w:val="40"/>
        <w:ind w:left="0" w:leftChars="0" w:firstLine="0" w:firstLineChars="0"/>
        <w:jc w:val="both"/>
        <w:rPr>
          <w:rFonts w:hint="eastAsia" w:ascii="Times New Roman" w:hAnsi="Times New Roman" w:eastAsia="宋体" w:cs="Times New Roman"/>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lang w:eastAsia="zh-CN"/>
        </w:rPr>
        <w:drawing>
          <wp:inline distT="0" distB="0" distL="114300" distR="114300">
            <wp:extent cx="5634355" cy="8035290"/>
            <wp:effectExtent l="0" t="0" r="4445" b="3810"/>
            <wp:docPr id="25" name="图片 25" descr="HC24030801山东大树达孚特膳食品有限公司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C24030801山东大树达孚特膳食品有限公司_页面_09"/>
                    <pic:cNvPicPr>
                      <a:picLocks noChangeAspect="1"/>
                    </pic:cNvPicPr>
                  </pic:nvPicPr>
                  <pic:blipFill>
                    <a:blip r:embed="rId37"/>
                    <a:stretch>
                      <a:fillRect/>
                    </a:stretch>
                  </pic:blipFill>
                  <pic:spPr>
                    <a:xfrm>
                      <a:off x="0" y="0"/>
                      <a:ext cx="5634355" cy="8035290"/>
                    </a:xfrm>
                    <a:prstGeom prst="rect">
                      <a:avLst/>
                    </a:prstGeom>
                  </pic:spPr>
                </pic:pic>
              </a:graphicData>
            </a:graphic>
          </wp:inline>
        </w:drawing>
      </w:r>
    </w:p>
    <w:p>
      <w:pPr>
        <w:pStyle w:val="40"/>
        <w:ind w:left="0" w:leftChars="0" w:firstLine="0" w:firstLineChars="0"/>
        <w:jc w:val="both"/>
        <w:rPr>
          <w:rFonts w:hint="eastAsia" w:ascii="Times New Roman" w:hAnsi="Times New Roman" w:eastAsia="宋体" w:cs="Times New Roman"/>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lang w:eastAsia="zh-CN"/>
        </w:rPr>
        <w:drawing>
          <wp:inline distT="0" distB="0" distL="114300" distR="114300">
            <wp:extent cx="5634355" cy="8035290"/>
            <wp:effectExtent l="0" t="0" r="4445" b="3810"/>
            <wp:docPr id="28" name="图片 28" descr="HC24030801山东大树达孚特膳食品有限公司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C24030801山东大树达孚特膳食品有限公司_页面_10"/>
                    <pic:cNvPicPr>
                      <a:picLocks noChangeAspect="1"/>
                    </pic:cNvPicPr>
                  </pic:nvPicPr>
                  <pic:blipFill>
                    <a:blip r:embed="rId38"/>
                    <a:stretch>
                      <a:fillRect/>
                    </a:stretch>
                  </pic:blipFill>
                  <pic:spPr>
                    <a:xfrm>
                      <a:off x="0" y="0"/>
                      <a:ext cx="5634355" cy="8035290"/>
                    </a:xfrm>
                    <a:prstGeom prst="rect">
                      <a:avLst/>
                    </a:prstGeom>
                  </pic:spPr>
                </pic:pic>
              </a:graphicData>
            </a:graphic>
          </wp:inline>
        </w:drawing>
      </w:r>
    </w:p>
    <w:p>
      <w:pPr>
        <w:pStyle w:val="40"/>
        <w:ind w:left="0" w:leftChars="0" w:firstLine="0" w:firstLineChars="0"/>
        <w:jc w:val="both"/>
        <w:rPr>
          <w:rFonts w:hint="eastAsia" w:ascii="Times New Roman" w:hAnsi="Times New Roman" w:eastAsia="宋体" w:cs="Times New Roman"/>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lang w:eastAsia="zh-CN"/>
        </w:rPr>
        <w:drawing>
          <wp:inline distT="0" distB="0" distL="114300" distR="114300">
            <wp:extent cx="5634355" cy="8035290"/>
            <wp:effectExtent l="0" t="0" r="4445" b="3810"/>
            <wp:docPr id="34" name="图片 34" descr="HC24030801山东大树达孚特膳食品有限公司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C24030801山东大树达孚特膳食品有限公司_页面_11"/>
                    <pic:cNvPicPr>
                      <a:picLocks noChangeAspect="1"/>
                    </pic:cNvPicPr>
                  </pic:nvPicPr>
                  <pic:blipFill>
                    <a:blip r:embed="rId39"/>
                    <a:stretch>
                      <a:fillRect/>
                    </a:stretch>
                  </pic:blipFill>
                  <pic:spPr>
                    <a:xfrm>
                      <a:off x="0" y="0"/>
                      <a:ext cx="5634355" cy="8035290"/>
                    </a:xfrm>
                    <a:prstGeom prst="rect">
                      <a:avLst/>
                    </a:prstGeom>
                  </pic:spPr>
                </pic:pic>
              </a:graphicData>
            </a:graphic>
          </wp:inline>
        </w:drawing>
      </w:r>
    </w:p>
    <w:p>
      <w:pPr>
        <w:pStyle w:val="40"/>
        <w:ind w:left="0" w:leftChars="0" w:firstLine="0" w:firstLineChars="0"/>
        <w:jc w:val="both"/>
        <w:outlineLvl w:val="0"/>
        <w:rPr>
          <w:rFonts w:hint="eastAsia" w:ascii="Times New Roman" w:hAnsi="Times New Roman" w:eastAsia="宋体" w:cs="Times New Roman"/>
          <w:b/>
          <w:bCs/>
          <w:sz w:val="24"/>
          <w:szCs w:val="24"/>
          <w:lang w:val="en-US" w:eastAsia="zh-CN"/>
        </w:rPr>
      </w:pPr>
      <w:bookmarkStart w:id="86" w:name="_Toc8662"/>
      <w:r>
        <w:rPr>
          <w:rFonts w:hint="default" w:ascii="Times New Roman" w:hAnsi="Times New Roman" w:eastAsia="宋体" w:cs="Times New Roman"/>
          <w:b/>
          <w:bCs/>
          <w:sz w:val="24"/>
          <w:szCs w:val="24"/>
          <w:lang w:val="en-US" w:eastAsia="zh-CN"/>
        </w:rPr>
        <w:t>附件5：</w:t>
      </w:r>
      <w:r>
        <w:rPr>
          <w:rFonts w:hint="eastAsia" w:ascii="Times New Roman" w:hAnsi="Times New Roman" w:eastAsia="宋体" w:cs="Times New Roman"/>
          <w:b/>
          <w:bCs/>
          <w:sz w:val="24"/>
          <w:szCs w:val="24"/>
          <w:lang w:val="en-US" w:eastAsia="zh-CN"/>
        </w:rPr>
        <w:t>应急预案备案表</w:t>
      </w:r>
      <w:bookmarkEnd w:id="86"/>
    </w:p>
    <w:p>
      <w:pPr>
        <w:pStyle w:val="40"/>
        <w:ind w:left="0" w:leftChars="0" w:firstLine="0" w:firstLineChars="0"/>
        <w:jc w:val="both"/>
        <w:rPr>
          <w:rFonts w:hint="default" w:ascii="Times New Roman" w:hAnsi="Times New Roman" w:eastAsia="宋体" w:cs="Times New Roman"/>
          <w:b/>
          <w:bCs/>
          <w:sz w:val="24"/>
          <w:szCs w:val="24"/>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b/>
          <w:bCs/>
          <w:sz w:val="24"/>
          <w:szCs w:val="24"/>
          <w:lang w:val="en-US" w:eastAsia="zh-CN"/>
        </w:rPr>
        <w:drawing>
          <wp:inline distT="0" distB="0" distL="114300" distR="114300">
            <wp:extent cx="4535170" cy="6433185"/>
            <wp:effectExtent l="0" t="0" r="0" b="0"/>
            <wp:docPr id="16" name="图片 16" descr="95d935679dfd10a44ccfc3ff864b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5d935679dfd10a44ccfc3ff864b829"/>
                    <pic:cNvPicPr>
                      <a:picLocks noChangeAspect="1"/>
                    </pic:cNvPicPr>
                  </pic:nvPicPr>
                  <pic:blipFill>
                    <a:blip r:embed="rId40"/>
                    <a:srcRect l="2321" t="12921" r="6594" b="14398"/>
                    <a:stretch>
                      <a:fillRect/>
                    </a:stretch>
                  </pic:blipFill>
                  <pic:spPr>
                    <a:xfrm>
                      <a:off x="0" y="0"/>
                      <a:ext cx="4535170" cy="6433185"/>
                    </a:xfrm>
                    <a:prstGeom prst="rect">
                      <a:avLst/>
                    </a:prstGeom>
                  </pic:spPr>
                </pic:pic>
              </a:graphicData>
            </a:graphic>
          </wp:inline>
        </w:drawing>
      </w:r>
    </w:p>
    <w:p>
      <w:pPr>
        <w:pStyle w:val="40"/>
        <w:ind w:left="0" w:leftChars="0" w:firstLine="0" w:firstLineChars="0"/>
        <w:jc w:val="both"/>
        <w:rPr>
          <w:rFonts w:hint="default" w:ascii="Times New Roman" w:hAnsi="Times New Roman" w:eastAsia="宋体" w:cs="Times New Roman"/>
          <w:b/>
          <w:bCs/>
          <w:sz w:val="24"/>
          <w:szCs w:val="24"/>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b/>
          <w:bCs/>
          <w:sz w:val="24"/>
          <w:szCs w:val="24"/>
          <w:lang w:val="en-US" w:eastAsia="zh-CN"/>
        </w:rPr>
        <w:drawing>
          <wp:inline distT="0" distB="0" distL="114300" distR="114300">
            <wp:extent cx="4425315" cy="6209665"/>
            <wp:effectExtent l="0" t="0" r="0" b="0"/>
            <wp:docPr id="17" name="图片 17" descr="80440a8f1c5dc7d6ab49a7cd94189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0440a8f1c5dc7d6ab49a7cd94189f6"/>
                    <pic:cNvPicPr>
                      <a:picLocks noChangeAspect="1"/>
                    </pic:cNvPicPr>
                  </pic:nvPicPr>
                  <pic:blipFill>
                    <a:blip r:embed="rId41"/>
                    <a:srcRect l="4234" t="17361" r="6887" b="12483"/>
                    <a:stretch>
                      <a:fillRect/>
                    </a:stretch>
                  </pic:blipFill>
                  <pic:spPr>
                    <a:xfrm>
                      <a:off x="0" y="0"/>
                      <a:ext cx="4425315" cy="6209665"/>
                    </a:xfrm>
                    <a:prstGeom prst="rect">
                      <a:avLst/>
                    </a:prstGeom>
                  </pic:spPr>
                </pic:pic>
              </a:graphicData>
            </a:graphic>
          </wp:inline>
        </w:drawing>
      </w:r>
    </w:p>
    <w:p>
      <w:pPr>
        <w:pStyle w:val="40"/>
        <w:ind w:left="0" w:leftChars="0" w:firstLine="0" w:firstLineChars="0"/>
        <w:jc w:val="both"/>
        <w:outlineLvl w:val="0"/>
        <w:rPr>
          <w:rFonts w:hint="eastAsia" w:ascii="Times New Roman" w:hAnsi="Times New Roman" w:eastAsia="宋体" w:cs="Times New Roman"/>
          <w:b/>
          <w:bCs/>
          <w:sz w:val="24"/>
          <w:szCs w:val="24"/>
          <w:lang w:val="en-US" w:eastAsia="zh-CN"/>
        </w:rPr>
      </w:pPr>
      <w:bookmarkStart w:id="87" w:name="_Toc10940"/>
      <w:r>
        <w:rPr>
          <w:rFonts w:hint="eastAsia" w:ascii="Times New Roman" w:hAnsi="Times New Roman" w:eastAsia="宋体" w:cs="Times New Roman"/>
          <w:b/>
          <w:bCs/>
          <w:sz w:val="24"/>
          <w:szCs w:val="24"/>
          <w:lang w:val="en-US" w:eastAsia="zh-CN"/>
        </w:rPr>
        <w:t>附件6：排污许可证登记回执</w:t>
      </w:r>
      <w:bookmarkEnd w:id="87"/>
    </w:p>
    <w:p>
      <w:pPr>
        <w:pStyle w:val="40"/>
        <w:ind w:left="0" w:leftChars="0" w:firstLine="0" w:firstLineChars="0"/>
        <w:jc w:val="both"/>
        <w:rPr>
          <w:rFonts w:hint="default" w:ascii="Times New Roman" w:hAnsi="Times New Roman" w:eastAsia="宋体" w:cs="Times New Roman"/>
          <w:b/>
          <w:bCs/>
          <w:sz w:val="24"/>
          <w:szCs w:val="24"/>
          <w:lang w:val="en-US" w:eastAsia="zh-CN"/>
        </w:rPr>
      </w:pPr>
      <w:r>
        <w:drawing>
          <wp:inline distT="0" distB="0" distL="114300" distR="114300">
            <wp:extent cx="5788025" cy="7277100"/>
            <wp:effectExtent l="0" t="0" r="3175"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8"/>
                    <a:stretch>
                      <a:fillRect/>
                    </a:stretch>
                  </pic:blipFill>
                  <pic:spPr>
                    <a:xfrm>
                      <a:off x="0" y="0"/>
                      <a:ext cx="5788025" cy="7277100"/>
                    </a:xfrm>
                    <a:prstGeom prst="rect">
                      <a:avLst/>
                    </a:prstGeom>
                    <a:noFill/>
                    <a:ln>
                      <a:noFill/>
                    </a:ln>
                  </pic:spPr>
                </pic:pic>
              </a:graphicData>
            </a:graphic>
          </wp:inline>
        </w:drawing>
      </w:r>
    </w:p>
    <w:p>
      <w:pPr>
        <w:pStyle w:val="40"/>
        <w:ind w:left="0" w:leftChars="0" w:firstLine="0" w:firstLineChars="0"/>
        <w:jc w:val="both"/>
        <w:rPr>
          <w:rFonts w:hint="eastAsia" w:ascii="Times New Roman" w:hAnsi="Times New Roman" w:eastAsia="宋体" w:cs="Times New Roman"/>
          <w:b/>
          <w:bCs/>
          <w:sz w:val="24"/>
          <w:szCs w:val="24"/>
          <w:lang w:val="en-US" w:eastAsia="zh-CN"/>
        </w:rPr>
      </w:pPr>
    </w:p>
    <w:p>
      <w:pPr>
        <w:pStyle w:val="40"/>
        <w:ind w:left="0" w:leftChars="0" w:firstLine="0" w:firstLineChars="0"/>
        <w:jc w:val="both"/>
        <w:rPr>
          <w:rFonts w:hint="default" w:ascii="Times New Roman" w:hAnsi="Times New Roman" w:eastAsia="宋体" w:cs="Times New Roman"/>
          <w:b/>
          <w:bCs/>
          <w:sz w:val="24"/>
          <w:szCs w:val="24"/>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40"/>
        <w:ind w:left="0" w:leftChars="0" w:firstLine="0" w:firstLineChars="0"/>
        <w:jc w:val="both"/>
        <w:outlineLvl w:val="0"/>
        <w:rPr>
          <w:rFonts w:hint="default" w:ascii="Times New Roman" w:hAnsi="Times New Roman" w:eastAsia="宋体" w:cs="Times New Roman"/>
          <w:b/>
          <w:bCs/>
          <w:sz w:val="24"/>
          <w:szCs w:val="24"/>
          <w:lang w:val="en-US" w:eastAsia="zh-CN"/>
        </w:rPr>
      </w:pPr>
      <w:bookmarkStart w:id="88" w:name="_Toc31401"/>
      <w:r>
        <w:rPr>
          <w:rFonts w:hint="default" w:ascii="Times New Roman" w:hAnsi="Times New Roman" w:eastAsia="宋体" w:cs="Times New Roman"/>
          <w:b/>
          <w:bCs/>
          <w:sz w:val="24"/>
          <w:szCs w:val="24"/>
          <w:lang w:val="en-US" w:eastAsia="zh-CN"/>
        </w:rPr>
        <w:t>附件</w:t>
      </w:r>
      <w:r>
        <w:rPr>
          <w:rFonts w:hint="eastAsia" w:ascii="Times New Roman" w:hAnsi="Times New Roman" w:eastAsia="宋体" w:cs="Times New Roman"/>
          <w:b/>
          <w:bCs/>
          <w:sz w:val="24"/>
          <w:szCs w:val="24"/>
          <w:lang w:val="en-US" w:eastAsia="zh-CN"/>
        </w:rPr>
        <w:t>7</w:t>
      </w:r>
      <w:r>
        <w:rPr>
          <w:rFonts w:hint="default" w:ascii="Times New Roman" w:hAnsi="Times New Roman" w:eastAsia="宋体" w:cs="Times New Roman"/>
          <w:b/>
          <w:bCs/>
          <w:sz w:val="24"/>
          <w:szCs w:val="24"/>
          <w:lang w:val="en-US" w:eastAsia="zh-CN"/>
        </w:rPr>
        <w:t>：</w:t>
      </w:r>
      <w:r>
        <w:rPr>
          <w:rFonts w:hint="eastAsia" w:ascii="Times New Roman" w:hAnsi="Times New Roman" w:eastAsia="宋体" w:cs="Times New Roman"/>
          <w:b/>
          <w:bCs/>
          <w:sz w:val="24"/>
          <w:szCs w:val="24"/>
          <w:lang w:val="en-US" w:eastAsia="zh-CN"/>
        </w:rPr>
        <w:t>环保验收公示</w:t>
      </w:r>
      <w:bookmarkEnd w:id="88"/>
    </w:p>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楷体简体">
    <w:altName w:val="宋体"/>
    <w:panose1 w:val="00000000000000000000"/>
    <w:charset w:val="86"/>
    <w:family w:val="auto"/>
    <w:pitch w:val="default"/>
    <w:sig w:usb0="00000000" w:usb1="00000000" w:usb2="00000010" w:usb3="00000000" w:csb0="00040000" w:csb1="00000000"/>
  </w:font>
  <w:font w:name="方正书宋简体">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仿宋_GB2312">
    <w:altName w:val="仿宋"/>
    <w:panose1 w:val="02010609030101010101"/>
    <w:charset w:val="86"/>
    <w:family w:val="swiss"/>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华文新魏">
    <w:altName w:val="宋体"/>
    <w:panose1 w:val="02010800040101010101"/>
    <w:charset w:val="86"/>
    <w:family w:val="auto"/>
    <w:pitch w:val="default"/>
    <w:sig w:usb0="00000000" w:usb1="00000000" w:usb2="00000000" w:usb3="00000000" w:csb0="00040000" w:csb1="0000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4"/>
      </w:rPr>
    </w:pPr>
    <w:r>
      <w:fldChar w:fldCharType="begin"/>
    </w:r>
    <w:r>
      <w:rPr>
        <w:rStyle w:val="34"/>
      </w:rPr>
      <w:instrText xml:space="preserve">PAGE  </w:instrText>
    </w:r>
    <w:r>
      <w:fldChar w:fldCharType="end"/>
    </w: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w:t>
                          </w:r>
                          <w:r>
                            <w:fldChar w:fldCharType="begin"/>
                          </w:r>
                          <w:r>
                            <w:instrText xml:space="preserve"> NUMPAGES  \* MERGEFORMAT </w:instrText>
                          </w:r>
                          <w:r>
                            <w:fldChar w:fldCharType="separate"/>
                          </w:r>
                          <w:r>
                            <w:t>51</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tkocxzAEAAJ4DAAAOAAAAAAAAAAEAIAAAAB4BAABkcnMvZTJv&#10;RG9jLnhtbFBLBQYAAAAABgAGAFkBAABcBQAAAAA=&#10;">
              <v:fill on="f" focussize="0,0"/>
              <v:stroke on="f"/>
              <v:imagedata o:title=""/>
              <o:lock v:ext="edit" aspectratio="f"/>
              <v:textbox inset="0mm,0mm,0mm,0mm" style="mso-fit-shape-to-text:t;">
                <w:txbxContent>
                  <w:p>
                    <w:pPr>
                      <w:pStyle w:val="22"/>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w:t>
                    </w:r>
                    <w:r>
                      <w:fldChar w:fldCharType="begin"/>
                    </w:r>
                    <w:r>
                      <w:instrText xml:space="preserve"> NUMPAGES  \* MERGEFORMAT </w:instrText>
                    </w:r>
                    <w:r>
                      <w:fldChar w:fldCharType="separate"/>
                    </w:r>
                    <w:r>
                      <w:t>51</w:t>
                    </w:r>
                    <w: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t xml:space="preserve">第 </w:t>
                          </w:r>
                          <w:r>
                            <w:fldChar w:fldCharType="begin"/>
                          </w:r>
                          <w:r>
                            <w:instrText xml:space="preserve"> PAGE  \* MERGEFORMAT </w:instrText>
                          </w:r>
                          <w:r>
                            <w:fldChar w:fldCharType="separate"/>
                          </w:r>
                          <w:r>
                            <w:t>49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49</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Times New Roman" w:hAnsi="Times New Roman" w:cs="Times New Roman"/>
      </w:rPr>
    </w:pPr>
    <w:r>
      <w:rPr>
        <w:rFonts w:hint="eastAsia" w:ascii="Times New Roman" w:hAnsi="Times New Roman" w:cs="Times New Roman"/>
        <w:lang w:val="en-US" w:eastAsia="zh-CN"/>
      </w:rPr>
      <w:t>山东大树达孚特膳食品有限公司供热方式技改项目</w:t>
    </w:r>
    <w:r>
      <w:rPr>
        <w:rFonts w:ascii="Times New Roman" w:hAnsi="Times New Roman" w:cs="Times New Roman"/>
      </w:rPr>
      <w:t>环境保护竣工验收报告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曹县庄寨镇张合献木制品厂年产10万张拼板芯板项目环境保护</w:t>
    </w:r>
    <w:r>
      <w:t>竣工验收报告表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C1D621"/>
    <w:multiLevelType w:val="singleLevel"/>
    <w:tmpl w:val="C3C1D621"/>
    <w:lvl w:ilvl="0" w:tentative="0">
      <w:start w:val="1"/>
      <w:numFmt w:val="chineseCounting"/>
      <w:suff w:val="nothing"/>
      <w:lvlText w:val="%1、"/>
      <w:lvlJc w:val="left"/>
      <w:rPr>
        <w:rFonts w:hint="eastAsia"/>
      </w:rPr>
    </w:lvl>
  </w:abstractNum>
  <w:abstractNum w:abstractNumId="1">
    <w:nsid w:val="F78E0B31"/>
    <w:multiLevelType w:val="singleLevel"/>
    <w:tmpl w:val="F78E0B31"/>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2">
    <w:nsid w:val="6A5C4117"/>
    <w:multiLevelType w:val="singleLevel"/>
    <w:tmpl w:val="6A5C4117"/>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Yzc2NGUxYzA1ZDdkZTU5NDlkNzJmNTY0ODBlZjkifQ=="/>
  </w:docVars>
  <w:rsids>
    <w:rsidRoot w:val="00F929C3"/>
    <w:rsid w:val="0000023A"/>
    <w:rsid w:val="00001C1F"/>
    <w:rsid w:val="000020F4"/>
    <w:rsid w:val="00002193"/>
    <w:rsid w:val="00003422"/>
    <w:rsid w:val="000040CF"/>
    <w:rsid w:val="00004DF9"/>
    <w:rsid w:val="000050AE"/>
    <w:rsid w:val="000058BD"/>
    <w:rsid w:val="00005CA4"/>
    <w:rsid w:val="00011508"/>
    <w:rsid w:val="00012223"/>
    <w:rsid w:val="00012C76"/>
    <w:rsid w:val="00014BE5"/>
    <w:rsid w:val="00015422"/>
    <w:rsid w:val="000163ED"/>
    <w:rsid w:val="00021191"/>
    <w:rsid w:val="00021772"/>
    <w:rsid w:val="000237C4"/>
    <w:rsid w:val="00023C49"/>
    <w:rsid w:val="00025EF4"/>
    <w:rsid w:val="000276AE"/>
    <w:rsid w:val="00027C91"/>
    <w:rsid w:val="000309BF"/>
    <w:rsid w:val="00031523"/>
    <w:rsid w:val="000352BC"/>
    <w:rsid w:val="00036884"/>
    <w:rsid w:val="00040526"/>
    <w:rsid w:val="000420E9"/>
    <w:rsid w:val="000427E3"/>
    <w:rsid w:val="00044EB6"/>
    <w:rsid w:val="00046A37"/>
    <w:rsid w:val="00047996"/>
    <w:rsid w:val="00047A96"/>
    <w:rsid w:val="0005304C"/>
    <w:rsid w:val="0005323F"/>
    <w:rsid w:val="000532AD"/>
    <w:rsid w:val="00055D6D"/>
    <w:rsid w:val="00056073"/>
    <w:rsid w:val="00060B06"/>
    <w:rsid w:val="00060D86"/>
    <w:rsid w:val="00061639"/>
    <w:rsid w:val="00062E3A"/>
    <w:rsid w:val="0006389C"/>
    <w:rsid w:val="00065575"/>
    <w:rsid w:val="000660EF"/>
    <w:rsid w:val="00067054"/>
    <w:rsid w:val="00067DB4"/>
    <w:rsid w:val="0007166B"/>
    <w:rsid w:val="000716C8"/>
    <w:rsid w:val="00073600"/>
    <w:rsid w:val="00074573"/>
    <w:rsid w:val="00076B45"/>
    <w:rsid w:val="00080FF4"/>
    <w:rsid w:val="000837DB"/>
    <w:rsid w:val="0008423E"/>
    <w:rsid w:val="00087256"/>
    <w:rsid w:val="000872D1"/>
    <w:rsid w:val="00087AA0"/>
    <w:rsid w:val="000902F6"/>
    <w:rsid w:val="000905D9"/>
    <w:rsid w:val="00091518"/>
    <w:rsid w:val="00091D83"/>
    <w:rsid w:val="00094525"/>
    <w:rsid w:val="00095269"/>
    <w:rsid w:val="000954EF"/>
    <w:rsid w:val="0009551D"/>
    <w:rsid w:val="00096C3D"/>
    <w:rsid w:val="0009748D"/>
    <w:rsid w:val="00097AC7"/>
    <w:rsid w:val="00097D0F"/>
    <w:rsid w:val="000A07BB"/>
    <w:rsid w:val="000A4CB2"/>
    <w:rsid w:val="000A4F0E"/>
    <w:rsid w:val="000A59AF"/>
    <w:rsid w:val="000A5EB7"/>
    <w:rsid w:val="000A643F"/>
    <w:rsid w:val="000B060C"/>
    <w:rsid w:val="000B0790"/>
    <w:rsid w:val="000B0D13"/>
    <w:rsid w:val="000B0F68"/>
    <w:rsid w:val="000B17CF"/>
    <w:rsid w:val="000B1E94"/>
    <w:rsid w:val="000B3AF6"/>
    <w:rsid w:val="000B4D5B"/>
    <w:rsid w:val="000B4FB5"/>
    <w:rsid w:val="000B5EE3"/>
    <w:rsid w:val="000C28FF"/>
    <w:rsid w:val="000C33D3"/>
    <w:rsid w:val="000C3AB7"/>
    <w:rsid w:val="000C55D2"/>
    <w:rsid w:val="000C5E17"/>
    <w:rsid w:val="000C7E04"/>
    <w:rsid w:val="000D1581"/>
    <w:rsid w:val="000D18AE"/>
    <w:rsid w:val="000D24F2"/>
    <w:rsid w:val="000D6C27"/>
    <w:rsid w:val="000D7D61"/>
    <w:rsid w:val="000E03F6"/>
    <w:rsid w:val="000E2582"/>
    <w:rsid w:val="000E27CC"/>
    <w:rsid w:val="000E3E89"/>
    <w:rsid w:val="000E4ACA"/>
    <w:rsid w:val="000E610C"/>
    <w:rsid w:val="000F419E"/>
    <w:rsid w:val="000F54C0"/>
    <w:rsid w:val="000F5A20"/>
    <w:rsid w:val="000F5E1A"/>
    <w:rsid w:val="000F65B6"/>
    <w:rsid w:val="00100891"/>
    <w:rsid w:val="0010146B"/>
    <w:rsid w:val="00102691"/>
    <w:rsid w:val="001039D2"/>
    <w:rsid w:val="00104122"/>
    <w:rsid w:val="00106704"/>
    <w:rsid w:val="00106A7F"/>
    <w:rsid w:val="001070BF"/>
    <w:rsid w:val="00110390"/>
    <w:rsid w:val="001105D9"/>
    <w:rsid w:val="00113BDF"/>
    <w:rsid w:val="001159E5"/>
    <w:rsid w:val="001207E8"/>
    <w:rsid w:val="00122CB9"/>
    <w:rsid w:val="00122E81"/>
    <w:rsid w:val="0012353D"/>
    <w:rsid w:val="00124A57"/>
    <w:rsid w:val="00125213"/>
    <w:rsid w:val="0012583D"/>
    <w:rsid w:val="00132384"/>
    <w:rsid w:val="00135368"/>
    <w:rsid w:val="00137119"/>
    <w:rsid w:val="00137FF9"/>
    <w:rsid w:val="00141802"/>
    <w:rsid w:val="00142104"/>
    <w:rsid w:val="0014257B"/>
    <w:rsid w:val="00144DA4"/>
    <w:rsid w:val="00144F3D"/>
    <w:rsid w:val="0014794D"/>
    <w:rsid w:val="0015066F"/>
    <w:rsid w:val="00151300"/>
    <w:rsid w:val="001514F8"/>
    <w:rsid w:val="001533AA"/>
    <w:rsid w:val="0015381D"/>
    <w:rsid w:val="0015428E"/>
    <w:rsid w:val="00156D10"/>
    <w:rsid w:val="00157179"/>
    <w:rsid w:val="00160ECF"/>
    <w:rsid w:val="0016136C"/>
    <w:rsid w:val="00161E87"/>
    <w:rsid w:val="00163CC0"/>
    <w:rsid w:val="001649B9"/>
    <w:rsid w:val="00165023"/>
    <w:rsid w:val="001653FD"/>
    <w:rsid w:val="00167B05"/>
    <w:rsid w:val="001711C5"/>
    <w:rsid w:val="00172C62"/>
    <w:rsid w:val="00172D43"/>
    <w:rsid w:val="00173CBC"/>
    <w:rsid w:val="0017404D"/>
    <w:rsid w:val="00174102"/>
    <w:rsid w:val="001749A7"/>
    <w:rsid w:val="001756DB"/>
    <w:rsid w:val="00175778"/>
    <w:rsid w:val="0017599D"/>
    <w:rsid w:val="001807EB"/>
    <w:rsid w:val="00181F0A"/>
    <w:rsid w:val="00182731"/>
    <w:rsid w:val="00183E11"/>
    <w:rsid w:val="00184856"/>
    <w:rsid w:val="001848DC"/>
    <w:rsid w:val="00187600"/>
    <w:rsid w:val="00190166"/>
    <w:rsid w:val="00190552"/>
    <w:rsid w:val="00190FDB"/>
    <w:rsid w:val="001922BF"/>
    <w:rsid w:val="00192B4A"/>
    <w:rsid w:val="00193129"/>
    <w:rsid w:val="0019537D"/>
    <w:rsid w:val="00196F2D"/>
    <w:rsid w:val="00197711"/>
    <w:rsid w:val="00197837"/>
    <w:rsid w:val="00197F43"/>
    <w:rsid w:val="001A00FD"/>
    <w:rsid w:val="001A089E"/>
    <w:rsid w:val="001A0F78"/>
    <w:rsid w:val="001A13B4"/>
    <w:rsid w:val="001A1AD2"/>
    <w:rsid w:val="001A2D59"/>
    <w:rsid w:val="001A3D70"/>
    <w:rsid w:val="001A46D7"/>
    <w:rsid w:val="001A47BA"/>
    <w:rsid w:val="001A499C"/>
    <w:rsid w:val="001A55FA"/>
    <w:rsid w:val="001A57E8"/>
    <w:rsid w:val="001A6A8C"/>
    <w:rsid w:val="001A7F6D"/>
    <w:rsid w:val="001B0F75"/>
    <w:rsid w:val="001B1F02"/>
    <w:rsid w:val="001B31C9"/>
    <w:rsid w:val="001B3ED3"/>
    <w:rsid w:val="001B6277"/>
    <w:rsid w:val="001B7024"/>
    <w:rsid w:val="001C083C"/>
    <w:rsid w:val="001C0AF2"/>
    <w:rsid w:val="001C1985"/>
    <w:rsid w:val="001C1BD3"/>
    <w:rsid w:val="001C2AF9"/>
    <w:rsid w:val="001C4E78"/>
    <w:rsid w:val="001C6313"/>
    <w:rsid w:val="001C6F6D"/>
    <w:rsid w:val="001D1411"/>
    <w:rsid w:val="001D41D6"/>
    <w:rsid w:val="001D5786"/>
    <w:rsid w:val="001D622A"/>
    <w:rsid w:val="001D71E1"/>
    <w:rsid w:val="001E174F"/>
    <w:rsid w:val="001E1A09"/>
    <w:rsid w:val="001E3751"/>
    <w:rsid w:val="001E42FD"/>
    <w:rsid w:val="001E4333"/>
    <w:rsid w:val="001E4483"/>
    <w:rsid w:val="001E5217"/>
    <w:rsid w:val="001E663A"/>
    <w:rsid w:val="001E6C78"/>
    <w:rsid w:val="001F19F7"/>
    <w:rsid w:val="001F338B"/>
    <w:rsid w:val="001F35AD"/>
    <w:rsid w:val="001F67B0"/>
    <w:rsid w:val="001F6D52"/>
    <w:rsid w:val="001F7A16"/>
    <w:rsid w:val="0020068C"/>
    <w:rsid w:val="00201295"/>
    <w:rsid w:val="00201A02"/>
    <w:rsid w:val="00202339"/>
    <w:rsid w:val="00202E1E"/>
    <w:rsid w:val="002038B2"/>
    <w:rsid w:val="00203D10"/>
    <w:rsid w:val="00203E99"/>
    <w:rsid w:val="00206F1F"/>
    <w:rsid w:val="00210216"/>
    <w:rsid w:val="002119A0"/>
    <w:rsid w:val="002120DF"/>
    <w:rsid w:val="00213527"/>
    <w:rsid w:val="002136CF"/>
    <w:rsid w:val="00213F58"/>
    <w:rsid w:val="00214D67"/>
    <w:rsid w:val="00215BA8"/>
    <w:rsid w:val="00215D39"/>
    <w:rsid w:val="00215D60"/>
    <w:rsid w:val="0021628F"/>
    <w:rsid w:val="0021760A"/>
    <w:rsid w:val="0021781B"/>
    <w:rsid w:val="00220A17"/>
    <w:rsid w:val="00220F1D"/>
    <w:rsid w:val="00222F43"/>
    <w:rsid w:val="00223D22"/>
    <w:rsid w:val="0022439D"/>
    <w:rsid w:val="00224875"/>
    <w:rsid w:val="002254BC"/>
    <w:rsid w:val="002260A5"/>
    <w:rsid w:val="00227D57"/>
    <w:rsid w:val="00227FDE"/>
    <w:rsid w:val="00230295"/>
    <w:rsid w:val="002312D2"/>
    <w:rsid w:val="00232275"/>
    <w:rsid w:val="00232986"/>
    <w:rsid w:val="00232EAF"/>
    <w:rsid w:val="00233634"/>
    <w:rsid w:val="00233A76"/>
    <w:rsid w:val="00233E1C"/>
    <w:rsid w:val="00234979"/>
    <w:rsid w:val="0023529B"/>
    <w:rsid w:val="00235E04"/>
    <w:rsid w:val="0023712B"/>
    <w:rsid w:val="002374A4"/>
    <w:rsid w:val="00243C9D"/>
    <w:rsid w:val="00246105"/>
    <w:rsid w:val="002513B2"/>
    <w:rsid w:val="00252257"/>
    <w:rsid w:val="00253A2A"/>
    <w:rsid w:val="002557B5"/>
    <w:rsid w:val="00257F0B"/>
    <w:rsid w:val="00260F54"/>
    <w:rsid w:val="002613D4"/>
    <w:rsid w:val="002622A3"/>
    <w:rsid w:val="0026273A"/>
    <w:rsid w:val="00262B5C"/>
    <w:rsid w:val="002643B6"/>
    <w:rsid w:val="00264D2D"/>
    <w:rsid w:val="002661A3"/>
    <w:rsid w:val="00270E6A"/>
    <w:rsid w:val="002717A8"/>
    <w:rsid w:val="00273098"/>
    <w:rsid w:val="0027504F"/>
    <w:rsid w:val="0027556D"/>
    <w:rsid w:val="00276075"/>
    <w:rsid w:val="00277781"/>
    <w:rsid w:val="002779C4"/>
    <w:rsid w:val="00277B89"/>
    <w:rsid w:val="00277D15"/>
    <w:rsid w:val="002801AF"/>
    <w:rsid w:val="00281D54"/>
    <w:rsid w:val="002827B8"/>
    <w:rsid w:val="002830F6"/>
    <w:rsid w:val="00283FB0"/>
    <w:rsid w:val="00284543"/>
    <w:rsid w:val="00285615"/>
    <w:rsid w:val="00285C36"/>
    <w:rsid w:val="00286727"/>
    <w:rsid w:val="00286929"/>
    <w:rsid w:val="00286AE8"/>
    <w:rsid w:val="00286E60"/>
    <w:rsid w:val="002871D3"/>
    <w:rsid w:val="002873F6"/>
    <w:rsid w:val="002931A6"/>
    <w:rsid w:val="0029391C"/>
    <w:rsid w:val="00294BE9"/>
    <w:rsid w:val="002957A5"/>
    <w:rsid w:val="00297693"/>
    <w:rsid w:val="00297CDD"/>
    <w:rsid w:val="00297D59"/>
    <w:rsid w:val="002A143C"/>
    <w:rsid w:val="002A2D84"/>
    <w:rsid w:val="002A3640"/>
    <w:rsid w:val="002A6683"/>
    <w:rsid w:val="002B039D"/>
    <w:rsid w:val="002B0578"/>
    <w:rsid w:val="002B16AC"/>
    <w:rsid w:val="002B47E8"/>
    <w:rsid w:val="002B49C0"/>
    <w:rsid w:val="002B4C6E"/>
    <w:rsid w:val="002B5C64"/>
    <w:rsid w:val="002B6299"/>
    <w:rsid w:val="002B636E"/>
    <w:rsid w:val="002B667C"/>
    <w:rsid w:val="002B740C"/>
    <w:rsid w:val="002B7FC5"/>
    <w:rsid w:val="002C04DC"/>
    <w:rsid w:val="002C507D"/>
    <w:rsid w:val="002C5123"/>
    <w:rsid w:val="002C7344"/>
    <w:rsid w:val="002D10B8"/>
    <w:rsid w:val="002D2F8D"/>
    <w:rsid w:val="002D354D"/>
    <w:rsid w:val="002D58A3"/>
    <w:rsid w:val="002D6A12"/>
    <w:rsid w:val="002E004A"/>
    <w:rsid w:val="002E0C82"/>
    <w:rsid w:val="002E2C05"/>
    <w:rsid w:val="002E3125"/>
    <w:rsid w:val="002E40D5"/>
    <w:rsid w:val="002E7528"/>
    <w:rsid w:val="002E79D1"/>
    <w:rsid w:val="002F06A1"/>
    <w:rsid w:val="002F11A5"/>
    <w:rsid w:val="002F1D2B"/>
    <w:rsid w:val="002F1F08"/>
    <w:rsid w:val="002F22FB"/>
    <w:rsid w:val="002F27ED"/>
    <w:rsid w:val="002F2B2D"/>
    <w:rsid w:val="002F4C71"/>
    <w:rsid w:val="002F4E51"/>
    <w:rsid w:val="002F5F22"/>
    <w:rsid w:val="002F644B"/>
    <w:rsid w:val="0030165B"/>
    <w:rsid w:val="003038F7"/>
    <w:rsid w:val="00305B90"/>
    <w:rsid w:val="00305D67"/>
    <w:rsid w:val="0031024F"/>
    <w:rsid w:val="003105A6"/>
    <w:rsid w:val="00310BA9"/>
    <w:rsid w:val="003113BA"/>
    <w:rsid w:val="00311E98"/>
    <w:rsid w:val="00311F39"/>
    <w:rsid w:val="00314ABD"/>
    <w:rsid w:val="003155B0"/>
    <w:rsid w:val="00316040"/>
    <w:rsid w:val="0031641A"/>
    <w:rsid w:val="003172AE"/>
    <w:rsid w:val="0031768B"/>
    <w:rsid w:val="00321B0C"/>
    <w:rsid w:val="00322506"/>
    <w:rsid w:val="00324682"/>
    <w:rsid w:val="00326405"/>
    <w:rsid w:val="00330C11"/>
    <w:rsid w:val="0033119E"/>
    <w:rsid w:val="00331C8F"/>
    <w:rsid w:val="00332E5D"/>
    <w:rsid w:val="00333149"/>
    <w:rsid w:val="003339F8"/>
    <w:rsid w:val="003351E7"/>
    <w:rsid w:val="0033641F"/>
    <w:rsid w:val="00337230"/>
    <w:rsid w:val="00340945"/>
    <w:rsid w:val="003439C6"/>
    <w:rsid w:val="003448BB"/>
    <w:rsid w:val="00347F2D"/>
    <w:rsid w:val="00350E7F"/>
    <w:rsid w:val="00351494"/>
    <w:rsid w:val="00351D9D"/>
    <w:rsid w:val="003562E3"/>
    <w:rsid w:val="003601B5"/>
    <w:rsid w:val="0036251E"/>
    <w:rsid w:val="0036291B"/>
    <w:rsid w:val="00362A1F"/>
    <w:rsid w:val="00364D82"/>
    <w:rsid w:val="00364DAF"/>
    <w:rsid w:val="003652AB"/>
    <w:rsid w:val="00365C95"/>
    <w:rsid w:val="0037222D"/>
    <w:rsid w:val="0037266D"/>
    <w:rsid w:val="00372754"/>
    <w:rsid w:val="00372FE9"/>
    <w:rsid w:val="00375ABF"/>
    <w:rsid w:val="00380694"/>
    <w:rsid w:val="0038404E"/>
    <w:rsid w:val="0038421D"/>
    <w:rsid w:val="00385570"/>
    <w:rsid w:val="00385D64"/>
    <w:rsid w:val="00385F1E"/>
    <w:rsid w:val="00386D13"/>
    <w:rsid w:val="00386DD1"/>
    <w:rsid w:val="00390E21"/>
    <w:rsid w:val="00391333"/>
    <w:rsid w:val="003921B3"/>
    <w:rsid w:val="00393FB0"/>
    <w:rsid w:val="00397EF0"/>
    <w:rsid w:val="003A0733"/>
    <w:rsid w:val="003A0933"/>
    <w:rsid w:val="003A226F"/>
    <w:rsid w:val="003A27D6"/>
    <w:rsid w:val="003A28B5"/>
    <w:rsid w:val="003A3410"/>
    <w:rsid w:val="003A3F90"/>
    <w:rsid w:val="003A42C5"/>
    <w:rsid w:val="003A55E5"/>
    <w:rsid w:val="003A60EF"/>
    <w:rsid w:val="003A756A"/>
    <w:rsid w:val="003A7575"/>
    <w:rsid w:val="003B1475"/>
    <w:rsid w:val="003B1685"/>
    <w:rsid w:val="003B4DBE"/>
    <w:rsid w:val="003B6819"/>
    <w:rsid w:val="003C06B4"/>
    <w:rsid w:val="003C2F58"/>
    <w:rsid w:val="003C4420"/>
    <w:rsid w:val="003C498E"/>
    <w:rsid w:val="003C66BA"/>
    <w:rsid w:val="003C6820"/>
    <w:rsid w:val="003C7454"/>
    <w:rsid w:val="003D0C67"/>
    <w:rsid w:val="003D2A50"/>
    <w:rsid w:val="003D4C49"/>
    <w:rsid w:val="003D5E20"/>
    <w:rsid w:val="003D64F0"/>
    <w:rsid w:val="003E142C"/>
    <w:rsid w:val="003E373C"/>
    <w:rsid w:val="003E3CBE"/>
    <w:rsid w:val="003E4F3F"/>
    <w:rsid w:val="003E513F"/>
    <w:rsid w:val="003E5A8F"/>
    <w:rsid w:val="003E79CA"/>
    <w:rsid w:val="003F1268"/>
    <w:rsid w:val="003F34E3"/>
    <w:rsid w:val="003F3805"/>
    <w:rsid w:val="003F5C58"/>
    <w:rsid w:val="003F694A"/>
    <w:rsid w:val="003F6BB6"/>
    <w:rsid w:val="004014D8"/>
    <w:rsid w:val="00401C04"/>
    <w:rsid w:val="00401FF5"/>
    <w:rsid w:val="004029D4"/>
    <w:rsid w:val="0040301D"/>
    <w:rsid w:val="00404326"/>
    <w:rsid w:val="0040629E"/>
    <w:rsid w:val="004110DA"/>
    <w:rsid w:val="00411254"/>
    <w:rsid w:val="00411A12"/>
    <w:rsid w:val="00411BB0"/>
    <w:rsid w:val="00413CBC"/>
    <w:rsid w:val="004148F4"/>
    <w:rsid w:val="00416673"/>
    <w:rsid w:val="00416F8F"/>
    <w:rsid w:val="00417070"/>
    <w:rsid w:val="00417449"/>
    <w:rsid w:val="00421FDA"/>
    <w:rsid w:val="00422782"/>
    <w:rsid w:val="00426CC8"/>
    <w:rsid w:val="004337E7"/>
    <w:rsid w:val="00434CAE"/>
    <w:rsid w:val="00441CED"/>
    <w:rsid w:val="004421BF"/>
    <w:rsid w:val="00444EF5"/>
    <w:rsid w:val="00444F3E"/>
    <w:rsid w:val="00446C20"/>
    <w:rsid w:val="00446FA1"/>
    <w:rsid w:val="004474AA"/>
    <w:rsid w:val="004479C7"/>
    <w:rsid w:val="00451178"/>
    <w:rsid w:val="00452F1E"/>
    <w:rsid w:val="00454348"/>
    <w:rsid w:val="004552C8"/>
    <w:rsid w:val="0045557E"/>
    <w:rsid w:val="0045725C"/>
    <w:rsid w:val="0045772A"/>
    <w:rsid w:val="004579D2"/>
    <w:rsid w:val="00461547"/>
    <w:rsid w:val="00461817"/>
    <w:rsid w:val="00462712"/>
    <w:rsid w:val="004628F1"/>
    <w:rsid w:val="00465374"/>
    <w:rsid w:val="00465B0B"/>
    <w:rsid w:val="004702D8"/>
    <w:rsid w:val="00471BAE"/>
    <w:rsid w:val="00474E67"/>
    <w:rsid w:val="004768AE"/>
    <w:rsid w:val="00481935"/>
    <w:rsid w:val="00481D39"/>
    <w:rsid w:val="00482A6C"/>
    <w:rsid w:val="00483769"/>
    <w:rsid w:val="0048447F"/>
    <w:rsid w:val="00484813"/>
    <w:rsid w:val="00486101"/>
    <w:rsid w:val="0048678A"/>
    <w:rsid w:val="00486E77"/>
    <w:rsid w:val="0049166B"/>
    <w:rsid w:val="0049188B"/>
    <w:rsid w:val="004918BA"/>
    <w:rsid w:val="004923BF"/>
    <w:rsid w:val="00492D35"/>
    <w:rsid w:val="004946D6"/>
    <w:rsid w:val="004949D8"/>
    <w:rsid w:val="00494B1E"/>
    <w:rsid w:val="00495562"/>
    <w:rsid w:val="00496743"/>
    <w:rsid w:val="004A033E"/>
    <w:rsid w:val="004A09AC"/>
    <w:rsid w:val="004A1876"/>
    <w:rsid w:val="004A2BF2"/>
    <w:rsid w:val="004A372A"/>
    <w:rsid w:val="004A5148"/>
    <w:rsid w:val="004A71A8"/>
    <w:rsid w:val="004B007F"/>
    <w:rsid w:val="004B2F1F"/>
    <w:rsid w:val="004B366A"/>
    <w:rsid w:val="004B4DB2"/>
    <w:rsid w:val="004B6FAF"/>
    <w:rsid w:val="004C0487"/>
    <w:rsid w:val="004C2404"/>
    <w:rsid w:val="004C34CB"/>
    <w:rsid w:val="004C38C7"/>
    <w:rsid w:val="004C4885"/>
    <w:rsid w:val="004C7621"/>
    <w:rsid w:val="004D13D8"/>
    <w:rsid w:val="004D1BBF"/>
    <w:rsid w:val="004D3CB5"/>
    <w:rsid w:val="004D5DBA"/>
    <w:rsid w:val="004D620A"/>
    <w:rsid w:val="004D709A"/>
    <w:rsid w:val="004D7318"/>
    <w:rsid w:val="004D7BCD"/>
    <w:rsid w:val="004D7DC9"/>
    <w:rsid w:val="004E0BCD"/>
    <w:rsid w:val="004E1654"/>
    <w:rsid w:val="004E1B80"/>
    <w:rsid w:val="004E3B8F"/>
    <w:rsid w:val="004E45C8"/>
    <w:rsid w:val="004E5774"/>
    <w:rsid w:val="004E5B4E"/>
    <w:rsid w:val="004E6078"/>
    <w:rsid w:val="004E7DFD"/>
    <w:rsid w:val="004F121D"/>
    <w:rsid w:val="004F1778"/>
    <w:rsid w:val="004F3929"/>
    <w:rsid w:val="004F5E05"/>
    <w:rsid w:val="004F695A"/>
    <w:rsid w:val="005002A7"/>
    <w:rsid w:val="00500EFC"/>
    <w:rsid w:val="00500F39"/>
    <w:rsid w:val="005029AD"/>
    <w:rsid w:val="00503D21"/>
    <w:rsid w:val="0050473C"/>
    <w:rsid w:val="00505557"/>
    <w:rsid w:val="00510982"/>
    <w:rsid w:val="00511A3F"/>
    <w:rsid w:val="0051249A"/>
    <w:rsid w:val="00512D89"/>
    <w:rsid w:val="00513751"/>
    <w:rsid w:val="005137E8"/>
    <w:rsid w:val="0051578D"/>
    <w:rsid w:val="005179E5"/>
    <w:rsid w:val="00520F05"/>
    <w:rsid w:val="00521028"/>
    <w:rsid w:val="0052151D"/>
    <w:rsid w:val="00524082"/>
    <w:rsid w:val="00526E01"/>
    <w:rsid w:val="0053005A"/>
    <w:rsid w:val="00531E52"/>
    <w:rsid w:val="00533859"/>
    <w:rsid w:val="00535344"/>
    <w:rsid w:val="00535E05"/>
    <w:rsid w:val="00535FB7"/>
    <w:rsid w:val="00536A64"/>
    <w:rsid w:val="00537820"/>
    <w:rsid w:val="00537AE3"/>
    <w:rsid w:val="00541F39"/>
    <w:rsid w:val="0054246D"/>
    <w:rsid w:val="0054526D"/>
    <w:rsid w:val="005458AA"/>
    <w:rsid w:val="00545CE3"/>
    <w:rsid w:val="005469AD"/>
    <w:rsid w:val="0054799E"/>
    <w:rsid w:val="00550EAC"/>
    <w:rsid w:val="00551141"/>
    <w:rsid w:val="00551628"/>
    <w:rsid w:val="00551881"/>
    <w:rsid w:val="00552A19"/>
    <w:rsid w:val="00553F23"/>
    <w:rsid w:val="005558CE"/>
    <w:rsid w:val="00556A07"/>
    <w:rsid w:val="0056175E"/>
    <w:rsid w:val="00562952"/>
    <w:rsid w:val="005636AC"/>
    <w:rsid w:val="00566DB6"/>
    <w:rsid w:val="00570351"/>
    <w:rsid w:val="0057175D"/>
    <w:rsid w:val="0057195B"/>
    <w:rsid w:val="00575F0D"/>
    <w:rsid w:val="00576D2C"/>
    <w:rsid w:val="005831C9"/>
    <w:rsid w:val="0058364B"/>
    <w:rsid w:val="00587584"/>
    <w:rsid w:val="00590DFA"/>
    <w:rsid w:val="005924EB"/>
    <w:rsid w:val="005928CC"/>
    <w:rsid w:val="00593228"/>
    <w:rsid w:val="005949F2"/>
    <w:rsid w:val="00595B9D"/>
    <w:rsid w:val="005976D7"/>
    <w:rsid w:val="00597E4D"/>
    <w:rsid w:val="005A00B7"/>
    <w:rsid w:val="005A0F92"/>
    <w:rsid w:val="005A30DD"/>
    <w:rsid w:val="005A3659"/>
    <w:rsid w:val="005A3ED4"/>
    <w:rsid w:val="005A4BF9"/>
    <w:rsid w:val="005A4DED"/>
    <w:rsid w:val="005B0299"/>
    <w:rsid w:val="005B0D49"/>
    <w:rsid w:val="005B200B"/>
    <w:rsid w:val="005B2E2D"/>
    <w:rsid w:val="005B3009"/>
    <w:rsid w:val="005B326E"/>
    <w:rsid w:val="005B37B5"/>
    <w:rsid w:val="005B430B"/>
    <w:rsid w:val="005B509E"/>
    <w:rsid w:val="005B5654"/>
    <w:rsid w:val="005B6CE6"/>
    <w:rsid w:val="005B6E0E"/>
    <w:rsid w:val="005C14DE"/>
    <w:rsid w:val="005C1E91"/>
    <w:rsid w:val="005C24FF"/>
    <w:rsid w:val="005C277D"/>
    <w:rsid w:val="005C417A"/>
    <w:rsid w:val="005C4F9E"/>
    <w:rsid w:val="005C515A"/>
    <w:rsid w:val="005D1245"/>
    <w:rsid w:val="005D52F1"/>
    <w:rsid w:val="005D57DC"/>
    <w:rsid w:val="005D6559"/>
    <w:rsid w:val="005D7160"/>
    <w:rsid w:val="005E1E43"/>
    <w:rsid w:val="005E32EC"/>
    <w:rsid w:val="005E3889"/>
    <w:rsid w:val="005E4FC7"/>
    <w:rsid w:val="005E7323"/>
    <w:rsid w:val="005F002D"/>
    <w:rsid w:val="005F07F7"/>
    <w:rsid w:val="005F0C04"/>
    <w:rsid w:val="005F1F9E"/>
    <w:rsid w:val="005F28C4"/>
    <w:rsid w:val="005F4895"/>
    <w:rsid w:val="005F4CD2"/>
    <w:rsid w:val="005F5D91"/>
    <w:rsid w:val="005F5E6A"/>
    <w:rsid w:val="005F7A15"/>
    <w:rsid w:val="00600969"/>
    <w:rsid w:val="006009E7"/>
    <w:rsid w:val="00602C3D"/>
    <w:rsid w:val="006044B3"/>
    <w:rsid w:val="00606D54"/>
    <w:rsid w:val="00607528"/>
    <w:rsid w:val="00610093"/>
    <w:rsid w:val="006101B7"/>
    <w:rsid w:val="006123D2"/>
    <w:rsid w:val="00613B22"/>
    <w:rsid w:val="00614142"/>
    <w:rsid w:val="00615310"/>
    <w:rsid w:val="006177EB"/>
    <w:rsid w:val="00620249"/>
    <w:rsid w:val="0062053C"/>
    <w:rsid w:val="006212CC"/>
    <w:rsid w:val="0062186B"/>
    <w:rsid w:val="00621CB7"/>
    <w:rsid w:val="00622195"/>
    <w:rsid w:val="006225DF"/>
    <w:rsid w:val="00622D58"/>
    <w:rsid w:val="006233D1"/>
    <w:rsid w:val="00623616"/>
    <w:rsid w:val="0062382B"/>
    <w:rsid w:val="00623FCD"/>
    <w:rsid w:val="006243DB"/>
    <w:rsid w:val="00624E22"/>
    <w:rsid w:val="00624E9B"/>
    <w:rsid w:val="006259F1"/>
    <w:rsid w:val="00625F1C"/>
    <w:rsid w:val="00626194"/>
    <w:rsid w:val="00626B52"/>
    <w:rsid w:val="006272DC"/>
    <w:rsid w:val="006274F6"/>
    <w:rsid w:val="00627BB5"/>
    <w:rsid w:val="00632282"/>
    <w:rsid w:val="00632681"/>
    <w:rsid w:val="00632875"/>
    <w:rsid w:val="00632A3A"/>
    <w:rsid w:val="00636F58"/>
    <w:rsid w:val="00637089"/>
    <w:rsid w:val="00640784"/>
    <w:rsid w:val="0064187F"/>
    <w:rsid w:val="00646BBF"/>
    <w:rsid w:val="00647BCE"/>
    <w:rsid w:val="006512EA"/>
    <w:rsid w:val="0065193E"/>
    <w:rsid w:val="006530B8"/>
    <w:rsid w:val="00653283"/>
    <w:rsid w:val="006547C2"/>
    <w:rsid w:val="006548A6"/>
    <w:rsid w:val="006603C0"/>
    <w:rsid w:val="00661AFD"/>
    <w:rsid w:val="0066352C"/>
    <w:rsid w:val="00664164"/>
    <w:rsid w:val="00664750"/>
    <w:rsid w:val="0066562E"/>
    <w:rsid w:val="00666BB5"/>
    <w:rsid w:val="00667BC0"/>
    <w:rsid w:val="0067446E"/>
    <w:rsid w:val="006750C5"/>
    <w:rsid w:val="0067522E"/>
    <w:rsid w:val="00675B6C"/>
    <w:rsid w:val="00677F05"/>
    <w:rsid w:val="00680C60"/>
    <w:rsid w:val="00682D69"/>
    <w:rsid w:val="00684098"/>
    <w:rsid w:val="00684450"/>
    <w:rsid w:val="006941E4"/>
    <w:rsid w:val="006948E0"/>
    <w:rsid w:val="00695A3B"/>
    <w:rsid w:val="00696470"/>
    <w:rsid w:val="006964AB"/>
    <w:rsid w:val="00697A01"/>
    <w:rsid w:val="006A03C6"/>
    <w:rsid w:val="006A25AA"/>
    <w:rsid w:val="006A404D"/>
    <w:rsid w:val="006A4498"/>
    <w:rsid w:val="006A4634"/>
    <w:rsid w:val="006B023E"/>
    <w:rsid w:val="006B13A6"/>
    <w:rsid w:val="006B21AB"/>
    <w:rsid w:val="006B2AB3"/>
    <w:rsid w:val="006B5425"/>
    <w:rsid w:val="006B5EA3"/>
    <w:rsid w:val="006B72D1"/>
    <w:rsid w:val="006C251F"/>
    <w:rsid w:val="006C2BD6"/>
    <w:rsid w:val="006C3372"/>
    <w:rsid w:val="006C39F4"/>
    <w:rsid w:val="006C3D3A"/>
    <w:rsid w:val="006C46CA"/>
    <w:rsid w:val="006C5F5A"/>
    <w:rsid w:val="006C5FD7"/>
    <w:rsid w:val="006D1D6E"/>
    <w:rsid w:val="006D2AC4"/>
    <w:rsid w:val="006D3671"/>
    <w:rsid w:val="006D3D5C"/>
    <w:rsid w:val="006D7AB1"/>
    <w:rsid w:val="006E0352"/>
    <w:rsid w:val="006E0E18"/>
    <w:rsid w:val="006E12F4"/>
    <w:rsid w:val="006E132C"/>
    <w:rsid w:val="006E28EA"/>
    <w:rsid w:val="006E2BBA"/>
    <w:rsid w:val="006E2D98"/>
    <w:rsid w:val="006E4868"/>
    <w:rsid w:val="006E73EB"/>
    <w:rsid w:val="006F08CE"/>
    <w:rsid w:val="006F0D2F"/>
    <w:rsid w:val="006F16D2"/>
    <w:rsid w:val="006F231D"/>
    <w:rsid w:val="006F3669"/>
    <w:rsid w:val="006F3707"/>
    <w:rsid w:val="006F40F8"/>
    <w:rsid w:val="006F4549"/>
    <w:rsid w:val="006F49EF"/>
    <w:rsid w:val="006F4C37"/>
    <w:rsid w:val="006F51A3"/>
    <w:rsid w:val="006F51E1"/>
    <w:rsid w:val="006F5B5B"/>
    <w:rsid w:val="006F7CC5"/>
    <w:rsid w:val="00700141"/>
    <w:rsid w:val="007029D8"/>
    <w:rsid w:val="0070331A"/>
    <w:rsid w:val="0070574A"/>
    <w:rsid w:val="00705D50"/>
    <w:rsid w:val="00706B45"/>
    <w:rsid w:val="0070743B"/>
    <w:rsid w:val="00707D60"/>
    <w:rsid w:val="00710E28"/>
    <w:rsid w:val="007120C0"/>
    <w:rsid w:val="0071248C"/>
    <w:rsid w:val="007128A8"/>
    <w:rsid w:val="00713121"/>
    <w:rsid w:val="00713CE3"/>
    <w:rsid w:val="00715859"/>
    <w:rsid w:val="00715C14"/>
    <w:rsid w:val="00720D34"/>
    <w:rsid w:val="00721E8D"/>
    <w:rsid w:val="007231A8"/>
    <w:rsid w:val="0072359D"/>
    <w:rsid w:val="00725600"/>
    <w:rsid w:val="0072563A"/>
    <w:rsid w:val="00725991"/>
    <w:rsid w:val="00725B37"/>
    <w:rsid w:val="00726F42"/>
    <w:rsid w:val="00727149"/>
    <w:rsid w:val="00733538"/>
    <w:rsid w:val="00733C7C"/>
    <w:rsid w:val="00733D4F"/>
    <w:rsid w:val="0073552D"/>
    <w:rsid w:val="0074118C"/>
    <w:rsid w:val="00742A45"/>
    <w:rsid w:val="00743179"/>
    <w:rsid w:val="00743F02"/>
    <w:rsid w:val="00745B2E"/>
    <w:rsid w:val="007464DC"/>
    <w:rsid w:val="00746D37"/>
    <w:rsid w:val="00747E5D"/>
    <w:rsid w:val="0075005D"/>
    <w:rsid w:val="00750F38"/>
    <w:rsid w:val="007510C9"/>
    <w:rsid w:val="007513F4"/>
    <w:rsid w:val="00751E7E"/>
    <w:rsid w:val="00752151"/>
    <w:rsid w:val="0075246B"/>
    <w:rsid w:val="00752641"/>
    <w:rsid w:val="00753C0F"/>
    <w:rsid w:val="00753D02"/>
    <w:rsid w:val="007545C0"/>
    <w:rsid w:val="0075502B"/>
    <w:rsid w:val="007559C4"/>
    <w:rsid w:val="00756C3B"/>
    <w:rsid w:val="00757589"/>
    <w:rsid w:val="00760E9E"/>
    <w:rsid w:val="00761DE4"/>
    <w:rsid w:val="00762BC0"/>
    <w:rsid w:val="00763DCA"/>
    <w:rsid w:val="007664F7"/>
    <w:rsid w:val="0076761E"/>
    <w:rsid w:val="0077087D"/>
    <w:rsid w:val="00770EDE"/>
    <w:rsid w:val="007769DE"/>
    <w:rsid w:val="00776EF6"/>
    <w:rsid w:val="007823ED"/>
    <w:rsid w:val="00784DE7"/>
    <w:rsid w:val="00785027"/>
    <w:rsid w:val="0078580F"/>
    <w:rsid w:val="0079136D"/>
    <w:rsid w:val="007936BC"/>
    <w:rsid w:val="0079453E"/>
    <w:rsid w:val="00795A03"/>
    <w:rsid w:val="00796E0D"/>
    <w:rsid w:val="00796FBB"/>
    <w:rsid w:val="00797EA4"/>
    <w:rsid w:val="007A055F"/>
    <w:rsid w:val="007A1E26"/>
    <w:rsid w:val="007A2E71"/>
    <w:rsid w:val="007A5EDC"/>
    <w:rsid w:val="007A7237"/>
    <w:rsid w:val="007B0110"/>
    <w:rsid w:val="007B11F8"/>
    <w:rsid w:val="007B2D57"/>
    <w:rsid w:val="007B3098"/>
    <w:rsid w:val="007B5BDB"/>
    <w:rsid w:val="007B5BF0"/>
    <w:rsid w:val="007B6325"/>
    <w:rsid w:val="007B71FE"/>
    <w:rsid w:val="007B7C68"/>
    <w:rsid w:val="007C0C67"/>
    <w:rsid w:val="007C109A"/>
    <w:rsid w:val="007C2558"/>
    <w:rsid w:val="007C482A"/>
    <w:rsid w:val="007C4E13"/>
    <w:rsid w:val="007C5328"/>
    <w:rsid w:val="007C6017"/>
    <w:rsid w:val="007C752C"/>
    <w:rsid w:val="007D4703"/>
    <w:rsid w:val="007D53AF"/>
    <w:rsid w:val="007D53B8"/>
    <w:rsid w:val="007D5737"/>
    <w:rsid w:val="007E1F74"/>
    <w:rsid w:val="007E234F"/>
    <w:rsid w:val="007E26ED"/>
    <w:rsid w:val="007E38D3"/>
    <w:rsid w:val="007E4081"/>
    <w:rsid w:val="007E54D9"/>
    <w:rsid w:val="007E5807"/>
    <w:rsid w:val="007E5A32"/>
    <w:rsid w:val="007E605B"/>
    <w:rsid w:val="007E68EA"/>
    <w:rsid w:val="007E72EF"/>
    <w:rsid w:val="007E79BA"/>
    <w:rsid w:val="007E7C07"/>
    <w:rsid w:val="007F1B16"/>
    <w:rsid w:val="007F27F1"/>
    <w:rsid w:val="007F2966"/>
    <w:rsid w:val="007F3765"/>
    <w:rsid w:val="007F3EBC"/>
    <w:rsid w:val="007F4989"/>
    <w:rsid w:val="007F519E"/>
    <w:rsid w:val="007F61B3"/>
    <w:rsid w:val="007F653C"/>
    <w:rsid w:val="007F6564"/>
    <w:rsid w:val="00800F79"/>
    <w:rsid w:val="00801122"/>
    <w:rsid w:val="00802119"/>
    <w:rsid w:val="008025AE"/>
    <w:rsid w:val="00806B90"/>
    <w:rsid w:val="00806DCE"/>
    <w:rsid w:val="00807819"/>
    <w:rsid w:val="0081453A"/>
    <w:rsid w:val="008152E0"/>
    <w:rsid w:val="00815575"/>
    <w:rsid w:val="00820044"/>
    <w:rsid w:val="00820767"/>
    <w:rsid w:val="00822E80"/>
    <w:rsid w:val="00823339"/>
    <w:rsid w:val="0082427E"/>
    <w:rsid w:val="00824C0D"/>
    <w:rsid w:val="008251ED"/>
    <w:rsid w:val="008257BA"/>
    <w:rsid w:val="00825E5A"/>
    <w:rsid w:val="0083022B"/>
    <w:rsid w:val="0083031E"/>
    <w:rsid w:val="00830FEC"/>
    <w:rsid w:val="00832FF1"/>
    <w:rsid w:val="00833330"/>
    <w:rsid w:val="00835813"/>
    <w:rsid w:val="008366E7"/>
    <w:rsid w:val="0083740C"/>
    <w:rsid w:val="00840CD5"/>
    <w:rsid w:val="00841CA4"/>
    <w:rsid w:val="00842224"/>
    <w:rsid w:val="00845515"/>
    <w:rsid w:val="00846958"/>
    <w:rsid w:val="00846CE9"/>
    <w:rsid w:val="008513F4"/>
    <w:rsid w:val="00851EBC"/>
    <w:rsid w:val="00852AE5"/>
    <w:rsid w:val="00852B91"/>
    <w:rsid w:val="00853E05"/>
    <w:rsid w:val="0085529C"/>
    <w:rsid w:val="00856552"/>
    <w:rsid w:val="00860410"/>
    <w:rsid w:val="0086063F"/>
    <w:rsid w:val="008609E6"/>
    <w:rsid w:val="00863B78"/>
    <w:rsid w:val="00865081"/>
    <w:rsid w:val="00865990"/>
    <w:rsid w:val="00865C80"/>
    <w:rsid w:val="00867CAC"/>
    <w:rsid w:val="00870045"/>
    <w:rsid w:val="00872055"/>
    <w:rsid w:val="00874F4F"/>
    <w:rsid w:val="00875F21"/>
    <w:rsid w:val="00880B2F"/>
    <w:rsid w:val="008812DA"/>
    <w:rsid w:val="00881642"/>
    <w:rsid w:val="00881BE0"/>
    <w:rsid w:val="00882B91"/>
    <w:rsid w:val="00883364"/>
    <w:rsid w:val="00885FB0"/>
    <w:rsid w:val="00887A1A"/>
    <w:rsid w:val="00891158"/>
    <w:rsid w:val="00891814"/>
    <w:rsid w:val="0089469C"/>
    <w:rsid w:val="008954C1"/>
    <w:rsid w:val="008A0703"/>
    <w:rsid w:val="008A1FAA"/>
    <w:rsid w:val="008A26FC"/>
    <w:rsid w:val="008A302C"/>
    <w:rsid w:val="008A38D8"/>
    <w:rsid w:val="008A4F12"/>
    <w:rsid w:val="008A6CB5"/>
    <w:rsid w:val="008A6F6E"/>
    <w:rsid w:val="008A7397"/>
    <w:rsid w:val="008B017A"/>
    <w:rsid w:val="008B04FC"/>
    <w:rsid w:val="008B192F"/>
    <w:rsid w:val="008B1BC5"/>
    <w:rsid w:val="008B206C"/>
    <w:rsid w:val="008B6089"/>
    <w:rsid w:val="008B64EF"/>
    <w:rsid w:val="008B7361"/>
    <w:rsid w:val="008C05DC"/>
    <w:rsid w:val="008C074D"/>
    <w:rsid w:val="008C32E7"/>
    <w:rsid w:val="008C4585"/>
    <w:rsid w:val="008C48E9"/>
    <w:rsid w:val="008C5298"/>
    <w:rsid w:val="008C5E93"/>
    <w:rsid w:val="008C7A02"/>
    <w:rsid w:val="008D1B99"/>
    <w:rsid w:val="008D3049"/>
    <w:rsid w:val="008D4CF4"/>
    <w:rsid w:val="008D4F73"/>
    <w:rsid w:val="008D6B28"/>
    <w:rsid w:val="008E4D3C"/>
    <w:rsid w:val="008E5271"/>
    <w:rsid w:val="008E5DE3"/>
    <w:rsid w:val="008E5F70"/>
    <w:rsid w:val="008E631D"/>
    <w:rsid w:val="008E72F2"/>
    <w:rsid w:val="008F00F3"/>
    <w:rsid w:val="008F028E"/>
    <w:rsid w:val="008F0316"/>
    <w:rsid w:val="008F185C"/>
    <w:rsid w:val="008F18CB"/>
    <w:rsid w:val="008F238A"/>
    <w:rsid w:val="008F30E9"/>
    <w:rsid w:val="008F3B62"/>
    <w:rsid w:val="008F3C23"/>
    <w:rsid w:val="008F4A0E"/>
    <w:rsid w:val="008F575E"/>
    <w:rsid w:val="008F6A42"/>
    <w:rsid w:val="008F7B8F"/>
    <w:rsid w:val="0090275E"/>
    <w:rsid w:val="009028F7"/>
    <w:rsid w:val="00902EE1"/>
    <w:rsid w:val="00904017"/>
    <w:rsid w:val="00904552"/>
    <w:rsid w:val="009058C0"/>
    <w:rsid w:val="00905B99"/>
    <w:rsid w:val="00905DBF"/>
    <w:rsid w:val="00906653"/>
    <w:rsid w:val="009066ED"/>
    <w:rsid w:val="00906AC0"/>
    <w:rsid w:val="00906EE3"/>
    <w:rsid w:val="00907C2E"/>
    <w:rsid w:val="009117D4"/>
    <w:rsid w:val="00911D91"/>
    <w:rsid w:val="00912457"/>
    <w:rsid w:val="00913446"/>
    <w:rsid w:val="00913600"/>
    <w:rsid w:val="009137B2"/>
    <w:rsid w:val="00913DFB"/>
    <w:rsid w:val="00913F4D"/>
    <w:rsid w:val="0091430E"/>
    <w:rsid w:val="009156E6"/>
    <w:rsid w:val="00920406"/>
    <w:rsid w:val="00921302"/>
    <w:rsid w:val="00921AD2"/>
    <w:rsid w:val="0092300C"/>
    <w:rsid w:val="00924067"/>
    <w:rsid w:val="0092453D"/>
    <w:rsid w:val="009254C2"/>
    <w:rsid w:val="0092715D"/>
    <w:rsid w:val="00927B35"/>
    <w:rsid w:val="00930F33"/>
    <w:rsid w:val="00931AE2"/>
    <w:rsid w:val="009335AF"/>
    <w:rsid w:val="00934890"/>
    <w:rsid w:val="00934E3A"/>
    <w:rsid w:val="009369B6"/>
    <w:rsid w:val="0093705E"/>
    <w:rsid w:val="00937A7C"/>
    <w:rsid w:val="009404CD"/>
    <w:rsid w:val="009406EB"/>
    <w:rsid w:val="00941F32"/>
    <w:rsid w:val="00941F43"/>
    <w:rsid w:val="0094597B"/>
    <w:rsid w:val="00945DAB"/>
    <w:rsid w:val="009532E7"/>
    <w:rsid w:val="00953A78"/>
    <w:rsid w:val="00953AE9"/>
    <w:rsid w:val="00953EE8"/>
    <w:rsid w:val="00953F00"/>
    <w:rsid w:val="00960A9B"/>
    <w:rsid w:val="00960E70"/>
    <w:rsid w:val="009610CC"/>
    <w:rsid w:val="00964668"/>
    <w:rsid w:val="00964AE8"/>
    <w:rsid w:val="00966245"/>
    <w:rsid w:val="009662A1"/>
    <w:rsid w:val="009662CB"/>
    <w:rsid w:val="00967106"/>
    <w:rsid w:val="00967325"/>
    <w:rsid w:val="00967FE7"/>
    <w:rsid w:val="00971000"/>
    <w:rsid w:val="00972437"/>
    <w:rsid w:val="00976527"/>
    <w:rsid w:val="00976BE8"/>
    <w:rsid w:val="00977DDD"/>
    <w:rsid w:val="00980D56"/>
    <w:rsid w:val="00980FF6"/>
    <w:rsid w:val="0098194D"/>
    <w:rsid w:val="009845F9"/>
    <w:rsid w:val="0098491E"/>
    <w:rsid w:val="009877F4"/>
    <w:rsid w:val="00987F54"/>
    <w:rsid w:val="0099050B"/>
    <w:rsid w:val="00991C75"/>
    <w:rsid w:val="00992546"/>
    <w:rsid w:val="00992638"/>
    <w:rsid w:val="0099278E"/>
    <w:rsid w:val="0099309A"/>
    <w:rsid w:val="00993624"/>
    <w:rsid w:val="00994525"/>
    <w:rsid w:val="00995A31"/>
    <w:rsid w:val="009A0116"/>
    <w:rsid w:val="009A03AE"/>
    <w:rsid w:val="009A1A49"/>
    <w:rsid w:val="009A2362"/>
    <w:rsid w:val="009A2405"/>
    <w:rsid w:val="009A4BD1"/>
    <w:rsid w:val="009A5C7C"/>
    <w:rsid w:val="009A751C"/>
    <w:rsid w:val="009B262B"/>
    <w:rsid w:val="009B30CE"/>
    <w:rsid w:val="009B4DB0"/>
    <w:rsid w:val="009B639E"/>
    <w:rsid w:val="009B7E0E"/>
    <w:rsid w:val="009C0693"/>
    <w:rsid w:val="009C0F48"/>
    <w:rsid w:val="009C22B6"/>
    <w:rsid w:val="009C4446"/>
    <w:rsid w:val="009C460C"/>
    <w:rsid w:val="009C472B"/>
    <w:rsid w:val="009C4D37"/>
    <w:rsid w:val="009C7825"/>
    <w:rsid w:val="009D0B45"/>
    <w:rsid w:val="009D46F6"/>
    <w:rsid w:val="009D4E15"/>
    <w:rsid w:val="009D70C0"/>
    <w:rsid w:val="009E10CE"/>
    <w:rsid w:val="009E27CB"/>
    <w:rsid w:val="009E2846"/>
    <w:rsid w:val="009E5479"/>
    <w:rsid w:val="009E61CA"/>
    <w:rsid w:val="009F2A8B"/>
    <w:rsid w:val="009F2DF3"/>
    <w:rsid w:val="009F3D12"/>
    <w:rsid w:val="009F56DE"/>
    <w:rsid w:val="009F681B"/>
    <w:rsid w:val="009F6D2E"/>
    <w:rsid w:val="009F7D4C"/>
    <w:rsid w:val="009F7E9D"/>
    <w:rsid w:val="00A00652"/>
    <w:rsid w:val="00A00F40"/>
    <w:rsid w:val="00A0666D"/>
    <w:rsid w:val="00A104E3"/>
    <w:rsid w:val="00A14249"/>
    <w:rsid w:val="00A14558"/>
    <w:rsid w:val="00A14703"/>
    <w:rsid w:val="00A15323"/>
    <w:rsid w:val="00A15D30"/>
    <w:rsid w:val="00A15F07"/>
    <w:rsid w:val="00A17579"/>
    <w:rsid w:val="00A176F9"/>
    <w:rsid w:val="00A178CE"/>
    <w:rsid w:val="00A20C1E"/>
    <w:rsid w:val="00A20CA8"/>
    <w:rsid w:val="00A21B77"/>
    <w:rsid w:val="00A25227"/>
    <w:rsid w:val="00A254BD"/>
    <w:rsid w:val="00A257B8"/>
    <w:rsid w:val="00A268B9"/>
    <w:rsid w:val="00A31CF4"/>
    <w:rsid w:val="00A31DD0"/>
    <w:rsid w:val="00A32585"/>
    <w:rsid w:val="00A32F59"/>
    <w:rsid w:val="00A3579F"/>
    <w:rsid w:val="00A35925"/>
    <w:rsid w:val="00A377CD"/>
    <w:rsid w:val="00A378B1"/>
    <w:rsid w:val="00A37D4C"/>
    <w:rsid w:val="00A41050"/>
    <w:rsid w:val="00A41A87"/>
    <w:rsid w:val="00A41B43"/>
    <w:rsid w:val="00A457EF"/>
    <w:rsid w:val="00A463F6"/>
    <w:rsid w:val="00A473FD"/>
    <w:rsid w:val="00A50243"/>
    <w:rsid w:val="00A528A0"/>
    <w:rsid w:val="00A545E0"/>
    <w:rsid w:val="00A56B36"/>
    <w:rsid w:val="00A56D91"/>
    <w:rsid w:val="00A576AD"/>
    <w:rsid w:val="00A60658"/>
    <w:rsid w:val="00A6224C"/>
    <w:rsid w:val="00A640F0"/>
    <w:rsid w:val="00A66C49"/>
    <w:rsid w:val="00A71AAF"/>
    <w:rsid w:val="00A72207"/>
    <w:rsid w:val="00A72871"/>
    <w:rsid w:val="00A74750"/>
    <w:rsid w:val="00A75196"/>
    <w:rsid w:val="00A755ED"/>
    <w:rsid w:val="00A766C5"/>
    <w:rsid w:val="00A83326"/>
    <w:rsid w:val="00A834BA"/>
    <w:rsid w:val="00A852BE"/>
    <w:rsid w:val="00A858D2"/>
    <w:rsid w:val="00A87027"/>
    <w:rsid w:val="00A90B90"/>
    <w:rsid w:val="00A9192E"/>
    <w:rsid w:val="00A93740"/>
    <w:rsid w:val="00A93AEE"/>
    <w:rsid w:val="00A95B0E"/>
    <w:rsid w:val="00A978F1"/>
    <w:rsid w:val="00A97B87"/>
    <w:rsid w:val="00A97BCE"/>
    <w:rsid w:val="00AA1306"/>
    <w:rsid w:val="00AA4029"/>
    <w:rsid w:val="00AA5196"/>
    <w:rsid w:val="00AA5198"/>
    <w:rsid w:val="00AB1E5B"/>
    <w:rsid w:val="00AB2F69"/>
    <w:rsid w:val="00AB3E50"/>
    <w:rsid w:val="00AB5FB8"/>
    <w:rsid w:val="00AB725D"/>
    <w:rsid w:val="00AB7AF6"/>
    <w:rsid w:val="00AC20FE"/>
    <w:rsid w:val="00AC22B9"/>
    <w:rsid w:val="00AC2C4F"/>
    <w:rsid w:val="00AC3D4F"/>
    <w:rsid w:val="00AC6786"/>
    <w:rsid w:val="00AC6791"/>
    <w:rsid w:val="00AD05B8"/>
    <w:rsid w:val="00AD11EF"/>
    <w:rsid w:val="00AD13B0"/>
    <w:rsid w:val="00AD1EEC"/>
    <w:rsid w:val="00AD2E88"/>
    <w:rsid w:val="00AD3957"/>
    <w:rsid w:val="00AD743A"/>
    <w:rsid w:val="00AE11C3"/>
    <w:rsid w:val="00AE247C"/>
    <w:rsid w:val="00AE295F"/>
    <w:rsid w:val="00AE2A80"/>
    <w:rsid w:val="00AE3503"/>
    <w:rsid w:val="00AE370E"/>
    <w:rsid w:val="00AE6511"/>
    <w:rsid w:val="00AE758F"/>
    <w:rsid w:val="00AE7623"/>
    <w:rsid w:val="00AE76DF"/>
    <w:rsid w:val="00AF05A6"/>
    <w:rsid w:val="00AF078B"/>
    <w:rsid w:val="00AF0E75"/>
    <w:rsid w:val="00AF14FD"/>
    <w:rsid w:val="00AF461B"/>
    <w:rsid w:val="00AF4839"/>
    <w:rsid w:val="00AF568D"/>
    <w:rsid w:val="00AF659B"/>
    <w:rsid w:val="00B010E3"/>
    <w:rsid w:val="00B0129B"/>
    <w:rsid w:val="00B01B56"/>
    <w:rsid w:val="00B03737"/>
    <w:rsid w:val="00B0683E"/>
    <w:rsid w:val="00B07E0D"/>
    <w:rsid w:val="00B10529"/>
    <w:rsid w:val="00B116CC"/>
    <w:rsid w:val="00B1361F"/>
    <w:rsid w:val="00B16F50"/>
    <w:rsid w:val="00B177C3"/>
    <w:rsid w:val="00B22B8C"/>
    <w:rsid w:val="00B30625"/>
    <w:rsid w:val="00B35565"/>
    <w:rsid w:val="00B3642B"/>
    <w:rsid w:val="00B37A08"/>
    <w:rsid w:val="00B404F9"/>
    <w:rsid w:val="00B405C0"/>
    <w:rsid w:val="00B42E90"/>
    <w:rsid w:val="00B4462A"/>
    <w:rsid w:val="00B45371"/>
    <w:rsid w:val="00B45AD6"/>
    <w:rsid w:val="00B50FE4"/>
    <w:rsid w:val="00B5194C"/>
    <w:rsid w:val="00B52B36"/>
    <w:rsid w:val="00B54B48"/>
    <w:rsid w:val="00B54D5A"/>
    <w:rsid w:val="00B55ACD"/>
    <w:rsid w:val="00B57E6D"/>
    <w:rsid w:val="00B61172"/>
    <w:rsid w:val="00B6171D"/>
    <w:rsid w:val="00B62A6F"/>
    <w:rsid w:val="00B62F8C"/>
    <w:rsid w:val="00B6494F"/>
    <w:rsid w:val="00B64A95"/>
    <w:rsid w:val="00B66452"/>
    <w:rsid w:val="00B677AD"/>
    <w:rsid w:val="00B71207"/>
    <w:rsid w:val="00B718A8"/>
    <w:rsid w:val="00B71959"/>
    <w:rsid w:val="00B727EC"/>
    <w:rsid w:val="00B73170"/>
    <w:rsid w:val="00B7463F"/>
    <w:rsid w:val="00B74D53"/>
    <w:rsid w:val="00B7570B"/>
    <w:rsid w:val="00B76E58"/>
    <w:rsid w:val="00B77CC2"/>
    <w:rsid w:val="00B80D8C"/>
    <w:rsid w:val="00B83EF9"/>
    <w:rsid w:val="00B840CE"/>
    <w:rsid w:val="00B846B4"/>
    <w:rsid w:val="00B86618"/>
    <w:rsid w:val="00B90893"/>
    <w:rsid w:val="00B90A50"/>
    <w:rsid w:val="00B918FB"/>
    <w:rsid w:val="00B92B49"/>
    <w:rsid w:val="00B9316D"/>
    <w:rsid w:val="00B9447E"/>
    <w:rsid w:val="00B947D7"/>
    <w:rsid w:val="00B95876"/>
    <w:rsid w:val="00BA11CC"/>
    <w:rsid w:val="00BA3AB0"/>
    <w:rsid w:val="00BA6548"/>
    <w:rsid w:val="00BA66DB"/>
    <w:rsid w:val="00BA7297"/>
    <w:rsid w:val="00BA7EF5"/>
    <w:rsid w:val="00BB0EF0"/>
    <w:rsid w:val="00BB3E22"/>
    <w:rsid w:val="00BB4DFC"/>
    <w:rsid w:val="00BC02F2"/>
    <w:rsid w:val="00BC0369"/>
    <w:rsid w:val="00BC0458"/>
    <w:rsid w:val="00BC058F"/>
    <w:rsid w:val="00BC1146"/>
    <w:rsid w:val="00BC1893"/>
    <w:rsid w:val="00BC235E"/>
    <w:rsid w:val="00BC235F"/>
    <w:rsid w:val="00BC4ADB"/>
    <w:rsid w:val="00BC6DBC"/>
    <w:rsid w:val="00BC72C5"/>
    <w:rsid w:val="00BD0A9C"/>
    <w:rsid w:val="00BD173A"/>
    <w:rsid w:val="00BD30FF"/>
    <w:rsid w:val="00BD325E"/>
    <w:rsid w:val="00BD44C9"/>
    <w:rsid w:val="00BD45E9"/>
    <w:rsid w:val="00BD6B0B"/>
    <w:rsid w:val="00BD7113"/>
    <w:rsid w:val="00BD7C00"/>
    <w:rsid w:val="00BD7C21"/>
    <w:rsid w:val="00BE03E6"/>
    <w:rsid w:val="00BE20DC"/>
    <w:rsid w:val="00BE2369"/>
    <w:rsid w:val="00BE3499"/>
    <w:rsid w:val="00BE420F"/>
    <w:rsid w:val="00BE4E37"/>
    <w:rsid w:val="00BE4E71"/>
    <w:rsid w:val="00BE5EFD"/>
    <w:rsid w:val="00BE738C"/>
    <w:rsid w:val="00BF1981"/>
    <w:rsid w:val="00BF1F51"/>
    <w:rsid w:val="00BF2501"/>
    <w:rsid w:val="00BF3BE7"/>
    <w:rsid w:val="00BF3DCF"/>
    <w:rsid w:val="00BF694B"/>
    <w:rsid w:val="00BF7E1D"/>
    <w:rsid w:val="00C003E4"/>
    <w:rsid w:val="00C00E3D"/>
    <w:rsid w:val="00C00FEA"/>
    <w:rsid w:val="00C017B4"/>
    <w:rsid w:val="00C02A7F"/>
    <w:rsid w:val="00C02EE5"/>
    <w:rsid w:val="00C03511"/>
    <w:rsid w:val="00C054B2"/>
    <w:rsid w:val="00C057DD"/>
    <w:rsid w:val="00C059DF"/>
    <w:rsid w:val="00C06237"/>
    <w:rsid w:val="00C06B6F"/>
    <w:rsid w:val="00C06CBA"/>
    <w:rsid w:val="00C07158"/>
    <w:rsid w:val="00C11C3C"/>
    <w:rsid w:val="00C121C5"/>
    <w:rsid w:val="00C13841"/>
    <w:rsid w:val="00C14B5D"/>
    <w:rsid w:val="00C15093"/>
    <w:rsid w:val="00C16EB6"/>
    <w:rsid w:val="00C17BF5"/>
    <w:rsid w:val="00C201B2"/>
    <w:rsid w:val="00C203B9"/>
    <w:rsid w:val="00C208F1"/>
    <w:rsid w:val="00C230F5"/>
    <w:rsid w:val="00C24B04"/>
    <w:rsid w:val="00C2564F"/>
    <w:rsid w:val="00C26FFC"/>
    <w:rsid w:val="00C27517"/>
    <w:rsid w:val="00C27BA4"/>
    <w:rsid w:val="00C27E04"/>
    <w:rsid w:val="00C3015F"/>
    <w:rsid w:val="00C30C3C"/>
    <w:rsid w:val="00C30F1B"/>
    <w:rsid w:val="00C312A7"/>
    <w:rsid w:val="00C316CE"/>
    <w:rsid w:val="00C32305"/>
    <w:rsid w:val="00C34110"/>
    <w:rsid w:val="00C34A09"/>
    <w:rsid w:val="00C34F3B"/>
    <w:rsid w:val="00C35B8A"/>
    <w:rsid w:val="00C36619"/>
    <w:rsid w:val="00C37BD7"/>
    <w:rsid w:val="00C41233"/>
    <w:rsid w:val="00C412B4"/>
    <w:rsid w:val="00C42A73"/>
    <w:rsid w:val="00C42CA6"/>
    <w:rsid w:val="00C42CFE"/>
    <w:rsid w:val="00C43F9F"/>
    <w:rsid w:val="00C45FC7"/>
    <w:rsid w:val="00C4731B"/>
    <w:rsid w:val="00C502E0"/>
    <w:rsid w:val="00C50B24"/>
    <w:rsid w:val="00C51F62"/>
    <w:rsid w:val="00C52795"/>
    <w:rsid w:val="00C5455B"/>
    <w:rsid w:val="00C54D94"/>
    <w:rsid w:val="00C55364"/>
    <w:rsid w:val="00C56A90"/>
    <w:rsid w:val="00C56D55"/>
    <w:rsid w:val="00C579DE"/>
    <w:rsid w:val="00C57CEE"/>
    <w:rsid w:val="00C60388"/>
    <w:rsid w:val="00C60940"/>
    <w:rsid w:val="00C61668"/>
    <w:rsid w:val="00C61889"/>
    <w:rsid w:val="00C62E65"/>
    <w:rsid w:val="00C6372A"/>
    <w:rsid w:val="00C662B7"/>
    <w:rsid w:val="00C67C93"/>
    <w:rsid w:val="00C714F7"/>
    <w:rsid w:val="00C805AB"/>
    <w:rsid w:val="00C817B8"/>
    <w:rsid w:val="00C823E6"/>
    <w:rsid w:val="00C83102"/>
    <w:rsid w:val="00C84C61"/>
    <w:rsid w:val="00C85E5F"/>
    <w:rsid w:val="00C86CD1"/>
    <w:rsid w:val="00C87594"/>
    <w:rsid w:val="00C9097A"/>
    <w:rsid w:val="00C95CE8"/>
    <w:rsid w:val="00C95FE7"/>
    <w:rsid w:val="00CA02BC"/>
    <w:rsid w:val="00CA0859"/>
    <w:rsid w:val="00CA0B4B"/>
    <w:rsid w:val="00CA0C93"/>
    <w:rsid w:val="00CA18FF"/>
    <w:rsid w:val="00CA198A"/>
    <w:rsid w:val="00CA252B"/>
    <w:rsid w:val="00CA50C5"/>
    <w:rsid w:val="00CB1585"/>
    <w:rsid w:val="00CB4416"/>
    <w:rsid w:val="00CB44A3"/>
    <w:rsid w:val="00CB5A4E"/>
    <w:rsid w:val="00CB5A9E"/>
    <w:rsid w:val="00CB691E"/>
    <w:rsid w:val="00CB76A9"/>
    <w:rsid w:val="00CC135B"/>
    <w:rsid w:val="00CC17A8"/>
    <w:rsid w:val="00CC2AB4"/>
    <w:rsid w:val="00CC32C9"/>
    <w:rsid w:val="00CC5001"/>
    <w:rsid w:val="00CC50F3"/>
    <w:rsid w:val="00CC7589"/>
    <w:rsid w:val="00CD06DA"/>
    <w:rsid w:val="00CD2712"/>
    <w:rsid w:val="00CE0600"/>
    <w:rsid w:val="00CE09A0"/>
    <w:rsid w:val="00CE15FA"/>
    <w:rsid w:val="00CE3B07"/>
    <w:rsid w:val="00CE3EBE"/>
    <w:rsid w:val="00CF1406"/>
    <w:rsid w:val="00CF199B"/>
    <w:rsid w:val="00CF2063"/>
    <w:rsid w:val="00CF2794"/>
    <w:rsid w:val="00CF2F70"/>
    <w:rsid w:val="00CF534C"/>
    <w:rsid w:val="00CF5EEA"/>
    <w:rsid w:val="00CF7553"/>
    <w:rsid w:val="00D0180C"/>
    <w:rsid w:val="00D02C17"/>
    <w:rsid w:val="00D0472A"/>
    <w:rsid w:val="00D05CFE"/>
    <w:rsid w:val="00D05EE4"/>
    <w:rsid w:val="00D05F8B"/>
    <w:rsid w:val="00D068A0"/>
    <w:rsid w:val="00D06A53"/>
    <w:rsid w:val="00D07290"/>
    <w:rsid w:val="00D075BE"/>
    <w:rsid w:val="00D07DA2"/>
    <w:rsid w:val="00D07F08"/>
    <w:rsid w:val="00D11031"/>
    <w:rsid w:val="00D126A1"/>
    <w:rsid w:val="00D1306C"/>
    <w:rsid w:val="00D1366C"/>
    <w:rsid w:val="00D13DF0"/>
    <w:rsid w:val="00D161B7"/>
    <w:rsid w:val="00D201A9"/>
    <w:rsid w:val="00D20B84"/>
    <w:rsid w:val="00D20DDA"/>
    <w:rsid w:val="00D220C1"/>
    <w:rsid w:val="00D2283B"/>
    <w:rsid w:val="00D22922"/>
    <w:rsid w:val="00D22ED4"/>
    <w:rsid w:val="00D23242"/>
    <w:rsid w:val="00D233A7"/>
    <w:rsid w:val="00D25336"/>
    <w:rsid w:val="00D27FBA"/>
    <w:rsid w:val="00D30AAB"/>
    <w:rsid w:val="00D30C1E"/>
    <w:rsid w:val="00D31947"/>
    <w:rsid w:val="00D31F0F"/>
    <w:rsid w:val="00D3215E"/>
    <w:rsid w:val="00D32C32"/>
    <w:rsid w:val="00D34DA9"/>
    <w:rsid w:val="00D374AA"/>
    <w:rsid w:val="00D419D4"/>
    <w:rsid w:val="00D41F70"/>
    <w:rsid w:val="00D43CF5"/>
    <w:rsid w:val="00D440D0"/>
    <w:rsid w:val="00D476A9"/>
    <w:rsid w:val="00D50274"/>
    <w:rsid w:val="00D5187F"/>
    <w:rsid w:val="00D51A5F"/>
    <w:rsid w:val="00D51E52"/>
    <w:rsid w:val="00D53721"/>
    <w:rsid w:val="00D558F5"/>
    <w:rsid w:val="00D567C6"/>
    <w:rsid w:val="00D5705B"/>
    <w:rsid w:val="00D61856"/>
    <w:rsid w:val="00D61DA7"/>
    <w:rsid w:val="00D63A26"/>
    <w:rsid w:val="00D65D20"/>
    <w:rsid w:val="00D65F03"/>
    <w:rsid w:val="00D7259B"/>
    <w:rsid w:val="00D76C8B"/>
    <w:rsid w:val="00D81141"/>
    <w:rsid w:val="00D814BF"/>
    <w:rsid w:val="00D82AD1"/>
    <w:rsid w:val="00D835C1"/>
    <w:rsid w:val="00D873F7"/>
    <w:rsid w:val="00D879D3"/>
    <w:rsid w:val="00D87E2B"/>
    <w:rsid w:val="00D90A35"/>
    <w:rsid w:val="00D914C6"/>
    <w:rsid w:val="00D932AD"/>
    <w:rsid w:val="00D93563"/>
    <w:rsid w:val="00D93699"/>
    <w:rsid w:val="00D9454D"/>
    <w:rsid w:val="00D94C50"/>
    <w:rsid w:val="00DA1AE6"/>
    <w:rsid w:val="00DA504A"/>
    <w:rsid w:val="00DA779B"/>
    <w:rsid w:val="00DB0EFA"/>
    <w:rsid w:val="00DB2528"/>
    <w:rsid w:val="00DB2842"/>
    <w:rsid w:val="00DB40E6"/>
    <w:rsid w:val="00DB7635"/>
    <w:rsid w:val="00DB77E1"/>
    <w:rsid w:val="00DB7901"/>
    <w:rsid w:val="00DC15DF"/>
    <w:rsid w:val="00DC20E3"/>
    <w:rsid w:val="00DC308B"/>
    <w:rsid w:val="00DC464D"/>
    <w:rsid w:val="00DC6BAB"/>
    <w:rsid w:val="00DD03AA"/>
    <w:rsid w:val="00DD1B00"/>
    <w:rsid w:val="00DD5D2B"/>
    <w:rsid w:val="00DD69B3"/>
    <w:rsid w:val="00DD6B4B"/>
    <w:rsid w:val="00DE0950"/>
    <w:rsid w:val="00DE14A5"/>
    <w:rsid w:val="00DE164B"/>
    <w:rsid w:val="00DE2ADA"/>
    <w:rsid w:val="00DE2E90"/>
    <w:rsid w:val="00DF1171"/>
    <w:rsid w:val="00DF1659"/>
    <w:rsid w:val="00DF1680"/>
    <w:rsid w:val="00DF3D98"/>
    <w:rsid w:val="00DF4FBE"/>
    <w:rsid w:val="00DF7563"/>
    <w:rsid w:val="00E05D50"/>
    <w:rsid w:val="00E065D7"/>
    <w:rsid w:val="00E06D7C"/>
    <w:rsid w:val="00E06DDF"/>
    <w:rsid w:val="00E11489"/>
    <w:rsid w:val="00E12FBD"/>
    <w:rsid w:val="00E14B15"/>
    <w:rsid w:val="00E14E7A"/>
    <w:rsid w:val="00E21BB9"/>
    <w:rsid w:val="00E22C9F"/>
    <w:rsid w:val="00E23A62"/>
    <w:rsid w:val="00E2578D"/>
    <w:rsid w:val="00E27FB0"/>
    <w:rsid w:val="00E304E7"/>
    <w:rsid w:val="00E30989"/>
    <w:rsid w:val="00E326A9"/>
    <w:rsid w:val="00E328DD"/>
    <w:rsid w:val="00E32AE7"/>
    <w:rsid w:val="00E337DD"/>
    <w:rsid w:val="00E338A4"/>
    <w:rsid w:val="00E43461"/>
    <w:rsid w:val="00E44E12"/>
    <w:rsid w:val="00E4573F"/>
    <w:rsid w:val="00E4668E"/>
    <w:rsid w:val="00E4721E"/>
    <w:rsid w:val="00E47ACF"/>
    <w:rsid w:val="00E5134A"/>
    <w:rsid w:val="00E51E46"/>
    <w:rsid w:val="00E52EDC"/>
    <w:rsid w:val="00E53C35"/>
    <w:rsid w:val="00E553FB"/>
    <w:rsid w:val="00E5559A"/>
    <w:rsid w:val="00E6024F"/>
    <w:rsid w:val="00E60C5A"/>
    <w:rsid w:val="00E62E4F"/>
    <w:rsid w:val="00E6314A"/>
    <w:rsid w:val="00E63897"/>
    <w:rsid w:val="00E645DE"/>
    <w:rsid w:val="00E67718"/>
    <w:rsid w:val="00E67FC4"/>
    <w:rsid w:val="00E71D89"/>
    <w:rsid w:val="00E72A6D"/>
    <w:rsid w:val="00E76793"/>
    <w:rsid w:val="00E77164"/>
    <w:rsid w:val="00E77C77"/>
    <w:rsid w:val="00E82224"/>
    <w:rsid w:val="00E85F4E"/>
    <w:rsid w:val="00E86DA4"/>
    <w:rsid w:val="00E87015"/>
    <w:rsid w:val="00E8701B"/>
    <w:rsid w:val="00E904A2"/>
    <w:rsid w:val="00E91455"/>
    <w:rsid w:val="00E9195A"/>
    <w:rsid w:val="00E926AE"/>
    <w:rsid w:val="00E96860"/>
    <w:rsid w:val="00EA1439"/>
    <w:rsid w:val="00EA1F93"/>
    <w:rsid w:val="00EA4203"/>
    <w:rsid w:val="00EA4327"/>
    <w:rsid w:val="00EA4C1C"/>
    <w:rsid w:val="00EA51EE"/>
    <w:rsid w:val="00EA7541"/>
    <w:rsid w:val="00EB0937"/>
    <w:rsid w:val="00EB45D3"/>
    <w:rsid w:val="00EB5755"/>
    <w:rsid w:val="00EB6068"/>
    <w:rsid w:val="00EB726E"/>
    <w:rsid w:val="00EB783D"/>
    <w:rsid w:val="00EB7ABA"/>
    <w:rsid w:val="00EC23B9"/>
    <w:rsid w:val="00EC33F2"/>
    <w:rsid w:val="00EC48B0"/>
    <w:rsid w:val="00EC4C66"/>
    <w:rsid w:val="00EC4D5D"/>
    <w:rsid w:val="00EC4E3D"/>
    <w:rsid w:val="00EC6F4C"/>
    <w:rsid w:val="00ED1C91"/>
    <w:rsid w:val="00ED241A"/>
    <w:rsid w:val="00ED2601"/>
    <w:rsid w:val="00ED3056"/>
    <w:rsid w:val="00ED3185"/>
    <w:rsid w:val="00ED3240"/>
    <w:rsid w:val="00ED49B2"/>
    <w:rsid w:val="00ED65DE"/>
    <w:rsid w:val="00ED71AA"/>
    <w:rsid w:val="00EE1677"/>
    <w:rsid w:val="00EE368A"/>
    <w:rsid w:val="00EE3A6E"/>
    <w:rsid w:val="00EE3E8A"/>
    <w:rsid w:val="00EE710B"/>
    <w:rsid w:val="00EE71E9"/>
    <w:rsid w:val="00EF1059"/>
    <w:rsid w:val="00EF1B92"/>
    <w:rsid w:val="00EF2A01"/>
    <w:rsid w:val="00EF3C6A"/>
    <w:rsid w:val="00EF5215"/>
    <w:rsid w:val="00EF6093"/>
    <w:rsid w:val="00EF676A"/>
    <w:rsid w:val="00F00ABB"/>
    <w:rsid w:val="00F02DA8"/>
    <w:rsid w:val="00F03486"/>
    <w:rsid w:val="00F03FE4"/>
    <w:rsid w:val="00F06613"/>
    <w:rsid w:val="00F07E4B"/>
    <w:rsid w:val="00F10214"/>
    <w:rsid w:val="00F1134D"/>
    <w:rsid w:val="00F12713"/>
    <w:rsid w:val="00F12E57"/>
    <w:rsid w:val="00F13DE2"/>
    <w:rsid w:val="00F16973"/>
    <w:rsid w:val="00F201A3"/>
    <w:rsid w:val="00F20887"/>
    <w:rsid w:val="00F228C5"/>
    <w:rsid w:val="00F24CFD"/>
    <w:rsid w:val="00F261C3"/>
    <w:rsid w:val="00F318C8"/>
    <w:rsid w:val="00F31D60"/>
    <w:rsid w:val="00F32221"/>
    <w:rsid w:val="00F32A88"/>
    <w:rsid w:val="00F336FF"/>
    <w:rsid w:val="00F33AFE"/>
    <w:rsid w:val="00F347A2"/>
    <w:rsid w:val="00F37221"/>
    <w:rsid w:val="00F4002D"/>
    <w:rsid w:val="00F40AB4"/>
    <w:rsid w:val="00F41CF5"/>
    <w:rsid w:val="00F44F9F"/>
    <w:rsid w:val="00F478FB"/>
    <w:rsid w:val="00F47E2C"/>
    <w:rsid w:val="00F53BB9"/>
    <w:rsid w:val="00F54284"/>
    <w:rsid w:val="00F54DDC"/>
    <w:rsid w:val="00F555AE"/>
    <w:rsid w:val="00F613E4"/>
    <w:rsid w:val="00F614E9"/>
    <w:rsid w:val="00F61C25"/>
    <w:rsid w:val="00F6224D"/>
    <w:rsid w:val="00F6259D"/>
    <w:rsid w:val="00F627CB"/>
    <w:rsid w:val="00F6511B"/>
    <w:rsid w:val="00F66D60"/>
    <w:rsid w:val="00F67FA0"/>
    <w:rsid w:val="00F73086"/>
    <w:rsid w:val="00F7457A"/>
    <w:rsid w:val="00F763C4"/>
    <w:rsid w:val="00F76E5A"/>
    <w:rsid w:val="00F772B7"/>
    <w:rsid w:val="00F81C9D"/>
    <w:rsid w:val="00F827DC"/>
    <w:rsid w:val="00F85E99"/>
    <w:rsid w:val="00F86ED3"/>
    <w:rsid w:val="00F8750C"/>
    <w:rsid w:val="00F87D5C"/>
    <w:rsid w:val="00F917DD"/>
    <w:rsid w:val="00F91AF3"/>
    <w:rsid w:val="00F91E2A"/>
    <w:rsid w:val="00F929C3"/>
    <w:rsid w:val="00F93541"/>
    <w:rsid w:val="00F94D06"/>
    <w:rsid w:val="00F9591B"/>
    <w:rsid w:val="00F9628F"/>
    <w:rsid w:val="00F967D4"/>
    <w:rsid w:val="00F968A8"/>
    <w:rsid w:val="00F96E8C"/>
    <w:rsid w:val="00FA0C77"/>
    <w:rsid w:val="00FA1004"/>
    <w:rsid w:val="00FA2084"/>
    <w:rsid w:val="00FA33BA"/>
    <w:rsid w:val="00FA4E6C"/>
    <w:rsid w:val="00FA5A85"/>
    <w:rsid w:val="00FA676E"/>
    <w:rsid w:val="00FA6EC6"/>
    <w:rsid w:val="00FB0884"/>
    <w:rsid w:val="00FB0910"/>
    <w:rsid w:val="00FB2497"/>
    <w:rsid w:val="00FB2FED"/>
    <w:rsid w:val="00FB57B2"/>
    <w:rsid w:val="00FB57EC"/>
    <w:rsid w:val="00FB6F1A"/>
    <w:rsid w:val="00FC1369"/>
    <w:rsid w:val="00FC283D"/>
    <w:rsid w:val="00FC3006"/>
    <w:rsid w:val="00FC5ECF"/>
    <w:rsid w:val="00FC77E2"/>
    <w:rsid w:val="00FD0C3E"/>
    <w:rsid w:val="00FD32B1"/>
    <w:rsid w:val="00FD3D79"/>
    <w:rsid w:val="00FD5919"/>
    <w:rsid w:val="00FE1803"/>
    <w:rsid w:val="00FE25E4"/>
    <w:rsid w:val="00FE2F97"/>
    <w:rsid w:val="00FE48C5"/>
    <w:rsid w:val="00FE4CF5"/>
    <w:rsid w:val="00FE60F0"/>
    <w:rsid w:val="00FE6522"/>
    <w:rsid w:val="00FE733B"/>
    <w:rsid w:val="00FF01A0"/>
    <w:rsid w:val="00FF0DFD"/>
    <w:rsid w:val="00FF3745"/>
    <w:rsid w:val="00FF43D5"/>
    <w:rsid w:val="00FF4E23"/>
    <w:rsid w:val="00FF4F5E"/>
    <w:rsid w:val="00FF5C4C"/>
    <w:rsid w:val="00FF6129"/>
    <w:rsid w:val="01157263"/>
    <w:rsid w:val="01F30184"/>
    <w:rsid w:val="0269382A"/>
    <w:rsid w:val="03E21EAD"/>
    <w:rsid w:val="047017D4"/>
    <w:rsid w:val="04E2647A"/>
    <w:rsid w:val="05285D1E"/>
    <w:rsid w:val="055B7295"/>
    <w:rsid w:val="059E448B"/>
    <w:rsid w:val="05F63EF1"/>
    <w:rsid w:val="05F90897"/>
    <w:rsid w:val="06803F99"/>
    <w:rsid w:val="06C92C25"/>
    <w:rsid w:val="078F0773"/>
    <w:rsid w:val="07EA06E6"/>
    <w:rsid w:val="07F7358F"/>
    <w:rsid w:val="0838301D"/>
    <w:rsid w:val="086B2AB5"/>
    <w:rsid w:val="096010CB"/>
    <w:rsid w:val="0992531D"/>
    <w:rsid w:val="09E234A1"/>
    <w:rsid w:val="0A4A1533"/>
    <w:rsid w:val="0B016BFE"/>
    <w:rsid w:val="0B0B5223"/>
    <w:rsid w:val="0B960141"/>
    <w:rsid w:val="0C1672E5"/>
    <w:rsid w:val="0C193AD3"/>
    <w:rsid w:val="0D2B28C4"/>
    <w:rsid w:val="0EC1346C"/>
    <w:rsid w:val="0F352C54"/>
    <w:rsid w:val="0FC633DB"/>
    <w:rsid w:val="1020187E"/>
    <w:rsid w:val="107343B9"/>
    <w:rsid w:val="107B4D5D"/>
    <w:rsid w:val="1089760E"/>
    <w:rsid w:val="11427122"/>
    <w:rsid w:val="11D33806"/>
    <w:rsid w:val="12024210"/>
    <w:rsid w:val="12412050"/>
    <w:rsid w:val="12DB66FD"/>
    <w:rsid w:val="131176D8"/>
    <w:rsid w:val="131262D1"/>
    <w:rsid w:val="134772A4"/>
    <w:rsid w:val="14346C86"/>
    <w:rsid w:val="14B6474C"/>
    <w:rsid w:val="14E65973"/>
    <w:rsid w:val="16D44086"/>
    <w:rsid w:val="174A39FF"/>
    <w:rsid w:val="17EC6540"/>
    <w:rsid w:val="180A43E5"/>
    <w:rsid w:val="18577FD9"/>
    <w:rsid w:val="18B522E8"/>
    <w:rsid w:val="19F66B31"/>
    <w:rsid w:val="1A6525DA"/>
    <w:rsid w:val="1A696A11"/>
    <w:rsid w:val="1B20658C"/>
    <w:rsid w:val="1B6E08D8"/>
    <w:rsid w:val="1BFB33CD"/>
    <w:rsid w:val="1C524E32"/>
    <w:rsid w:val="1C865410"/>
    <w:rsid w:val="1CB14B2E"/>
    <w:rsid w:val="1CCA73CD"/>
    <w:rsid w:val="1CEB326A"/>
    <w:rsid w:val="1D197DB1"/>
    <w:rsid w:val="1D6113CB"/>
    <w:rsid w:val="1DAA0914"/>
    <w:rsid w:val="1EBD3EAF"/>
    <w:rsid w:val="1F327A62"/>
    <w:rsid w:val="1F397EE4"/>
    <w:rsid w:val="1FF76E10"/>
    <w:rsid w:val="20010065"/>
    <w:rsid w:val="20CB6D20"/>
    <w:rsid w:val="20CF31C3"/>
    <w:rsid w:val="2248652F"/>
    <w:rsid w:val="22653052"/>
    <w:rsid w:val="23694374"/>
    <w:rsid w:val="238734D8"/>
    <w:rsid w:val="23DF22FF"/>
    <w:rsid w:val="243A7A34"/>
    <w:rsid w:val="24A073D0"/>
    <w:rsid w:val="24A85EE5"/>
    <w:rsid w:val="24B4139A"/>
    <w:rsid w:val="24B800E0"/>
    <w:rsid w:val="251608E9"/>
    <w:rsid w:val="252F7456"/>
    <w:rsid w:val="255F776F"/>
    <w:rsid w:val="258B2FB3"/>
    <w:rsid w:val="25B707DD"/>
    <w:rsid w:val="25F21641"/>
    <w:rsid w:val="264755DA"/>
    <w:rsid w:val="279D3C50"/>
    <w:rsid w:val="27B54BA0"/>
    <w:rsid w:val="28332D9D"/>
    <w:rsid w:val="28C306E9"/>
    <w:rsid w:val="294B7329"/>
    <w:rsid w:val="29616227"/>
    <w:rsid w:val="298013A6"/>
    <w:rsid w:val="29D1602B"/>
    <w:rsid w:val="2A473AAA"/>
    <w:rsid w:val="2A4D68AA"/>
    <w:rsid w:val="2A72401F"/>
    <w:rsid w:val="2BCC4267"/>
    <w:rsid w:val="2E1178F3"/>
    <w:rsid w:val="2E1678C0"/>
    <w:rsid w:val="2F1159FB"/>
    <w:rsid w:val="2F9B3A99"/>
    <w:rsid w:val="300F7337"/>
    <w:rsid w:val="32371154"/>
    <w:rsid w:val="324B0F88"/>
    <w:rsid w:val="32955223"/>
    <w:rsid w:val="329A3A1B"/>
    <w:rsid w:val="32AC28A3"/>
    <w:rsid w:val="32CD450B"/>
    <w:rsid w:val="334212B2"/>
    <w:rsid w:val="33FE0C46"/>
    <w:rsid w:val="33FF125C"/>
    <w:rsid w:val="34641243"/>
    <w:rsid w:val="3466420D"/>
    <w:rsid w:val="34B80FDB"/>
    <w:rsid w:val="34EE282D"/>
    <w:rsid w:val="35093A31"/>
    <w:rsid w:val="354407C6"/>
    <w:rsid w:val="35460FEA"/>
    <w:rsid w:val="35D94E62"/>
    <w:rsid w:val="35E011F0"/>
    <w:rsid w:val="35F8517E"/>
    <w:rsid w:val="36AA31C1"/>
    <w:rsid w:val="379977EB"/>
    <w:rsid w:val="38834898"/>
    <w:rsid w:val="38AE35BC"/>
    <w:rsid w:val="392F055F"/>
    <w:rsid w:val="39CE7FD9"/>
    <w:rsid w:val="3A2133F1"/>
    <w:rsid w:val="3A4737F4"/>
    <w:rsid w:val="3A977FAE"/>
    <w:rsid w:val="3B9C110D"/>
    <w:rsid w:val="3BAD3112"/>
    <w:rsid w:val="3BD229BA"/>
    <w:rsid w:val="3C59537C"/>
    <w:rsid w:val="3C654D26"/>
    <w:rsid w:val="3C895B81"/>
    <w:rsid w:val="3CD01B1C"/>
    <w:rsid w:val="3D316292"/>
    <w:rsid w:val="3DA45D52"/>
    <w:rsid w:val="3DA523CA"/>
    <w:rsid w:val="3E611390"/>
    <w:rsid w:val="3FD431D4"/>
    <w:rsid w:val="40BA6823"/>
    <w:rsid w:val="41351411"/>
    <w:rsid w:val="41CC07C5"/>
    <w:rsid w:val="41D22ADE"/>
    <w:rsid w:val="41D2466D"/>
    <w:rsid w:val="420D7E11"/>
    <w:rsid w:val="421F738E"/>
    <w:rsid w:val="42C96C00"/>
    <w:rsid w:val="42D04C83"/>
    <w:rsid w:val="42E2243E"/>
    <w:rsid w:val="430543F4"/>
    <w:rsid w:val="43160791"/>
    <w:rsid w:val="43860D47"/>
    <w:rsid w:val="438F6905"/>
    <w:rsid w:val="43BB4438"/>
    <w:rsid w:val="45DB35CC"/>
    <w:rsid w:val="45E46428"/>
    <w:rsid w:val="476A10AC"/>
    <w:rsid w:val="47A30A6A"/>
    <w:rsid w:val="47A34644"/>
    <w:rsid w:val="481A329E"/>
    <w:rsid w:val="483B475D"/>
    <w:rsid w:val="490B4D94"/>
    <w:rsid w:val="49245242"/>
    <w:rsid w:val="49A01B81"/>
    <w:rsid w:val="49D40A5E"/>
    <w:rsid w:val="4AD04784"/>
    <w:rsid w:val="4AE82E7C"/>
    <w:rsid w:val="4AF40F4F"/>
    <w:rsid w:val="4B31481A"/>
    <w:rsid w:val="4B8F6196"/>
    <w:rsid w:val="4BB87F0C"/>
    <w:rsid w:val="4BDF6DB5"/>
    <w:rsid w:val="4C16653A"/>
    <w:rsid w:val="4CDF755D"/>
    <w:rsid w:val="4D3436D2"/>
    <w:rsid w:val="4D9E7E8D"/>
    <w:rsid w:val="4D9F3DF1"/>
    <w:rsid w:val="4DC9668B"/>
    <w:rsid w:val="4E0437D4"/>
    <w:rsid w:val="4EA94367"/>
    <w:rsid w:val="4EBF1E5A"/>
    <w:rsid w:val="4EC70B92"/>
    <w:rsid w:val="4EE27525"/>
    <w:rsid w:val="4EF9596A"/>
    <w:rsid w:val="4F5C2F8F"/>
    <w:rsid w:val="4FD02C81"/>
    <w:rsid w:val="5012388C"/>
    <w:rsid w:val="501438EF"/>
    <w:rsid w:val="50177A28"/>
    <w:rsid w:val="505740B9"/>
    <w:rsid w:val="505C2852"/>
    <w:rsid w:val="51991A9C"/>
    <w:rsid w:val="530D265C"/>
    <w:rsid w:val="53D94410"/>
    <w:rsid w:val="54352A41"/>
    <w:rsid w:val="54595FA3"/>
    <w:rsid w:val="54724B97"/>
    <w:rsid w:val="54AF08FE"/>
    <w:rsid w:val="54E816F5"/>
    <w:rsid w:val="55610B34"/>
    <w:rsid w:val="56B253B8"/>
    <w:rsid w:val="57D3473C"/>
    <w:rsid w:val="58F242ED"/>
    <w:rsid w:val="590D7AE9"/>
    <w:rsid w:val="5926209A"/>
    <w:rsid w:val="5AF8090C"/>
    <w:rsid w:val="5B5264E5"/>
    <w:rsid w:val="5BBB50CD"/>
    <w:rsid w:val="5C653D22"/>
    <w:rsid w:val="5C7C36A3"/>
    <w:rsid w:val="5DA01578"/>
    <w:rsid w:val="5E373AE7"/>
    <w:rsid w:val="5E600ADA"/>
    <w:rsid w:val="5E720CA2"/>
    <w:rsid w:val="5EF86DE5"/>
    <w:rsid w:val="5F7D18C0"/>
    <w:rsid w:val="5FA322FC"/>
    <w:rsid w:val="5FDA449D"/>
    <w:rsid w:val="60F96FD8"/>
    <w:rsid w:val="61331C5A"/>
    <w:rsid w:val="615D3E3F"/>
    <w:rsid w:val="61800B94"/>
    <w:rsid w:val="620D6CDD"/>
    <w:rsid w:val="62EF6807"/>
    <w:rsid w:val="639B3B30"/>
    <w:rsid w:val="64584252"/>
    <w:rsid w:val="646F62D0"/>
    <w:rsid w:val="64CC1A6B"/>
    <w:rsid w:val="64DD4F2B"/>
    <w:rsid w:val="64EB596C"/>
    <w:rsid w:val="65646CE3"/>
    <w:rsid w:val="659876DE"/>
    <w:rsid w:val="65BF3655"/>
    <w:rsid w:val="66327DBB"/>
    <w:rsid w:val="66DC0AFB"/>
    <w:rsid w:val="66E57697"/>
    <w:rsid w:val="674202F5"/>
    <w:rsid w:val="67576912"/>
    <w:rsid w:val="688B51D4"/>
    <w:rsid w:val="69A30390"/>
    <w:rsid w:val="6ADD265D"/>
    <w:rsid w:val="6B8B255C"/>
    <w:rsid w:val="6BF30E2D"/>
    <w:rsid w:val="6C353187"/>
    <w:rsid w:val="6CCD7699"/>
    <w:rsid w:val="6D8A0B50"/>
    <w:rsid w:val="6F1E43A6"/>
    <w:rsid w:val="6F5D2D12"/>
    <w:rsid w:val="703B205D"/>
    <w:rsid w:val="70BF09AB"/>
    <w:rsid w:val="7159580F"/>
    <w:rsid w:val="72641F69"/>
    <w:rsid w:val="73161399"/>
    <w:rsid w:val="739F6306"/>
    <w:rsid w:val="7462214C"/>
    <w:rsid w:val="74925676"/>
    <w:rsid w:val="754615B0"/>
    <w:rsid w:val="76210C27"/>
    <w:rsid w:val="76876CD5"/>
    <w:rsid w:val="76B65452"/>
    <w:rsid w:val="76D74BBF"/>
    <w:rsid w:val="76E17179"/>
    <w:rsid w:val="780A11FC"/>
    <w:rsid w:val="792D187D"/>
    <w:rsid w:val="793F67A8"/>
    <w:rsid w:val="7A490D3F"/>
    <w:rsid w:val="7A7F116F"/>
    <w:rsid w:val="7AA20A77"/>
    <w:rsid w:val="7AD95837"/>
    <w:rsid w:val="7B1B6A97"/>
    <w:rsid w:val="7B9D691C"/>
    <w:rsid w:val="7B9F2DA0"/>
    <w:rsid w:val="7BDC3DDF"/>
    <w:rsid w:val="7C5A6A0B"/>
    <w:rsid w:val="7C5B2CA6"/>
    <w:rsid w:val="7CD66A87"/>
    <w:rsid w:val="7D4A1E4C"/>
    <w:rsid w:val="7D4A53D8"/>
    <w:rsid w:val="7DA778CF"/>
    <w:rsid w:val="7DAC48CC"/>
    <w:rsid w:val="7E924469"/>
    <w:rsid w:val="7F7F734B"/>
    <w:rsid w:val="7FC20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3"/>
    <w:autoRedefine/>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44"/>
    <w:autoRedefine/>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autoRedefine/>
    <w:unhideWhenUsed/>
    <w:qFormat/>
    <w:uiPriority w:val="9"/>
    <w:pPr>
      <w:keepNext/>
      <w:keepLines/>
      <w:spacing w:line="360" w:lineRule="auto"/>
      <w:outlineLvl w:val="2"/>
    </w:pPr>
    <w:rPr>
      <w:rFonts w:ascii="Times New Roman" w:hAnsi="Times New Roman" w:eastAsia="宋体" w:cs="仿宋"/>
      <w:b/>
      <w:bCs/>
      <w:sz w:val="28"/>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纯文本1"/>
    <w:basedOn w:val="1"/>
    <w:next w:val="1"/>
    <w:autoRedefine/>
    <w:qFormat/>
    <w:uiPriority w:val="99"/>
    <w:pPr>
      <w:autoSpaceDE w:val="0"/>
      <w:autoSpaceDN w:val="0"/>
      <w:adjustRightInd w:val="0"/>
      <w:textAlignment w:val="baseline"/>
    </w:pPr>
    <w:rPr>
      <w:rFonts w:ascii="宋体"/>
      <w:szCs w:val="20"/>
    </w:rPr>
  </w:style>
  <w:style w:type="paragraph" w:styleId="7">
    <w:name w:val="Normal Indent"/>
    <w:basedOn w:val="1"/>
    <w:autoRedefine/>
    <w:qFormat/>
    <w:uiPriority w:val="0"/>
    <w:pPr>
      <w:ind w:firstLine="420"/>
    </w:pPr>
    <w:rPr>
      <w:szCs w:val="20"/>
    </w:rPr>
  </w:style>
  <w:style w:type="paragraph" w:styleId="8">
    <w:name w:val="annotation text"/>
    <w:basedOn w:val="1"/>
    <w:link w:val="62"/>
    <w:autoRedefine/>
    <w:unhideWhenUsed/>
    <w:qFormat/>
    <w:uiPriority w:val="99"/>
    <w:pPr>
      <w:jc w:val="left"/>
    </w:pPr>
  </w:style>
  <w:style w:type="paragraph" w:styleId="9">
    <w:name w:val="Body Text"/>
    <w:basedOn w:val="1"/>
    <w:next w:val="10"/>
    <w:link w:val="53"/>
    <w:autoRedefine/>
    <w:semiHidden/>
    <w:unhideWhenUsed/>
    <w:qFormat/>
    <w:uiPriority w:val="99"/>
    <w:pPr>
      <w:spacing w:after="120"/>
    </w:pPr>
  </w:style>
  <w:style w:type="paragraph" w:styleId="10">
    <w:name w:val="List Bullet 5"/>
    <w:basedOn w:val="1"/>
    <w:autoRedefine/>
    <w:semiHidden/>
    <w:unhideWhenUsed/>
    <w:qFormat/>
    <w:uiPriority w:val="99"/>
    <w:pPr>
      <w:numPr>
        <w:ilvl w:val="0"/>
        <w:numId w:val="1"/>
      </w:numPr>
    </w:pPr>
  </w:style>
  <w:style w:type="paragraph" w:styleId="11">
    <w:name w:val="Body Text Indent"/>
    <w:basedOn w:val="1"/>
    <w:next w:val="12"/>
    <w:link w:val="48"/>
    <w:autoRedefine/>
    <w:qFormat/>
    <w:uiPriority w:val="0"/>
    <w:pPr>
      <w:spacing w:after="120"/>
      <w:ind w:left="420"/>
    </w:pPr>
    <w:rPr>
      <w:rFonts w:ascii="Times New Roman" w:hAnsi="Times New Roman" w:eastAsia="宋体" w:cs="Times New Roman"/>
      <w:szCs w:val="20"/>
    </w:rPr>
  </w:style>
  <w:style w:type="paragraph" w:styleId="12">
    <w:name w:val="header"/>
    <w:basedOn w:val="1"/>
    <w:next w:val="13"/>
    <w:link w:val="4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13">
    <w:name w:val="样式5"/>
    <w:basedOn w:val="14"/>
    <w:next w:val="1"/>
    <w:autoRedefine/>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14">
    <w:name w:val="正文1"/>
    <w:basedOn w:val="15"/>
    <w:next w:val="1"/>
    <w:autoRedefine/>
    <w:qFormat/>
    <w:uiPriority w:val="0"/>
    <w:pPr>
      <w:widowControl w:val="0"/>
      <w:suppressAutoHyphens/>
      <w:spacing w:line="520" w:lineRule="atLeast"/>
      <w:ind w:firstLine="680"/>
      <w:jc w:val="both"/>
    </w:pPr>
    <w:rPr>
      <w:rFonts w:eastAsia="方正楷体简体"/>
      <w:spacing w:val="18"/>
      <w:sz w:val="32"/>
      <w:lang w:val="en-US" w:eastAsia="zh-CN" w:bidi="ar-SA"/>
    </w:rPr>
  </w:style>
  <w:style w:type="paragraph" w:customStyle="1" w:styleId="15">
    <w:name w:val="正文11"/>
    <w:basedOn w:val="1"/>
    <w:autoRedefine/>
    <w:qFormat/>
    <w:uiPriority w:val="0"/>
    <w:pPr>
      <w:adjustRightInd w:val="0"/>
      <w:snapToGrid w:val="0"/>
      <w:spacing w:line="360" w:lineRule="auto"/>
      <w:ind w:firstLine="420" w:firstLineChars="200"/>
    </w:pPr>
    <w:rPr>
      <w:color w:val="000000"/>
      <w:sz w:val="24"/>
    </w:rPr>
  </w:style>
  <w:style w:type="paragraph" w:styleId="16">
    <w:name w:val="toc 3"/>
    <w:basedOn w:val="1"/>
    <w:next w:val="1"/>
    <w:autoRedefine/>
    <w:unhideWhenUsed/>
    <w:qFormat/>
    <w:uiPriority w:val="39"/>
    <w:pPr>
      <w:ind w:left="840" w:leftChars="400"/>
    </w:pPr>
  </w:style>
  <w:style w:type="paragraph" w:styleId="17">
    <w:name w:val="Plain Text"/>
    <w:basedOn w:val="1"/>
    <w:link w:val="56"/>
    <w:autoRedefine/>
    <w:qFormat/>
    <w:uiPriority w:val="0"/>
    <w:rPr>
      <w:rFonts w:eastAsia="方正书宋简体"/>
      <w:sz w:val="28"/>
    </w:rPr>
  </w:style>
  <w:style w:type="paragraph" w:styleId="18">
    <w:name w:val="Body Text Indent 2"/>
    <w:basedOn w:val="1"/>
    <w:next w:val="19"/>
    <w:link w:val="58"/>
    <w:autoRedefine/>
    <w:qFormat/>
    <w:uiPriority w:val="0"/>
    <w:pPr>
      <w:spacing w:after="120" w:line="480" w:lineRule="auto"/>
      <w:ind w:left="420" w:leftChars="200"/>
    </w:pPr>
    <w:rPr>
      <w:rFonts w:ascii="Times New Roman" w:hAnsi="Times New Roman" w:eastAsia="宋体" w:cs="Times New Roman"/>
      <w:szCs w:val="24"/>
    </w:rPr>
  </w:style>
  <w:style w:type="paragraph" w:customStyle="1" w:styleId="19">
    <w:name w:val="reader-word-layer reader-word-s46-2"/>
    <w:basedOn w:val="1"/>
    <w:next w:val="20"/>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0">
    <w:name w:val="xl35"/>
    <w:basedOn w:val="1"/>
    <w:next w:val="1"/>
    <w:autoRedefine/>
    <w:qFormat/>
    <w:uiPriority w:val="0"/>
    <w:pPr>
      <w:widowControl/>
      <w:pBdr>
        <w:left w:val="single" w:color="000000" w:sz="4" w:space="0"/>
        <w:right w:val="single" w:color="000000" w:sz="4" w:space="0"/>
      </w:pBdr>
      <w:shd w:val="clear" w:color="FFFFFF" w:fill="FFFFFF"/>
      <w:spacing w:before="100" w:beforeLines="0" w:beforeAutospacing="1" w:after="100" w:afterLines="0" w:afterAutospacing="1"/>
      <w:jc w:val="left"/>
      <w:textAlignment w:val="center"/>
    </w:pPr>
    <w:rPr>
      <w:rFonts w:ascii="Arial Unicode MS" w:hAnsi="Arial Unicode MS" w:eastAsia="Arial Unicode MS" w:cs="Arial Unicode MS"/>
      <w:kern w:val="0"/>
      <w:sz w:val="24"/>
      <w:szCs w:val="24"/>
    </w:rPr>
  </w:style>
  <w:style w:type="paragraph" w:styleId="21">
    <w:name w:val="Balloon Text"/>
    <w:basedOn w:val="1"/>
    <w:link w:val="52"/>
    <w:autoRedefine/>
    <w:semiHidden/>
    <w:unhideWhenUsed/>
    <w:qFormat/>
    <w:uiPriority w:val="99"/>
    <w:rPr>
      <w:sz w:val="18"/>
      <w:szCs w:val="18"/>
    </w:rPr>
  </w:style>
  <w:style w:type="paragraph" w:styleId="22">
    <w:name w:val="footer"/>
    <w:basedOn w:val="1"/>
    <w:link w:val="46"/>
    <w:autoRedefine/>
    <w:unhideWhenUsed/>
    <w:qFormat/>
    <w:uiPriority w:val="99"/>
    <w:pPr>
      <w:tabs>
        <w:tab w:val="center" w:pos="4153"/>
        <w:tab w:val="right" w:pos="8306"/>
      </w:tabs>
      <w:snapToGrid w:val="0"/>
      <w:jc w:val="left"/>
    </w:pPr>
    <w:rPr>
      <w:sz w:val="18"/>
      <w:szCs w:val="18"/>
    </w:rPr>
  </w:style>
  <w:style w:type="paragraph" w:styleId="23">
    <w:name w:val="toc 1"/>
    <w:basedOn w:val="1"/>
    <w:next w:val="1"/>
    <w:autoRedefine/>
    <w:unhideWhenUsed/>
    <w:qFormat/>
    <w:uiPriority w:val="39"/>
  </w:style>
  <w:style w:type="paragraph" w:styleId="24">
    <w:name w:val="table of figures"/>
    <w:basedOn w:val="1"/>
    <w:next w:val="1"/>
    <w:autoRedefine/>
    <w:qFormat/>
    <w:uiPriority w:val="0"/>
    <w:pPr>
      <w:spacing w:line="500" w:lineRule="atLeast"/>
      <w:jc w:val="center"/>
    </w:pPr>
    <w:rPr>
      <w:rFonts w:hint="eastAsia" w:ascii="仿宋_GB2312" w:hAnsi="Times New Roman" w:eastAsia="仿宋_GB2312"/>
      <w:kern w:val="2"/>
      <w:sz w:val="28"/>
      <w:szCs w:val="24"/>
    </w:rPr>
  </w:style>
  <w:style w:type="paragraph" w:styleId="25">
    <w:name w:val="toc 2"/>
    <w:basedOn w:val="1"/>
    <w:next w:val="1"/>
    <w:autoRedefine/>
    <w:unhideWhenUsed/>
    <w:qFormat/>
    <w:uiPriority w:val="39"/>
    <w:pPr>
      <w:ind w:left="420" w:leftChars="200"/>
    </w:pPr>
  </w:style>
  <w:style w:type="paragraph" w:styleId="26">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7">
    <w:name w:val="annotation subject"/>
    <w:basedOn w:val="8"/>
    <w:next w:val="8"/>
    <w:link w:val="69"/>
    <w:autoRedefine/>
    <w:semiHidden/>
    <w:unhideWhenUsed/>
    <w:qFormat/>
    <w:uiPriority w:val="99"/>
    <w:rPr>
      <w:b/>
      <w:bCs/>
    </w:rPr>
  </w:style>
  <w:style w:type="paragraph" w:styleId="28">
    <w:name w:val="Body Text First Indent"/>
    <w:basedOn w:val="9"/>
    <w:next w:val="24"/>
    <w:link w:val="54"/>
    <w:autoRedefine/>
    <w:semiHidden/>
    <w:unhideWhenUsed/>
    <w:qFormat/>
    <w:uiPriority w:val="99"/>
    <w:pPr>
      <w:ind w:firstLine="420" w:firstLineChars="100"/>
    </w:pPr>
  </w:style>
  <w:style w:type="paragraph" w:styleId="29">
    <w:name w:val="Body Text First Indent 2"/>
    <w:basedOn w:val="11"/>
    <w:next w:val="1"/>
    <w:link w:val="68"/>
    <w:autoRedefine/>
    <w:semiHidden/>
    <w:unhideWhenUsed/>
    <w:qFormat/>
    <w:uiPriority w:val="99"/>
    <w:pPr>
      <w:ind w:left="200" w:leftChars="200" w:firstLine="420" w:firstLineChars="200"/>
    </w:pPr>
    <w:rPr>
      <w:rFonts w:asciiTheme="minorHAnsi" w:hAnsiTheme="minorHAnsi" w:eastAsiaTheme="minorEastAsia" w:cstheme="minorBidi"/>
      <w:szCs w:val="22"/>
    </w:rPr>
  </w:style>
  <w:style w:type="table" w:styleId="31">
    <w:name w:val="Table Grid"/>
    <w:basedOn w:val="30"/>
    <w:autoRedefine/>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3">
    <w:name w:val="Strong"/>
    <w:basedOn w:val="32"/>
    <w:autoRedefine/>
    <w:qFormat/>
    <w:uiPriority w:val="22"/>
    <w:rPr>
      <w:b/>
      <w:bCs/>
    </w:rPr>
  </w:style>
  <w:style w:type="character" w:styleId="34">
    <w:name w:val="page number"/>
    <w:basedOn w:val="32"/>
    <w:autoRedefine/>
    <w:qFormat/>
    <w:uiPriority w:val="0"/>
  </w:style>
  <w:style w:type="character" w:styleId="35">
    <w:name w:val="Hyperlink"/>
    <w:basedOn w:val="32"/>
    <w:autoRedefine/>
    <w:unhideWhenUsed/>
    <w:qFormat/>
    <w:uiPriority w:val="99"/>
    <w:rPr>
      <w:color w:val="0000FF"/>
      <w:u w:val="single"/>
    </w:rPr>
  </w:style>
  <w:style w:type="character" w:styleId="36">
    <w:name w:val="annotation reference"/>
    <w:basedOn w:val="32"/>
    <w:autoRedefine/>
    <w:semiHidden/>
    <w:unhideWhenUsed/>
    <w:qFormat/>
    <w:uiPriority w:val="99"/>
    <w:rPr>
      <w:sz w:val="21"/>
      <w:szCs w:val="21"/>
    </w:rPr>
  </w:style>
  <w:style w:type="paragraph" w:customStyle="1" w:styleId="37">
    <w:name w:val="样式 正文文本缩进 + 行距: 1.5 倍行距"/>
    <w:basedOn w:val="38"/>
    <w:next w:val="1"/>
    <w:autoRedefine/>
    <w:qFormat/>
    <w:uiPriority w:val="0"/>
    <w:pPr>
      <w:spacing w:after="120"/>
      <w:ind w:left="90" w:leftChars="32" w:firstLine="560" w:firstLineChars="200"/>
      <w:jc w:val="both"/>
    </w:pPr>
    <w:rPr>
      <w:rFonts w:cs="宋体"/>
      <w:spacing w:val="0"/>
      <w:sz w:val="24"/>
    </w:rPr>
  </w:style>
  <w:style w:type="paragraph" w:customStyle="1" w:styleId="38">
    <w:name w:val="Body Text Indent"/>
    <w:basedOn w:val="1"/>
    <w:next w:val="37"/>
    <w:autoRedefine/>
    <w:qFormat/>
    <w:uiPriority w:val="0"/>
    <w:pPr>
      <w:spacing w:after="120" w:afterLines="0"/>
      <w:ind w:left="420" w:leftChars="200"/>
    </w:pPr>
    <w:rPr>
      <w:rFonts w:ascii="Times New Roman" w:hAnsi="Times New Roman" w:eastAsia="宋体"/>
      <w:sz w:val="24"/>
    </w:rPr>
  </w:style>
  <w:style w:type="paragraph" w:customStyle="1" w:styleId="39">
    <w:name w:val="正文文本缩进1"/>
    <w:basedOn w:val="1"/>
    <w:next w:val="37"/>
    <w:autoRedefine/>
    <w:qFormat/>
    <w:uiPriority w:val="0"/>
    <w:pPr>
      <w:spacing w:after="120"/>
      <w:ind w:left="420" w:leftChars="200"/>
    </w:pPr>
    <w:rPr>
      <w:sz w:val="24"/>
    </w:rPr>
  </w:style>
  <w:style w:type="paragraph" w:customStyle="1" w:styleId="40">
    <w:name w:val="样式 样式 样式 四号 左侧:  1.53 厘米 + 首行缩进:  2 字符 + 居中 左侧:  2 字符 首行缩进:  2..."/>
    <w:basedOn w:val="41"/>
    <w:autoRedefine/>
    <w:qFormat/>
    <w:uiPriority w:val="0"/>
    <w:pPr>
      <w:ind w:firstLine="0" w:firstLineChars="0"/>
      <w:jc w:val="center"/>
    </w:pPr>
  </w:style>
  <w:style w:type="paragraph" w:customStyle="1" w:styleId="41">
    <w:name w:val="样式 样式 四号 左侧:  1.53 厘米 + 首行缩进:  2 字符"/>
    <w:basedOn w:val="42"/>
    <w:autoRedefine/>
    <w:qFormat/>
    <w:uiPriority w:val="0"/>
    <w:pPr>
      <w:ind w:left="200" w:leftChars="200"/>
    </w:pPr>
    <w:rPr>
      <w:szCs w:val="20"/>
    </w:rPr>
  </w:style>
  <w:style w:type="paragraph" w:customStyle="1" w:styleId="42">
    <w:name w:val="样式 四号 左侧:  1.53 厘米"/>
    <w:basedOn w:val="1"/>
    <w:autoRedefine/>
    <w:qFormat/>
    <w:uiPriority w:val="0"/>
    <w:pPr>
      <w:adjustRightInd w:val="0"/>
    </w:pPr>
    <w:rPr>
      <w:w w:val="90"/>
      <w:sz w:val="28"/>
      <w:szCs w:val="28"/>
    </w:rPr>
  </w:style>
  <w:style w:type="character" w:customStyle="1" w:styleId="43">
    <w:name w:val="标题 1 字符"/>
    <w:basedOn w:val="32"/>
    <w:link w:val="4"/>
    <w:autoRedefine/>
    <w:qFormat/>
    <w:uiPriority w:val="9"/>
    <w:rPr>
      <w:b/>
      <w:bCs/>
      <w:kern w:val="44"/>
      <w:sz w:val="44"/>
      <w:szCs w:val="44"/>
    </w:rPr>
  </w:style>
  <w:style w:type="character" w:customStyle="1" w:styleId="44">
    <w:name w:val="标题 2 字符"/>
    <w:basedOn w:val="32"/>
    <w:link w:val="5"/>
    <w:autoRedefine/>
    <w:qFormat/>
    <w:uiPriority w:val="0"/>
    <w:rPr>
      <w:rFonts w:asciiTheme="majorHAnsi" w:hAnsiTheme="majorHAnsi" w:eastAsiaTheme="majorEastAsia" w:cstheme="majorBidi"/>
      <w:b/>
      <w:bCs/>
      <w:kern w:val="2"/>
      <w:sz w:val="32"/>
      <w:szCs w:val="32"/>
    </w:rPr>
  </w:style>
  <w:style w:type="character" w:customStyle="1" w:styleId="45">
    <w:name w:val="页眉 字符"/>
    <w:basedOn w:val="32"/>
    <w:link w:val="12"/>
    <w:autoRedefine/>
    <w:qFormat/>
    <w:uiPriority w:val="99"/>
    <w:rPr>
      <w:sz w:val="18"/>
      <w:szCs w:val="18"/>
    </w:rPr>
  </w:style>
  <w:style w:type="character" w:customStyle="1" w:styleId="46">
    <w:name w:val="页脚 字符"/>
    <w:basedOn w:val="32"/>
    <w:link w:val="22"/>
    <w:autoRedefine/>
    <w:qFormat/>
    <w:uiPriority w:val="99"/>
    <w:rPr>
      <w:sz w:val="18"/>
      <w:szCs w:val="18"/>
    </w:rPr>
  </w:style>
  <w:style w:type="paragraph" w:styleId="47">
    <w:name w:val="List Paragraph"/>
    <w:basedOn w:val="1"/>
    <w:autoRedefine/>
    <w:qFormat/>
    <w:uiPriority w:val="99"/>
    <w:pPr>
      <w:ind w:firstLine="420" w:firstLineChars="200"/>
    </w:pPr>
  </w:style>
  <w:style w:type="character" w:customStyle="1" w:styleId="48">
    <w:name w:val="正文文本缩进 字符"/>
    <w:basedOn w:val="32"/>
    <w:link w:val="11"/>
    <w:autoRedefine/>
    <w:qFormat/>
    <w:uiPriority w:val="0"/>
    <w:rPr>
      <w:rFonts w:ascii="Times New Roman" w:hAnsi="Times New Roman" w:eastAsia="宋体" w:cs="Times New Roman"/>
      <w:szCs w:val="20"/>
    </w:rPr>
  </w:style>
  <w:style w:type="paragraph" w:customStyle="1" w:styleId="49">
    <w:name w:val="表格"/>
    <w:basedOn w:val="1"/>
    <w:autoRedefine/>
    <w:qFormat/>
    <w:uiPriority w:val="0"/>
    <w:pPr>
      <w:spacing w:line="240" w:lineRule="atLeast"/>
    </w:pPr>
    <w:rPr>
      <w:rFonts w:ascii="宋体" w:hAnsi="宋体" w:eastAsia="宋体" w:cs="Times New Roman"/>
      <w:sz w:val="24"/>
      <w:szCs w:val="24"/>
    </w:rPr>
  </w:style>
  <w:style w:type="paragraph" w:customStyle="1" w:styleId="50">
    <w:name w:val="Table Paragraph"/>
    <w:basedOn w:val="1"/>
    <w:autoRedefine/>
    <w:qFormat/>
    <w:uiPriority w:val="1"/>
    <w:rPr>
      <w:rFonts w:ascii="Times New Roman" w:hAnsi="Times New Roman" w:eastAsia="宋体" w:cs="Times New Roman"/>
      <w:szCs w:val="20"/>
    </w:rPr>
  </w:style>
  <w:style w:type="paragraph" w:customStyle="1" w:styleId="51">
    <w:name w:val="TOC 标题1"/>
    <w:basedOn w:val="4"/>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2">
    <w:name w:val="批注框文本 字符"/>
    <w:basedOn w:val="32"/>
    <w:link w:val="21"/>
    <w:autoRedefine/>
    <w:semiHidden/>
    <w:qFormat/>
    <w:uiPriority w:val="99"/>
    <w:rPr>
      <w:sz w:val="18"/>
      <w:szCs w:val="18"/>
    </w:rPr>
  </w:style>
  <w:style w:type="character" w:customStyle="1" w:styleId="53">
    <w:name w:val="正文文本 字符"/>
    <w:basedOn w:val="32"/>
    <w:link w:val="9"/>
    <w:autoRedefine/>
    <w:semiHidden/>
    <w:qFormat/>
    <w:uiPriority w:val="99"/>
  </w:style>
  <w:style w:type="character" w:customStyle="1" w:styleId="54">
    <w:name w:val="正文文本首行缩进 字符"/>
    <w:basedOn w:val="53"/>
    <w:link w:val="28"/>
    <w:autoRedefine/>
    <w:semiHidden/>
    <w:qFormat/>
    <w:uiPriority w:val="99"/>
  </w:style>
  <w:style w:type="character" w:customStyle="1" w:styleId="55">
    <w:name w:val="font21"/>
    <w:autoRedefine/>
    <w:qFormat/>
    <w:uiPriority w:val="0"/>
    <w:rPr>
      <w:rFonts w:ascii="宋体" w:eastAsia="宋体"/>
      <w:color w:val="000000"/>
      <w:sz w:val="21"/>
      <w:szCs w:val="21"/>
      <w:u w:val="none"/>
    </w:rPr>
  </w:style>
  <w:style w:type="character" w:customStyle="1" w:styleId="56">
    <w:name w:val="纯文本 字符"/>
    <w:link w:val="17"/>
    <w:autoRedefine/>
    <w:qFormat/>
    <w:uiPriority w:val="0"/>
    <w:rPr>
      <w:rFonts w:eastAsia="方正书宋简体"/>
      <w:sz w:val="28"/>
    </w:rPr>
  </w:style>
  <w:style w:type="character" w:customStyle="1" w:styleId="57">
    <w:name w:val="纯文本 字符1"/>
    <w:basedOn w:val="32"/>
    <w:autoRedefine/>
    <w:semiHidden/>
    <w:qFormat/>
    <w:uiPriority w:val="99"/>
    <w:rPr>
      <w:rFonts w:hAnsi="Courier New" w:cs="Courier New" w:asciiTheme="minorEastAsia"/>
    </w:rPr>
  </w:style>
  <w:style w:type="character" w:customStyle="1" w:styleId="58">
    <w:name w:val="正文文本缩进 2 字符"/>
    <w:basedOn w:val="32"/>
    <w:link w:val="18"/>
    <w:autoRedefine/>
    <w:qFormat/>
    <w:uiPriority w:val="0"/>
    <w:rPr>
      <w:kern w:val="2"/>
      <w:sz w:val="21"/>
      <w:szCs w:val="24"/>
    </w:rPr>
  </w:style>
  <w:style w:type="character" w:customStyle="1" w:styleId="59">
    <w:name w:val="正文文本缩进 2 Char1"/>
    <w:basedOn w:val="32"/>
    <w:autoRedefine/>
    <w:semiHidden/>
    <w:qFormat/>
    <w:uiPriority w:val="99"/>
    <w:rPr>
      <w:rFonts w:asciiTheme="minorHAnsi" w:hAnsiTheme="minorHAnsi" w:eastAsiaTheme="minorEastAsia" w:cstheme="minorBidi"/>
      <w:kern w:val="2"/>
      <w:sz w:val="21"/>
      <w:szCs w:val="22"/>
    </w:rPr>
  </w:style>
  <w:style w:type="paragraph" w:customStyle="1" w:styleId="60">
    <w:name w:val="样式 标题 2 + 楷体_GB2312 四号 段前: 0 磅 段后: 0 磅 行距: 1.5 倍行距"/>
    <w:basedOn w:val="5"/>
    <w:autoRedefine/>
    <w:qFormat/>
    <w:uiPriority w:val="0"/>
    <w:pPr>
      <w:spacing w:beforeLines="50" w:after="0" w:line="360" w:lineRule="auto"/>
    </w:pPr>
    <w:rPr>
      <w:rFonts w:ascii="楷体_GB2312" w:hAnsi="楷体_GB2312" w:eastAsia="楷体_GB2312" w:cs="宋体"/>
      <w:sz w:val="28"/>
      <w:szCs w:val="20"/>
    </w:rPr>
  </w:style>
  <w:style w:type="paragraph" w:customStyle="1" w:styleId="61">
    <w:name w:val="陈光的正文"/>
    <w:basedOn w:val="1"/>
    <w:autoRedefine/>
    <w:qFormat/>
    <w:uiPriority w:val="0"/>
    <w:pPr>
      <w:adjustRightInd w:val="0"/>
      <w:snapToGrid w:val="0"/>
      <w:spacing w:beforeLines="10" w:afterLines="10" w:line="360" w:lineRule="auto"/>
      <w:ind w:firstLine="560" w:firstLineChars="200"/>
    </w:pPr>
    <w:rPr>
      <w:rFonts w:ascii="Calibri" w:hAnsi="Calibri" w:eastAsia="宋体" w:cs="Times New Roman"/>
      <w:sz w:val="28"/>
      <w:szCs w:val="20"/>
    </w:rPr>
  </w:style>
  <w:style w:type="character" w:customStyle="1" w:styleId="62">
    <w:name w:val="批注文字 字符"/>
    <w:basedOn w:val="32"/>
    <w:link w:val="8"/>
    <w:autoRedefine/>
    <w:semiHidden/>
    <w:qFormat/>
    <w:uiPriority w:val="99"/>
    <w:rPr>
      <w:rFonts w:asciiTheme="minorHAnsi" w:hAnsiTheme="minorHAnsi" w:eastAsiaTheme="minorEastAsia" w:cstheme="minorBidi"/>
      <w:kern w:val="2"/>
      <w:sz w:val="21"/>
      <w:szCs w:val="22"/>
    </w:rPr>
  </w:style>
  <w:style w:type="character" w:customStyle="1" w:styleId="63">
    <w:name w:val="li_正文 Char Char Char Char"/>
    <w:link w:val="64"/>
    <w:autoRedefine/>
    <w:qFormat/>
    <w:uiPriority w:val="0"/>
    <w:rPr>
      <w:kern w:val="2"/>
      <w:sz w:val="28"/>
      <w:szCs w:val="28"/>
    </w:rPr>
  </w:style>
  <w:style w:type="paragraph" w:customStyle="1" w:styleId="64">
    <w:name w:val="li_正文 Char"/>
    <w:basedOn w:val="1"/>
    <w:link w:val="63"/>
    <w:autoRedefine/>
    <w:qFormat/>
    <w:uiPriority w:val="0"/>
    <w:pPr>
      <w:ind w:firstLine="200" w:firstLineChars="200"/>
      <w:jc w:val="left"/>
    </w:pPr>
    <w:rPr>
      <w:rFonts w:ascii="Times New Roman" w:hAnsi="Times New Roman" w:eastAsia="宋体" w:cs="Times New Roman"/>
      <w:sz w:val="28"/>
      <w:szCs w:val="28"/>
    </w:rPr>
  </w:style>
  <w:style w:type="paragraph" w:customStyle="1" w:styleId="65">
    <w:name w:val="正文文本 21"/>
    <w:basedOn w:val="1"/>
    <w:autoRedefine/>
    <w:qFormat/>
    <w:uiPriority w:val="0"/>
    <w:pPr>
      <w:autoSpaceDE w:val="0"/>
      <w:autoSpaceDN w:val="0"/>
      <w:adjustRightInd w:val="0"/>
      <w:spacing w:line="480" w:lineRule="atLeast"/>
      <w:ind w:firstLine="570"/>
    </w:pPr>
    <w:rPr>
      <w:rFonts w:ascii="宋体" w:hAnsi="Times New Roman" w:eastAsia="宋体" w:cs="宋体"/>
      <w:kern w:val="0"/>
      <w:sz w:val="28"/>
      <w:szCs w:val="28"/>
    </w:rPr>
  </w:style>
  <w:style w:type="character" w:customStyle="1" w:styleId="66">
    <w:name w:val="表头 Char"/>
    <w:link w:val="67"/>
    <w:autoRedefine/>
    <w:qFormat/>
    <w:uiPriority w:val="0"/>
    <w:rPr>
      <w:rFonts w:ascii="黑体" w:eastAsia="黑体"/>
      <w:sz w:val="24"/>
      <w:szCs w:val="24"/>
      <w:lang w:val="de-DE"/>
    </w:rPr>
  </w:style>
  <w:style w:type="paragraph" w:customStyle="1" w:styleId="67">
    <w:name w:val="表头"/>
    <w:basedOn w:val="1"/>
    <w:next w:val="1"/>
    <w:link w:val="66"/>
    <w:autoRedefine/>
    <w:qFormat/>
    <w:uiPriority w:val="0"/>
    <w:pPr>
      <w:spacing w:line="500" w:lineRule="exact"/>
      <w:jc w:val="center"/>
    </w:pPr>
    <w:rPr>
      <w:rFonts w:ascii="黑体" w:hAnsi="Times New Roman" w:eastAsia="黑体" w:cs="Times New Roman"/>
      <w:kern w:val="0"/>
      <w:sz w:val="24"/>
      <w:szCs w:val="24"/>
      <w:lang w:val="de-DE"/>
    </w:rPr>
  </w:style>
  <w:style w:type="character" w:customStyle="1" w:styleId="68">
    <w:name w:val="正文文本首行缩进 2 字符"/>
    <w:basedOn w:val="48"/>
    <w:link w:val="29"/>
    <w:autoRedefine/>
    <w:semiHidden/>
    <w:qFormat/>
    <w:uiPriority w:val="99"/>
    <w:rPr>
      <w:rFonts w:asciiTheme="minorHAnsi" w:hAnsiTheme="minorHAnsi" w:eastAsiaTheme="minorEastAsia" w:cstheme="minorBidi"/>
      <w:kern w:val="2"/>
      <w:sz w:val="21"/>
      <w:szCs w:val="22"/>
    </w:rPr>
  </w:style>
  <w:style w:type="character" w:customStyle="1" w:styleId="69">
    <w:name w:val="批注主题 字符"/>
    <w:basedOn w:val="62"/>
    <w:link w:val="27"/>
    <w:autoRedefine/>
    <w:semiHidden/>
    <w:qFormat/>
    <w:uiPriority w:val="99"/>
    <w:rPr>
      <w:rFonts w:asciiTheme="minorHAnsi" w:hAnsiTheme="minorHAnsi" w:eastAsiaTheme="minorEastAsia" w:cstheme="minorBidi"/>
      <w:b/>
      <w:bCs/>
      <w:kern w:val="2"/>
      <w:sz w:val="21"/>
      <w:szCs w:val="22"/>
    </w:rPr>
  </w:style>
  <w:style w:type="paragraph" w:customStyle="1" w:styleId="70">
    <w:name w:val="样式 样式 样式 样式 小四 左 首行缩进:  2 字符 + 首行缩进:  2 字符 Char + 右  0 字符1 + 首行缩...3"/>
    <w:basedOn w:val="1"/>
    <w:autoRedefine/>
    <w:qFormat/>
    <w:uiPriority w:val="0"/>
    <w:pPr>
      <w:adjustRightInd w:val="0"/>
      <w:spacing w:line="360" w:lineRule="auto"/>
      <w:ind w:firstLine="200" w:firstLineChars="200"/>
      <w:jc w:val="left"/>
      <w:textAlignment w:val="baseline"/>
    </w:pPr>
    <w:rPr>
      <w:rFonts w:ascii="Times New Roman" w:hAnsi="Times New Roman" w:eastAsia="宋体" w:cs="宋体"/>
      <w:sz w:val="24"/>
      <w:szCs w:val="20"/>
    </w:rPr>
  </w:style>
  <w:style w:type="paragraph" w:customStyle="1" w:styleId="71">
    <w:name w:val="表格文字"/>
    <w:basedOn w:val="1"/>
    <w:autoRedefine/>
    <w:qFormat/>
    <w:uiPriority w:val="0"/>
    <w:pPr>
      <w:adjustRightInd w:val="0"/>
      <w:snapToGrid w:val="0"/>
      <w:jc w:val="center"/>
    </w:pPr>
    <w:rPr>
      <w:rFonts w:ascii="仿宋_GB2312" w:hAnsi="Arial Black" w:eastAsia="仿宋_GB2312"/>
      <w:kern w:val="44"/>
      <w:sz w:val="24"/>
      <w:szCs w:val="20"/>
    </w:rPr>
  </w:style>
  <w:style w:type="paragraph" w:customStyle="1" w:styleId="72">
    <w:name w:val="CJ表格表头"/>
    <w:basedOn w:val="1"/>
    <w:next w:val="1"/>
    <w:autoRedefine/>
    <w:qFormat/>
    <w:uiPriority w:val="0"/>
    <w:pPr>
      <w:jc w:val="center"/>
    </w:pPr>
    <w:rPr>
      <w:b/>
      <w:color w:val="000000"/>
      <w:szCs w:val="20"/>
    </w:rPr>
  </w:style>
  <w:style w:type="paragraph" w:customStyle="1" w:styleId="73">
    <w:name w:val="CJ表格内容"/>
    <w:basedOn w:val="1"/>
    <w:autoRedefine/>
    <w:qFormat/>
    <w:uiPriority w:val="0"/>
    <w:pPr>
      <w:jc w:val="center"/>
    </w:pPr>
    <w:rPr>
      <w:color w:val="000000"/>
      <w:szCs w:val="20"/>
    </w:rPr>
  </w:style>
  <w:style w:type="paragraph" w:customStyle="1" w:styleId="74">
    <w:name w:val="表图"/>
    <w:basedOn w:val="1"/>
    <w:next w:val="1"/>
    <w:autoRedefine/>
    <w:qFormat/>
    <w:uiPriority w:val="0"/>
    <w:pPr>
      <w:widowControl/>
      <w:jc w:val="center"/>
    </w:pPr>
    <w:rPr>
      <w:rFonts w:eastAsia="仿宋_GB2312"/>
      <w:kern w:val="0"/>
      <w:sz w:val="24"/>
      <w:szCs w:val="20"/>
    </w:rPr>
  </w:style>
  <w:style w:type="character" w:customStyle="1" w:styleId="75">
    <w:name w:val="NormalCharacter"/>
    <w:autoRedefine/>
    <w:qFormat/>
    <w:uiPriority w:val="0"/>
    <w:rPr>
      <w:kern w:val="2"/>
      <w:sz w:val="21"/>
      <w:szCs w:val="24"/>
      <w:lang w:val="en-US" w:eastAsia="zh-CN" w:bidi="ar-SA"/>
    </w:rPr>
  </w:style>
  <w:style w:type="paragraph" w:customStyle="1" w:styleId="76">
    <w:name w:val="表段1"/>
    <w:basedOn w:val="1"/>
    <w:autoRedefine/>
    <w:qFormat/>
    <w:uiPriority w:val="0"/>
    <w:pPr>
      <w:adjustRightInd w:val="0"/>
      <w:snapToGrid w:val="0"/>
      <w:spacing w:line="360" w:lineRule="auto"/>
      <w:ind w:firstLine="200" w:firstLineChars="200"/>
    </w:pPr>
    <w:rPr>
      <w:sz w:val="24"/>
    </w:rPr>
  </w:style>
  <w:style w:type="paragraph" w:customStyle="1" w:styleId="77">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character" w:customStyle="1" w:styleId="78">
    <w:name w:val="font31"/>
    <w:basedOn w:val="32"/>
    <w:autoRedefine/>
    <w:qFormat/>
    <w:uiPriority w:val="0"/>
    <w:rPr>
      <w:rFonts w:hint="eastAsia" w:ascii="宋体" w:hAnsi="宋体" w:eastAsia="宋体" w:cs="宋体"/>
      <w:color w:val="000000"/>
      <w:sz w:val="24"/>
      <w:szCs w:val="24"/>
      <w:u w:val="none"/>
      <w:vertAlign w:val="superscript"/>
    </w:rPr>
  </w:style>
  <w:style w:type="character" w:customStyle="1" w:styleId="79">
    <w:name w:val="font01"/>
    <w:basedOn w:val="32"/>
    <w:autoRedefine/>
    <w:qFormat/>
    <w:uiPriority w:val="0"/>
    <w:rPr>
      <w:rFonts w:hint="eastAsia" w:ascii="宋体" w:hAnsi="宋体" w:eastAsia="宋体" w:cs="宋体"/>
      <w:color w:val="000000"/>
      <w:sz w:val="22"/>
      <w:szCs w:val="22"/>
      <w:u w:val="none"/>
    </w:rPr>
  </w:style>
  <w:style w:type="paragraph" w:customStyle="1" w:styleId="80">
    <w:name w:val="Other|1"/>
    <w:basedOn w:val="1"/>
    <w:autoRedefine/>
    <w:qFormat/>
    <w:uiPriority w:val="0"/>
    <w:pPr>
      <w:widowControl w:val="0"/>
      <w:shd w:val="clear" w:color="auto" w:fill="auto"/>
      <w:jc w:val="center"/>
    </w:pPr>
    <w:rPr>
      <w:rFonts w:ascii="宋体" w:hAnsi="宋体" w:eastAsia="宋体" w:cs="宋体"/>
      <w:sz w:val="22"/>
      <w:szCs w:val="22"/>
      <w:u w:val="none"/>
      <w:shd w:val="clear" w:color="auto" w:fill="auto"/>
      <w:lang w:val="zh-CN" w:eastAsia="zh-CN" w:bidi="zh-CN"/>
    </w:rPr>
  </w:style>
  <w:style w:type="character" w:customStyle="1" w:styleId="81">
    <w:name w:val="ql-author-13781750"/>
    <w:autoRedefine/>
    <w:qFormat/>
    <w:uiPriority w:val="0"/>
    <w:rPr>
      <w:rFonts w:hint="default"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footer" Target="foot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er" Target="footer1.xml"/><Relationship Id="rId29" Type="http://schemas.openxmlformats.org/officeDocument/2006/relationships/image" Target="media/image15.jpe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DCFE72-CE74-4F66-AB08-7D212F4302DC}">
  <ds:schemaRefs/>
</ds:datastoreItem>
</file>

<file path=docProps/app.xml><?xml version="1.0" encoding="utf-8"?>
<Properties xmlns="http://schemas.openxmlformats.org/officeDocument/2006/extended-properties" xmlns:vt="http://schemas.openxmlformats.org/officeDocument/2006/docPropsVTypes">
  <Template>Normal</Template>
  <Pages>67</Pages>
  <Words>19695</Words>
  <Characters>23267</Characters>
  <Lines>231</Lines>
  <Paragraphs>65</Paragraphs>
  <TotalTime>13</TotalTime>
  <ScaleCrop>false</ScaleCrop>
  <LinksUpToDate>false</LinksUpToDate>
  <CharactersWithSpaces>24206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2018-01-11T06:58:00Z</dcterms:created>
  <dc:creator>user</dc:creator>
  <cp:lastModifiedBy>程相征</cp:lastModifiedBy>
  <cp:lastPrinted>2024-03-24T03:24:00Z</cp:lastPrinted>
  <dcterms:modified xsi:type="dcterms:W3CDTF">2024-03-26T09:09:26Z</dcterms:modified>
  <cp:revision>1802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A7CB7DF89D5747EABDF541FCD4288CD5_13</vt:lpwstr>
  </property>
</Properties>
</file>