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560"/>
        <w:rPr>
          <w:rFonts w:hint="default" w:ascii="Times New Roman" w:hAnsi="Times New Roman" w:eastAsia="宋体" w:cs="Times New Roman"/>
          <w:sz w:val="28"/>
          <w:szCs w:val="32"/>
        </w:rPr>
      </w:pPr>
    </w:p>
    <w:p>
      <w:pPr>
        <w:rPr>
          <w:rFonts w:hint="default" w:ascii="Times New Roman" w:hAnsi="Times New Roman" w:eastAsia="宋体" w:cs="Times New Roman"/>
          <w:sz w:val="36"/>
          <w:szCs w:val="36"/>
        </w:rPr>
      </w:pPr>
    </w:p>
    <w:p>
      <w:pPr>
        <w:spacing w:line="360" w:lineRule="auto"/>
        <w:jc w:val="center"/>
        <w:rPr>
          <w:rFonts w:hint="default" w:ascii="Times New Roman" w:hAnsi="Times New Roman" w:eastAsia="宋体" w:cs="Times New Roman"/>
          <w:b/>
          <w:bCs/>
          <w:sz w:val="44"/>
          <w:szCs w:val="44"/>
          <w:lang w:val="en-US" w:eastAsia="zh-CN"/>
        </w:rPr>
      </w:pPr>
      <w:r>
        <w:rPr>
          <w:rFonts w:hint="default" w:ascii="Times New Roman" w:hAnsi="Times New Roman" w:eastAsia="宋体" w:cs="Times New Roman"/>
          <w:b/>
          <w:bCs/>
          <w:sz w:val="44"/>
          <w:szCs w:val="44"/>
          <w:lang w:val="en-US" w:eastAsia="zh-CN"/>
        </w:rPr>
        <w:t>中国石化销售股份有限公司</w:t>
      </w:r>
    </w:p>
    <w:p>
      <w:pPr>
        <w:spacing w:line="360" w:lineRule="auto"/>
        <w:jc w:val="center"/>
        <w:rPr>
          <w:rFonts w:hint="default" w:ascii="Times New Roman" w:hAnsi="Times New Roman" w:eastAsia="宋体" w:cs="Times New Roman"/>
          <w:b/>
          <w:bCs/>
          <w:sz w:val="44"/>
          <w:szCs w:val="44"/>
          <w:lang w:val="en-US" w:eastAsia="zh-CN"/>
        </w:rPr>
      </w:pPr>
      <w:r>
        <w:rPr>
          <w:rFonts w:hint="default" w:ascii="Times New Roman" w:hAnsi="Times New Roman" w:eastAsia="宋体" w:cs="Times New Roman"/>
          <w:b/>
          <w:bCs/>
          <w:sz w:val="44"/>
          <w:szCs w:val="44"/>
          <w:lang w:val="en-US" w:eastAsia="zh-CN"/>
        </w:rPr>
        <w:t>山东菏泽石油分公司</w:t>
      </w:r>
    </w:p>
    <w:p>
      <w:pPr>
        <w:spacing w:line="360" w:lineRule="auto"/>
        <w:jc w:val="center"/>
        <w:rPr>
          <w:rFonts w:hint="default" w:ascii="Times New Roman" w:hAnsi="Times New Roman" w:eastAsia="宋体" w:cs="Times New Roman"/>
          <w:b/>
          <w:bCs/>
          <w:sz w:val="44"/>
          <w:szCs w:val="44"/>
          <w:lang w:val="en-US" w:eastAsia="zh-CN"/>
        </w:rPr>
      </w:pPr>
      <w:r>
        <w:rPr>
          <w:rFonts w:hint="default" w:ascii="Times New Roman" w:hAnsi="Times New Roman" w:eastAsia="宋体" w:cs="Times New Roman"/>
          <w:b/>
          <w:bCs/>
          <w:sz w:val="44"/>
          <w:szCs w:val="44"/>
          <w:lang w:val="en-US" w:eastAsia="zh-CN"/>
        </w:rPr>
        <w:t>成武六一七加油站新建项目</w:t>
      </w:r>
    </w:p>
    <w:p>
      <w:pPr>
        <w:spacing w:line="360" w:lineRule="auto"/>
        <w:jc w:val="center"/>
        <w:rPr>
          <w:rFonts w:hint="default" w:ascii="Times New Roman" w:hAnsi="Times New Roman" w:eastAsia="宋体" w:cs="Times New Roman"/>
          <w:b/>
          <w:bCs/>
          <w:sz w:val="44"/>
          <w:szCs w:val="44"/>
        </w:rPr>
      </w:pPr>
      <w:r>
        <w:rPr>
          <w:rFonts w:hint="default" w:ascii="Times New Roman" w:hAnsi="Times New Roman" w:eastAsia="宋体" w:cs="Times New Roman"/>
          <w:b/>
          <w:bCs/>
          <w:sz w:val="44"/>
          <w:szCs w:val="44"/>
          <w:lang w:val="en-US" w:eastAsia="zh-CN"/>
        </w:rPr>
        <w:t>竣工</w:t>
      </w:r>
      <w:r>
        <w:rPr>
          <w:rFonts w:hint="default" w:ascii="Times New Roman" w:hAnsi="Times New Roman" w:eastAsia="宋体" w:cs="Times New Roman"/>
          <w:b/>
          <w:bCs/>
          <w:sz w:val="44"/>
          <w:szCs w:val="44"/>
        </w:rPr>
        <w:t>环境保护验收报告</w:t>
      </w:r>
    </w:p>
    <w:p>
      <w:pPr>
        <w:jc w:val="center"/>
        <w:rPr>
          <w:rFonts w:hint="default" w:ascii="Times New Roman" w:hAnsi="Times New Roman" w:eastAsia="宋体" w:cs="Times New Roman"/>
          <w:sz w:val="36"/>
          <w:szCs w:val="36"/>
        </w:rPr>
      </w:pPr>
    </w:p>
    <w:p>
      <w:pPr>
        <w:spacing w:line="360" w:lineRule="auto"/>
        <w:jc w:val="center"/>
        <w:rPr>
          <w:rFonts w:hint="default" w:ascii="Times New Roman" w:hAnsi="Times New Roman" w:eastAsia="宋体" w:cs="Times New Roman"/>
          <w:b/>
          <w:bCs/>
          <w:sz w:val="44"/>
          <w:szCs w:val="44"/>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spacing w:line="600" w:lineRule="auto"/>
        <w:jc w:val="center"/>
        <w:rPr>
          <w:rFonts w:hint="default" w:ascii="Times New Roman" w:hAnsi="Times New Roman" w:eastAsia="宋体" w:cs="Times New Roman"/>
          <w:b/>
          <w:bCs/>
          <w:sz w:val="32"/>
          <w:szCs w:val="32"/>
          <w:u w:val="single"/>
          <w:lang w:eastAsia="zh-CN"/>
        </w:rPr>
      </w:pPr>
      <w:r>
        <w:rPr>
          <w:rFonts w:hint="default" w:ascii="Times New Roman" w:hAnsi="Times New Roman" w:eastAsia="宋体" w:cs="Times New Roman"/>
          <w:b/>
          <w:bCs/>
          <w:sz w:val="32"/>
          <w:szCs w:val="32"/>
        </w:rPr>
        <w:t>建设单位：</w:t>
      </w:r>
      <w:r>
        <w:rPr>
          <w:rFonts w:hint="default" w:ascii="Times New Roman" w:hAnsi="Times New Roman" w:eastAsia="宋体" w:cs="Times New Roman"/>
          <w:b/>
          <w:bCs/>
          <w:sz w:val="32"/>
          <w:szCs w:val="32"/>
          <w:u w:val="single"/>
          <w:lang w:val="en-US" w:eastAsia="zh-CN"/>
        </w:rPr>
        <w:t>中国石化销售股份有限公司山东菏泽石油分公司</w:t>
      </w:r>
    </w:p>
    <w:p>
      <w:pPr>
        <w:jc w:val="center"/>
        <w:rPr>
          <w:rFonts w:hint="default" w:ascii="Times New Roman" w:hAnsi="Times New Roman" w:eastAsia="宋体" w:cs="Times New Roman"/>
          <w:b/>
          <w:bCs/>
          <w:sz w:val="32"/>
          <w:szCs w:val="32"/>
          <w:u w:val="single"/>
          <w:lang w:val="en-US" w:eastAsia="zh-CN"/>
        </w:rPr>
      </w:pPr>
      <w:r>
        <w:rPr>
          <w:rFonts w:hint="default" w:ascii="Times New Roman" w:hAnsi="Times New Roman" w:eastAsia="宋体" w:cs="Times New Roman"/>
          <w:b/>
          <w:bCs/>
          <w:sz w:val="32"/>
          <w:szCs w:val="32"/>
        </w:rPr>
        <w:t>编制单位：</w:t>
      </w:r>
      <w:r>
        <w:rPr>
          <w:rFonts w:hint="default" w:ascii="Times New Roman" w:hAnsi="Times New Roman" w:eastAsia="宋体" w:cs="Times New Roman"/>
          <w:b/>
          <w:bCs/>
          <w:sz w:val="32"/>
          <w:szCs w:val="32"/>
          <w:u w:val="single"/>
          <w:lang w:val="en-US" w:eastAsia="zh-CN"/>
        </w:rPr>
        <w:t>中国石化销售股份有限公司山东菏泽石油分公司</w:t>
      </w: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jc w:val="center"/>
        <w:rPr>
          <w:rFonts w:hint="default" w:ascii="Times New Roman" w:hAnsi="Times New Roman" w:eastAsia="宋体" w:cs="Times New Roman"/>
          <w:b/>
          <w:bCs/>
          <w:sz w:val="30"/>
          <w:szCs w:val="30"/>
        </w:rPr>
      </w:pPr>
    </w:p>
    <w:p>
      <w:pPr>
        <w:jc w:val="center"/>
        <w:rPr>
          <w:rFonts w:hint="default" w:ascii="Times New Roman" w:hAnsi="Times New Roman" w:eastAsia="宋体" w:cs="Times New Roman"/>
          <w:sz w:val="28"/>
          <w:szCs w:val="28"/>
        </w:rPr>
      </w:pPr>
      <w:r>
        <w:rPr>
          <w:rFonts w:hint="default" w:ascii="Times New Roman" w:hAnsi="Times New Roman" w:eastAsia="宋体" w:cs="Times New Roman"/>
          <w:b/>
          <w:bCs/>
          <w:sz w:val="30"/>
          <w:szCs w:val="30"/>
        </w:rPr>
        <w:t>20</w:t>
      </w:r>
      <w:r>
        <w:rPr>
          <w:rFonts w:hint="default" w:ascii="Times New Roman" w:hAnsi="Times New Roman" w:eastAsia="宋体" w:cs="Times New Roman"/>
          <w:b/>
          <w:bCs/>
          <w:sz w:val="30"/>
          <w:szCs w:val="30"/>
          <w:lang w:val="en-US" w:eastAsia="zh-CN"/>
        </w:rPr>
        <w:t>24</w:t>
      </w:r>
      <w:r>
        <w:rPr>
          <w:rFonts w:hint="default" w:ascii="Times New Roman" w:hAnsi="Times New Roman" w:eastAsia="宋体" w:cs="Times New Roman"/>
          <w:b/>
          <w:bCs/>
          <w:sz w:val="30"/>
          <w:szCs w:val="30"/>
        </w:rPr>
        <w:t>年</w:t>
      </w:r>
      <w:r>
        <w:rPr>
          <w:rFonts w:hint="default" w:ascii="Times New Roman" w:hAnsi="Times New Roman" w:eastAsia="宋体" w:cs="Times New Roman"/>
          <w:b/>
          <w:bCs/>
          <w:sz w:val="30"/>
          <w:szCs w:val="30"/>
          <w:lang w:val="en-US" w:eastAsia="zh-CN"/>
        </w:rPr>
        <w:t>01</w:t>
      </w:r>
      <w:r>
        <w:rPr>
          <w:rFonts w:hint="default" w:ascii="Times New Roman" w:hAnsi="Times New Roman" w:eastAsia="宋体" w:cs="Times New Roman"/>
          <w:b/>
          <w:bCs/>
          <w:sz w:val="30"/>
          <w:szCs w:val="30"/>
        </w:rPr>
        <w:t>月</w:t>
      </w:r>
    </w:p>
    <w:p>
      <w:pPr>
        <w:widowControl/>
        <w:jc w:val="left"/>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pPr>
        <w:pStyle w:val="19"/>
        <w:ind w:left="-283" w:leftChars="-135"/>
        <w:rPr>
          <w:rFonts w:hint="default" w:ascii="Times New Roman" w:hAnsi="Times New Roman" w:eastAsia="宋体" w:cs="Times New Roman"/>
        </w:rPr>
      </w:pPr>
    </w:p>
    <w:p>
      <w:pPr>
        <w:spacing w:line="360" w:lineRule="auto"/>
        <w:rPr>
          <w:rFonts w:hint="default" w:ascii="Times New Roman" w:hAnsi="Times New Roman" w:eastAsia="宋体" w:cs="Times New Roman"/>
          <w:b/>
          <w:sz w:val="28"/>
          <w:lang w:eastAsia="zh-CN"/>
        </w:rPr>
      </w:pPr>
      <w:r>
        <w:rPr>
          <w:rFonts w:hint="default" w:ascii="Times New Roman" w:hAnsi="Times New Roman" w:eastAsia="宋体" w:cs="Times New Roman"/>
          <w:b/>
          <w:sz w:val="28"/>
        </w:rPr>
        <w:t>建设</w:t>
      </w:r>
      <w:r>
        <w:rPr>
          <w:rFonts w:hint="default" w:ascii="Times New Roman" w:hAnsi="Times New Roman" w:eastAsia="宋体" w:cs="Times New Roman"/>
          <w:b/>
          <w:sz w:val="28"/>
          <w:lang w:val="en-US" w:eastAsia="zh-CN"/>
        </w:rPr>
        <w:t>单位：中国石化销售股份有限公司山东菏泽石油分公司</w:t>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rPr>
        <w:t>法人代表</w:t>
      </w:r>
      <w:r>
        <w:rPr>
          <w:rFonts w:hint="default" w:ascii="Times New Roman" w:hAnsi="Times New Roman" w:eastAsia="宋体" w:cs="Times New Roman"/>
          <w:b/>
          <w:sz w:val="28"/>
          <w:lang w:eastAsia="zh-CN"/>
        </w:rPr>
        <w:t>：</w:t>
      </w:r>
      <w:r>
        <w:rPr>
          <w:rFonts w:hint="eastAsia" w:ascii="Times New Roman" w:hAnsi="Times New Roman" w:cs="Times New Roman"/>
          <w:b/>
          <w:sz w:val="28"/>
          <w:lang w:val="en-US" w:eastAsia="zh-CN"/>
        </w:rPr>
        <w:t>杨凯</w:t>
      </w:r>
    </w:p>
    <w:p>
      <w:pPr>
        <w:spacing w:line="360" w:lineRule="auto"/>
        <w:rPr>
          <w:rFonts w:hint="default" w:ascii="Times New Roman" w:hAnsi="Times New Roman" w:eastAsia="宋体" w:cs="Times New Roman"/>
          <w:b/>
          <w:sz w:val="28"/>
          <w:lang w:eastAsia="zh-CN"/>
        </w:rPr>
      </w:pPr>
      <w:r>
        <w:rPr>
          <w:rFonts w:hint="default" w:ascii="Times New Roman" w:hAnsi="Times New Roman" w:eastAsia="宋体" w:cs="Times New Roman"/>
          <w:b/>
          <w:sz w:val="28"/>
        </w:rPr>
        <w:t>编制单位：</w:t>
      </w:r>
      <w:r>
        <w:rPr>
          <w:rFonts w:hint="default" w:ascii="Times New Roman" w:hAnsi="Times New Roman" w:eastAsia="宋体" w:cs="Times New Roman"/>
          <w:b/>
          <w:sz w:val="28"/>
          <w:lang w:val="en-US" w:eastAsia="zh-CN"/>
        </w:rPr>
        <w:t>中国石化销售股份有限公司山东菏泽石油分公司</w:t>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rPr>
        <w:t>法人代表</w:t>
      </w:r>
      <w:r>
        <w:rPr>
          <w:rFonts w:hint="default" w:ascii="Times New Roman" w:hAnsi="Times New Roman" w:eastAsia="宋体" w:cs="Times New Roman"/>
          <w:b/>
          <w:sz w:val="28"/>
          <w:lang w:eastAsia="zh-CN"/>
        </w:rPr>
        <w:t>：</w:t>
      </w:r>
      <w:r>
        <w:rPr>
          <w:rFonts w:hint="eastAsia" w:ascii="Times New Roman" w:hAnsi="Times New Roman" w:cs="Times New Roman"/>
          <w:b/>
          <w:sz w:val="28"/>
          <w:lang w:val="en-US" w:eastAsia="zh-CN"/>
        </w:rPr>
        <w:t>杨凯</w:t>
      </w:r>
    </w:p>
    <w:p>
      <w:pPr>
        <w:spacing w:line="360" w:lineRule="auto"/>
        <w:rPr>
          <w:rFonts w:hint="default" w:ascii="Times New Roman" w:hAnsi="Times New Roman" w:eastAsia="宋体" w:cs="Times New Roman"/>
          <w:b/>
          <w:sz w:val="28"/>
          <w:lang w:eastAsia="zh-CN"/>
        </w:rPr>
      </w:pPr>
      <w:r>
        <w:rPr>
          <w:rFonts w:hint="default" w:ascii="Times New Roman" w:hAnsi="Times New Roman" w:eastAsia="宋体" w:cs="Times New Roman"/>
          <w:b/>
          <w:sz w:val="28"/>
        </w:rPr>
        <w:t>项目负责人</w:t>
      </w:r>
      <w:r>
        <w:rPr>
          <w:rFonts w:hint="default" w:ascii="Times New Roman" w:hAnsi="Times New Roman" w:eastAsia="宋体" w:cs="Times New Roman"/>
          <w:b/>
          <w:sz w:val="28"/>
          <w:lang w:eastAsia="zh-CN"/>
        </w:rPr>
        <w:t>：</w:t>
      </w:r>
      <w:r>
        <w:rPr>
          <w:rFonts w:hint="eastAsia" w:ascii="Times New Roman" w:hAnsi="Times New Roman" w:cs="Times New Roman"/>
          <w:b/>
          <w:sz w:val="28"/>
          <w:lang w:val="en-US" w:eastAsia="zh-CN"/>
        </w:rPr>
        <w:t>杨凯</w:t>
      </w: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pStyle w:val="17"/>
        <w:rPr>
          <w:rFonts w:hint="default" w:ascii="Times New Roman" w:hAnsi="Times New Roman" w:eastAsia="宋体" w:cs="Times New Roman"/>
        </w:rPr>
      </w:pPr>
    </w:p>
    <w:p>
      <w:pPr>
        <w:spacing w:line="360" w:lineRule="auto"/>
        <w:jc w:val="left"/>
        <w:rPr>
          <w:rFonts w:hint="default" w:ascii="Times New Roman" w:hAnsi="Times New Roman" w:eastAsia="宋体" w:cs="Times New Roman"/>
          <w:b/>
          <w:bCs/>
          <w:sz w:val="28"/>
          <w:lang w:eastAsia="zh-CN"/>
        </w:rPr>
      </w:pPr>
      <w:r>
        <w:rPr>
          <w:rFonts w:hint="default" w:ascii="Times New Roman" w:hAnsi="Times New Roman" w:eastAsia="宋体" w:cs="Times New Roman"/>
          <w:b/>
          <w:bCs/>
          <w:sz w:val="28"/>
        </w:rPr>
        <w:t>建设单位：</w:t>
      </w:r>
      <w:r>
        <w:rPr>
          <w:rFonts w:hint="default" w:ascii="Times New Roman" w:hAnsi="Times New Roman" w:eastAsia="宋体" w:cs="Times New Roman"/>
          <w:b/>
          <w:bCs/>
          <w:sz w:val="28"/>
          <w:lang w:val="en-US" w:eastAsia="zh-CN"/>
        </w:rPr>
        <w:t>中国石化销售股份有限公司山东菏泽石油分公司</w:t>
      </w:r>
    </w:p>
    <w:p>
      <w:pPr>
        <w:spacing w:line="360" w:lineRule="auto"/>
        <w:jc w:val="left"/>
        <w:rPr>
          <w:rFonts w:hint="default" w:ascii="Times New Roman" w:hAnsi="Times New Roman" w:eastAsia="宋体" w:cs="Times New Roman"/>
          <w:b/>
          <w:bCs/>
          <w:sz w:val="28"/>
          <w:lang w:val="en-US" w:eastAsia="zh-CN"/>
        </w:rPr>
      </w:pPr>
      <w:r>
        <w:rPr>
          <w:rFonts w:hint="default" w:ascii="Times New Roman" w:hAnsi="Times New Roman" w:eastAsia="宋体" w:cs="Times New Roman"/>
          <w:b/>
          <w:bCs/>
          <w:sz w:val="28"/>
          <w:lang w:eastAsia="zh-CN"/>
        </w:rPr>
        <w:t>编制单位：</w:t>
      </w:r>
      <w:r>
        <w:rPr>
          <w:rFonts w:hint="default" w:ascii="Times New Roman" w:hAnsi="Times New Roman" w:eastAsia="宋体" w:cs="Times New Roman"/>
          <w:b/>
          <w:bCs/>
          <w:sz w:val="28"/>
          <w:lang w:val="en-US" w:eastAsia="zh-CN"/>
        </w:rPr>
        <w:t>中国石化销售股份有限公司山东菏泽石油分公司</w:t>
      </w:r>
    </w:p>
    <w:p>
      <w:pPr>
        <w:spacing w:line="360" w:lineRule="auto"/>
        <w:jc w:val="left"/>
        <w:rPr>
          <w:rFonts w:hint="default" w:ascii="Times New Roman" w:hAnsi="Times New Roman" w:eastAsia="宋体" w:cs="Times New Roman"/>
          <w:b/>
          <w:bCs/>
          <w:sz w:val="28"/>
          <w:lang w:eastAsia="zh-CN"/>
        </w:rPr>
      </w:pPr>
      <w:r>
        <w:rPr>
          <w:rFonts w:hint="default" w:ascii="Times New Roman" w:hAnsi="Times New Roman" w:eastAsia="宋体" w:cs="Times New Roman"/>
          <w:b/>
          <w:bCs/>
          <w:sz w:val="28"/>
          <w:lang w:eastAsia="zh-CN"/>
        </w:rPr>
        <w:t>电话：</w:t>
      </w:r>
      <w:r>
        <w:rPr>
          <w:rFonts w:hint="default" w:ascii="Times New Roman" w:hAnsi="Times New Roman" w:eastAsia="宋体" w:cs="Times New Roman"/>
          <w:b/>
          <w:bCs/>
          <w:sz w:val="28"/>
          <w:lang w:val="en-US" w:eastAsia="zh-CN"/>
        </w:rPr>
        <w:t>15562817666</w:t>
      </w:r>
    </w:p>
    <w:p>
      <w:pPr>
        <w:spacing w:line="360" w:lineRule="auto"/>
        <w:jc w:val="left"/>
        <w:rPr>
          <w:rFonts w:hint="default" w:ascii="Times New Roman" w:hAnsi="Times New Roman" w:eastAsia="宋体" w:cs="Times New Roman"/>
          <w:b/>
          <w:bCs/>
          <w:sz w:val="28"/>
          <w:lang w:eastAsia="zh-CN"/>
        </w:rPr>
      </w:pPr>
      <w:r>
        <w:rPr>
          <w:rFonts w:hint="default" w:ascii="Times New Roman" w:hAnsi="Times New Roman" w:eastAsia="宋体" w:cs="Times New Roman"/>
          <w:b/>
          <w:bCs/>
          <w:sz w:val="28"/>
        </w:rPr>
        <w:t>邮编</w:t>
      </w:r>
      <w:r>
        <w:rPr>
          <w:rFonts w:hint="default" w:ascii="Times New Roman" w:hAnsi="Times New Roman" w:eastAsia="宋体" w:cs="Times New Roman"/>
          <w:b/>
          <w:bCs/>
          <w:sz w:val="28"/>
          <w:lang w:eastAsia="zh-CN"/>
        </w:rPr>
        <w:t>：274</w:t>
      </w:r>
      <w:r>
        <w:rPr>
          <w:rFonts w:hint="default" w:ascii="Times New Roman" w:hAnsi="Times New Roman" w:eastAsia="宋体" w:cs="Times New Roman"/>
          <w:b/>
          <w:bCs/>
          <w:sz w:val="28"/>
          <w:lang w:val="en-US" w:eastAsia="zh-CN"/>
        </w:rPr>
        <w:t>2</w:t>
      </w:r>
      <w:r>
        <w:rPr>
          <w:rFonts w:hint="default" w:ascii="Times New Roman" w:hAnsi="Times New Roman" w:eastAsia="宋体" w:cs="Times New Roman"/>
          <w:b/>
          <w:bCs/>
          <w:sz w:val="28"/>
          <w:lang w:eastAsia="zh-CN"/>
        </w:rPr>
        <w:t>00</w:t>
      </w:r>
    </w:p>
    <w:p>
      <w:pPr>
        <w:spacing w:line="360" w:lineRule="auto"/>
        <w:jc w:val="left"/>
        <w:rPr>
          <w:rFonts w:hint="default" w:ascii="Times New Roman" w:hAnsi="Times New Roman" w:eastAsia="宋体" w:cs="Times New Roman"/>
          <w:b/>
          <w:bCs/>
          <w:sz w:val="28"/>
          <w:lang w:val="en-US" w:eastAsia="zh-CN"/>
        </w:rPr>
      </w:pPr>
      <w:r>
        <w:rPr>
          <w:rFonts w:hint="default" w:ascii="Times New Roman" w:hAnsi="Times New Roman" w:eastAsia="宋体" w:cs="Times New Roman"/>
          <w:b/>
          <w:bCs/>
          <w:sz w:val="28"/>
          <w:lang w:eastAsia="zh-CN"/>
        </w:rPr>
        <w:t>地址：</w:t>
      </w:r>
      <w:r>
        <w:rPr>
          <w:rFonts w:hint="default" w:ascii="Times New Roman" w:hAnsi="Times New Roman" w:eastAsia="宋体" w:cs="Times New Roman"/>
          <w:b/>
          <w:bCs/>
          <w:sz w:val="28"/>
          <w:lang w:val="en-US" w:eastAsia="zh-CN"/>
        </w:rPr>
        <w:t>山东省菏泽市成武县伯乐集镇康楼村</w:t>
      </w:r>
    </w:p>
    <w:p>
      <w:pPr>
        <w:keepNext w:val="0"/>
        <w:keepLines w:val="0"/>
        <w:widowControl/>
        <w:suppressLineNumbers w:val="0"/>
        <w:jc w:val="left"/>
        <w:rPr>
          <w:rFonts w:hint="default" w:ascii="Times New Roman" w:hAnsi="Times New Roman" w:eastAsia="宋体" w:cs="Times New Roman"/>
        </w:rPr>
      </w:pPr>
    </w:p>
    <w:p>
      <w:pPr>
        <w:spacing w:line="360" w:lineRule="auto"/>
        <w:rPr>
          <w:rFonts w:hint="default" w:ascii="Times New Roman" w:hAnsi="Times New Roman" w:eastAsia="宋体" w:cs="Times New Roman"/>
          <w:sz w:val="28"/>
          <w:lang w:eastAsia="zh-CN"/>
        </w:rPr>
        <w:sectPr>
          <w:footerReference r:id="rId3" w:type="default"/>
          <w:footerReference r:id="rId4" w:type="even"/>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720" w:num="1"/>
          <w:docGrid w:type="lines" w:linePitch="312" w:charSpace="0"/>
        </w:sectPr>
      </w:pPr>
    </w:p>
    <w:p>
      <w:pPr>
        <w:bidi w:val="0"/>
        <w:jc w:val="center"/>
        <w:rPr>
          <w:rFonts w:hint="default" w:ascii="Times New Roman" w:hAnsi="Times New Roman" w:eastAsia="宋体" w:cs="Times New Roman"/>
          <w:b/>
          <w:bCs/>
          <w:sz w:val="28"/>
          <w:szCs w:val="28"/>
        </w:rPr>
      </w:pPr>
      <w:bookmarkStart w:id="0" w:name="_Toc20284"/>
      <w:r>
        <w:rPr>
          <w:rFonts w:hint="default" w:ascii="Times New Roman" w:hAnsi="Times New Roman" w:eastAsia="宋体" w:cs="Times New Roman"/>
          <w:b/>
          <w:bCs/>
          <w:sz w:val="28"/>
          <w:szCs w:val="28"/>
          <w:lang w:val="zh-CN"/>
        </w:rPr>
        <w:t>目录</w:t>
      </w:r>
      <w:bookmarkEnd w:id="0"/>
    </w:p>
    <w:p>
      <w:pPr>
        <w:pStyle w:val="19"/>
        <w:tabs>
          <w:tab w:val="right" w:leader="dot" w:pos="8306"/>
        </w:tabs>
      </w:pP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TOC \o "1-3" \h \z \u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_Toc9870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1、验收项目概况</w:t>
      </w:r>
      <w:r>
        <w:tab/>
      </w:r>
      <w:r>
        <w:fldChar w:fldCharType="begin"/>
      </w:r>
      <w:r>
        <w:instrText xml:space="preserve"> PAGEREF _Toc9870 \h </w:instrText>
      </w:r>
      <w:r>
        <w:fldChar w:fldCharType="separate"/>
      </w:r>
      <w:r>
        <w:t>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_Toc27430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1.1验收项目基本情况</w:t>
      </w:r>
      <w:r>
        <w:tab/>
      </w:r>
      <w:r>
        <w:fldChar w:fldCharType="begin"/>
      </w:r>
      <w:r>
        <w:instrText xml:space="preserve"> PAGEREF _Toc27430 \h </w:instrText>
      </w:r>
      <w:r>
        <w:fldChar w:fldCharType="separate"/>
      </w:r>
      <w:r>
        <w:t>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_Toc25606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1.2验收内容及目的</w:t>
      </w:r>
      <w:r>
        <w:tab/>
      </w:r>
      <w:r>
        <w:fldChar w:fldCharType="begin"/>
      </w:r>
      <w:r>
        <w:instrText xml:space="preserve"> PAGEREF _Toc25606 \h </w:instrText>
      </w:r>
      <w:r>
        <w:fldChar w:fldCharType="separate"/>
      </w:r>
      <w:r>
        <w:t>2</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_Toc1053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2、验收依据</w:t>
      </w:r>
      <w:r>
        <w:tab/>
      </w:r>
      <w:r>
        <w:fldChar w:fldCharType="begin"/>
      </w:r>
      <w:r>
        <w:instrText xml:space="preserve"> PAGEREF _Toc1053 \h </w:instrText>
      </w:r>
      <w:r>
        <w:fldChar w:fldCharType="separate"/>
      </w:r>
      <w:r>
        <w:t>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_Toc10144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2.1法律依据</w:t>
      </w:r>
      <w:r>
        <w:tab/>
      </w:r>
      <w:r>
        <w:fldChar w:fldCharType="begin"/>
      </w:r>
      <w:r>
        <w:instrText xml:space="preserve"> PAGEREF _Toc10144 \h </w:instrText>
      </w:r>
      <w:r>
        <w:fldChar w:fldCharType="separate"/>
      </w:r>
      <w:r>
        <w:t>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_Toc1522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2.2验收技术规范</w:t>
      </w:r>
      <w:r>
        <w:tab/>
      </w:r>
      <w:r>
        <w:fldChar w:fldCharType="begin"/>
      </w:r>
      <w:r>
        <w:instrText xml:space="preserve"> PAGEREF _Toc1522 \h </w:instrText>
      </w:r>
      <w:r>
        <w:fldChar w:fldCharType="separate"/>
      </w:r>
      <w:r>
        <w:t>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_Toc21470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w:t>
      </w:r>
      <w:r>
        <w:rPr>
          <w:rFonts w:hint="default" w:ascii="Times New Roman" w:hAnsi="Times New Roman" w:eastAsia="宋体" w:cs="Times New Roman"/>
          <w:szCs w:val="32"/>
          <w:lang w:val="en-US" w:eastAsia="zh-CN"/>
        </w:rPr>
        <w:t>3</w:t>
      </w:r>
      <w:r>
        <w:rPr>
          <w:rFonts w:hint="default" w:ascii="Times New Roman" w:hAnsi="Times New Roman" w:eastAsia="宋体" w:cs="Times New Roman"/>
          <w:szCs w:val="32"/>
        </w:rPr>
        <w:t>其他法规、条例</w:t>
      </w:r>
      <w:r>
        <w:tab/>
      </w:r>
      <w:r>
        <w:fldChar w:fldCharType="begin"/>
      </w:r>
      <w:r>
        <w:instrText xml:space="preserve"> PAGEREF _Toc21470 \h </w:instrText>
      </w:r>
      <w:r>
        <w:fldChar w:fldCharType="separate"/>
      </w:r>
      <w:r>
        <w:t>4</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_Toc9507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w:t>
      </w:r>
      <w:r>
        <w:rPr>
          <w:rFonts w:hint="default" w:ascii="Times New Roman" w:hAnsi="Times New Roman" w:eastAsia="宋体" w:cs="Times New Roman"/>
          <w:szCs w:val="32"/>
          <w:lang w:val="en-US" w:eastAsia="zh-CN"/>
        </w:rPr>
        <w:t>4</w:t>
      </w:r>
      <w:r>
        <w:rPr>
          <w:rFonts w:hint="default" w:ascii="Times New Roman" w:hAnsi="Times New Roman" w:eastAsia="宋体" w:cs="Times New Roman"/>
          <w:szCs w:val="32"/>
        </w:rPr>
        <w:t>技术文件依据</w:t>
      </w:r>
      <w:r>
        <w:tab/>
      </w:r>
      <w:r>
        <w:fldChar w:fldCharType="begin"/>
      </w:r>
      <w:r>
        <w:instrText xml:space="preserve"> PAGEREF _Toc9507 \h </w:instrText>
      </w:r>
      <w:r>
        <w:fldChar w:fldCharType="separate"/>
      </w:r>
      <w:r>
        <w:t>4</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_Toc24357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2.</w:t>
      </w:r>
      <w:r>
        <w:rPr>
          <w:rFonts w:hint="default" w:ascii="Times New Roman" w:hAnsi="Times New Roman" w:eastAsia="宋体" w:cs="Times New Roman"/>
          <w:szCs w:val="32"/>
          <w:lang w:val="en-US" w:eastAsia="zh-CN"/>
        </w:rPr>
        <w:t>5</w:t>
      </w:r>
      <w:r>
        <w:rPr>
          <w:rFonts w:hint="default" w:ascii="Times New Roman" w:hAnsi="Times New Roman" w:eastAsia="宋体" w:cs="Times New Roman"/>
          <w:szCs w:val="32"/>
        </w:rPr>
        <w:t>验收监测评价标准</w:t>
      </w:r>
      <w:r>
        <w:tab/>
      </w:r>
      <w:r>
        <w:fldChar w:fldCharType="begin"/>
      </w:r>
      <w:r>
        <w:instrText xml:space="preserve"> PAGEREF _Toc24357 \h </w:instrText>
      </w:r>
      <w:r>
        <w:fldChar w:fldCharType="separate"/>
      </w:r>
      <w:r>
        <w:t>5</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_Toc19169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0"/>
        </w:rPr>
        <w:t>3、工程建设情况</w:t>
      </w:r>
      <w:r>
        <w:tab/>
      </w:r>
      <w:r>
        <w:fldChar w:fldCharType="begin"/>
      </w:r>
      <w:r>
        <w:instrText xml:space="preserve"> PAGEREF _Toc19169 \h </w:instrText>
      </w:r>
      <w:r>
        <w:fldChar w:fldCharType="separate"/>
      </w:r>
      <w:r>
        <w:t>6</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_Toc4310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3.</w:t>
      </w:r>
      <w:r>
        <w:rPr>
          <w:rFonts w:hint="default" w:ascii="Times New Roman" w:hAnsi="Times New Roman" w:eastAsia="宋体" w:cs="Times New Roman"/>
          <w:szCs w:val="32"/>
          <w:highlight w:val="none"/>
        </w:rPr>
        <w:t>1地理位置及平面布置</w:t>
      </w:r>
      <w:r>
        <w:tab/>
      </w:r>
      <w:r>
        <w:fldChar w:fldCharType="begin"/>
      </w:r>
      <w:r>
        <w:instrText xml:space="preserve"> PAGEREF _Toc4310 \h </w:instrText>
      </w:r>
      <w:r>
        <w:fldChar w:fldCharType="separate"/>
      </w:r>
      <w:r>
        <w:t>6</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_Toc24624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3.2建设内容</w:t>
      </w:r>
      <w:r>
        <w:tab/>
      </w:r>
      <w:r>
        <w:fldChar w:fldCharType="begin"/>
      </w:r>
      <w:r>
        <w:instrText xml:space="preserve"> PAGEREF _Toc24624 \h </w:instrText>
      </w:r>
      <w:r>
        <w:fldChar w:fldCharType="separate"/>
      </w:r>
      <w:r>
        <w:t>8</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_Toc6244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3.3主要原辅材料及生产设备</w:t>
      </w:r>
      <w:r>
        <w:tab/>
      </w:r>
      <w:r>
        <w:fldChar w:fldCharType="begin"/>
      </w:r>
      <w:r>
        <w:instrText xml:space="preserve"> PAGEREF _Toc6244 \h </w:instrText>
      </w:r>
      <w:r>
        <w:fldChar w:fldCharType="separate"/>
      </w:r>
      <w:r>
        <w:t>10</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_Toc7983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3.5生产工艺</w:t>
      </w:r>
      <w:r>
        <w:tab/>
      </w:r>
      <w:r>
        <w:fldChar w:fldCharType="begin"/>
      </w:r>
      <w:r>
        <w:instrText xml:space="preserve"> PAGEREF _Toc7983 \h </w:instrText>
      </w:r>
      <w:r>
        <w:fldChar w:fldCharType="separate"/>
      </w:r>
      <w:r>
        <w:t>12</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_Toc22023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highlight w:val="none"/>
        </w:rPr>
        <w:t>3.6项目变动情况</w:t>
      </w:r>
      <w:r>
        <w:tab/>
      </w:r>
      <w:r>
        <w:fldChar w:fldCharType="begin"/>
      </w:r>
      <w:r>
        <w:instrText xml:space="preserve"> PAGEREF _Toc22023 \h </w:instrText>
      </w:r>
      <w:r>
        <w:fldChar w:fldCharType="separate"/>
      </w:r>
      <w:r>
        <w:t>17</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_Toc901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4、环境保护设施</w:t>
      </w:r>
      <w:r>
        <w:tab/>
      </w:r>
      <w:r>
        <w:fldChar w:fldCharType="begin"/>
      </w:r>
      <w:r>
        <w:instrText xml:space="preserve"> PAGEREF _Toc901 \h </w:instrText>
      </w:r>
      <w:r>
        <w:fldChar w:fldCharType="separate"/>
      </w:r>
      <w:r>
        <w:t>19</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_Toc10733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4.1污染物治理/处置设施</w:t>
      </w:r>
      <w:r>
        <w:tab/>
      </w:r>
      <w:r>
        <w:fldChar w:fldCharType="begin"/>
      </w:r>
      <w:r>
        <w:instrText xml:space="preserve"> PAGEREF _Toc10733 \h </w:instrText>
      </w:r>
      <w:r>
        <w:fldChar w:fldCharType="separate"/>
      </w:r>
      <w:r>
        <w:t>19</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_Toc31551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4.2其他环保设施</w:t>
      </w:r>
      <w:r>
        <w:tab/>
      </w:r>
      <w:r>
        <w:fldChar w:fldCharType="begin"/>
      </w:r>
      <w:r>
        <w:instrText xml:space="preserve"> PAGEREF _Toc31551 \h </w:instrText>
      </w:r>
      <w:r>
        <w:fldChar w:fldCharType="separate"/>
      </w:r>
      <w:r>
        <w:t>22</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_Toc1567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4.3环保设施投资及“三同时”落实情况</w:t>
      </w:r>
      <w:r>
        <w:tab/>
      </w:r>
      <w:r>
        <w:fldChar w:fldCharType="begin"/>
      </w:r>
      <w:r>
        <w:instrText xml:space="preserve"> PAGEREF _Toc1567 \h </w:instrText>
      </w:r>
      <w:r>
        <w:fldChar w:fldCharType="separate"/>
      </w:r>
      <w:r>
        <w:t>25</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_Toc17320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5、建设项目环评报告表的主要结论与建议及审批部门审批决定</w:t>
      </w:r>
      <w:r>
        <w:tab/>
      </w:r>
      <w:r>
        <w:fldChar w:fldCharType="begin"/>
      </w:r>
      <w:r>
        <w:instrText xml:space="preserve"> PAGEREF _Toc17320 \h </w:instrText>
      </w:r>
      <w:r>
        <w:fldChar w:fldCharType="separate"/>
      </w:r>
      <w:r>
        <w:t>27</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_Toc8315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5.1建设项目环评报告书表的主要结论与建议</w:t>
      </w:r>
      <w:r>
        <w:tab/>
      </w:r>
      <w:r>
        <w:fldChar w:fldCharType="begin"/>
      </w:r>
      <w:r>
        <w:instrText xml:space="preserve"> PAGEREF _Toc8315 \h </w:instrText>
      </w:r>
      <w:r>
        <w:fldChar w:fldCharType="separate"/>
      </w:r>
      <w:r>
        <w:t>27</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_Toc31207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5.2审批部门审批决定</w:t>
      </w:r>
      <w:r>
        <w:tab/>
      </w:r>
      <w:r>
        <w:fldChar w:fldCharType="begin"/>
      </w:r>
      <w:r>
        <w:instrText xml:space="preserve"> PAGEREF _Toc31207 \h </w:instrText>
      </w:r>
      <w:r>
        <w:fldChar w:fldCharType="separate"/>
      </w:r>
      <w:r>
        <w:t>28</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_Toc19813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6、验收执行标准</w:t>
      </w:r>
      <w:r>
        <w:tab/>
      </w:r>
      <w:r>
        <w:fldChar w:fldCharType="begin"/>
      </w:r>
      <w:r>
        <w:instrText xml:space="preserve"> PAGEREF _Toc19813 \h </w:instrText>
      </w:r>
      <w:r>
        <w:fldChar w:fldCharType="separate"/>
      </w:r>
      <w:r>
        <w:t>30</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_Toc25946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7、验收监测内容</w:t>
      </w:r>
      <w:r>
        <w:tab/>
      </w:r>
      <w:r>
        <w:fldChar w:fldCharType="begin"/>
      </w:r>
      <w:r>
        <w:instrText xml:space="preserve"> PAGEREF _Toc25946 \h </w:instrText>
      </w:r>
      <w:r>
        <w:fldChar w:fldCharType="separate"/>
      </w:r>
      <w:r>
        <w:t>32</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_Toc4383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7.1环境保护设施调试效果</w:t>
      </w:r>
      <w:r>
        <w:tab/>
      </w:r>
      <w:r>
        <w:fldChar w:fldCharType="begin"/>
      </w:r>
      <w:r>
        <w:instrText xml:space="preserve"> PAGEREF _Toc4383 \h </w:instrText>
      </w:r>
      <w:r>
        <w:fldChar w:fldCharType="separate"/>
      </w:r>
      <w:r>
        <w:t>32</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_Toc29198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7.2环境质量监测</w:t>
      </w:r>
      <w:r>
        <w:tab/>
      </w:r>
      <w:r>
        <w:fldChar w:fldCharType="begin"/>
      </w:r>
      <w:r>
        <w:instrText xml:space="preserve"> PAGEREF _Toc29198 \h </w:instrText>
      </w:r>
      <w:r>
        <w:fldChar w:fldCharType="separate"/>
      </w:r>
      <w:r>
        <w:t>37</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_Toc9463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8、质量保证及质量控制</w:t>
      </w:r>
      <w:r>
        <w:tab/>
      </w:r>
      <w:r>
        <w:fldChar w:fldCharType="begin"/>
      </w:r>
      <w:r>
        <w:instrText xml:space="preserve"> PAGEREF _Toc9463 \h </w:instrText>
      </w:r>
      <w:r>
        <w:fldChar w:fldCharType="separate"/>
      </w:r>
      <w:r>
        <w:t>38</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_Toc17354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8.1监测分析方法及监测仪器</w:t>
      </w:r>
      <w:r>
        <w:tab/>
      </w:r>
      <w:r>
        <w:fldChar w:fldCharType="begin"/>
      </w:r>
      <w:r>
        <w:instrText xml:space="preserve"> PAGEREF _Toc17354 \h </w:instrText>
      </w:r>
      <w:r>
        <w:fldChar w:fldCharType="separate"/>
      </w:r>
      <w:r>
        <w:t>38</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_Toc22171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8.2人员资质</w:t>
      </w:r>
      <w:r>
        <w:tab/>
      </w:r>
      <w:r>
        <w:fldChar w:fldCharType="begin"/>
      </w:r>
      <w:r>
        <w:instrText xml:space="preserve"> PAGEREF _Toc22171 \h </w:instrText>
      </w:r>
      <w:r>
        <w:fldChar w:fldCharType="separate"/>
      </w:r>
      <w:r>
        <w:t>41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_Toc20090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8.3水质监测分析过程中的质量保证和质量控制</w:t>
      </w:r>
      <w:r>
        <w:tab/>
      </w:r>
      <w:r>
        <w:fldChar w:fldCharType="begin"/>
      </w:r>
      <w:r>
        <w:instrText xml:space="preserve"> PAGEREF _Toc20090 \h </w:instrText>
      </w:r>
      <w:r>
        <w:fldChar w:fldCharType="separate"/>
      </w:r>
      <w:r>
        <w:t>41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_Toc6998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8.4气体监测分析过程中的质量保证和质量控制</w:t>
      </w:r>
      <w:r>
        <w:tab/>
      </w:r>
      <w:r>
        <w:fldChar w:fldCharType="begin"/>
      </w:r>
      <w:r>
        <w:instrText xml:space="preserve"> PAGEREF _Toc6998 \h </w:instrText>
      </w:r>
      <w:r>
        <w:fldChar w:fldCharType="separate"/>
      </w:r>
      <w:r>
        <w:t>41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_Toc1800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8.5噪声监测分析过程中的质量保证和质量控制</w:t>
      </w:r>
      <w:r>
        <w:tab/>
      </w:r>
      <w:r>
        <w:fldChar w:fldCharType="begin"/>
      </w:r>
      <w:r>
        <w:instrText xml:space="preserve"> PAGEREF _Toc1800 \h </w:instrText>
      </w:r>
      <w:r>
        <w:fldChar w:fldCharType="separate"/>
      </w:r>
      <w:r>
        <w:t>42</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_Toc15884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8.6固体废物监测分析过程中的质量保证和质量控制</w:t>
      </w:r>
      <w:r>
        <w:tab/>
      </w:r>
      <w:r>
        <w:fldChar w:fldCharType="begin"/>
      </w:r>
      <w:r>
        <w:instrText xml:space="preserve"> PAGEREF _Toc15884 \h </w:instrText>
      </w:r>
      <w:r>
        <w:fldChar w:fldCharType="separate"/>
      </w:r>
      <w:r>
        <w:t>42</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_Toc6115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9、验收监测结果</w:t>
      </w:r>
      <w:r>
        <w:tab/>
      </w:r>
      <w:r>
        <w:fldChar w:fldCharType="begin"/>
      </w:r>
      <w:r>
        <w:instrText xml:space="preserve"> PAGEREF _Toc6115 \h </w:instrText>
      </w:r>
      <w:r>
        <w:fldChar w:fldCharType="separate"/>
      </w:r>
      <w:r>
        <w:t>43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_Toc1573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9.1生产工况</w:t>
      </w:r>
      <w:r>
        <w:tab/>
      </w:r>
      <w:r>
        <w:fldChar w:fldCharType="begin"/>
      </w:r>
      <w:r>
        <w:instrText xml:space="preserve"> PAGEREF _Toc1573 \h </w:instrText>
      </w:r>
      <w:r>
        <w:fldChar w:fldCharType="separate"/>
      </w:r>
      <w:r>
        <w:t>43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_Toc7868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9.2环保设施调试运行效果</w:t>
      </w:r>
      <w:r>
        <w:tab/>
      </w:r>
      <w:r>
        <w:fldChar w:fldCharType="begin"/>
      </w:r>
      <w:r>
        <w:instrText xml:space="preserve"> PAGEREF _Toc7868 \h </w:instrText>
      </w:r>
      <w:r>
        <w:fldChar w:fldCharType="separate"/>
      </w:r>
      <w:r>
        <w:t>43</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_Toc26317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9.3工程建设对环境的影响</w:t>
      </w:r>
      <w:r>
        <w:tab/>
      </w:r>
      <w:r>
        <w:fldChar w:fldCharType="begin"/>
      </w:r>
      <w:r>
        <w:instrText xml:space="preserve"> PAGEREF _Toc26317 \h </w:instrText>
      </w:r>
      <w:r>
        <w:fldChar w:fldCharType="separate"/>
      </w:r>
      <w:r>
        <w:t>49</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_Toc25932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highlight w:val="none"/>
        </w:rPr>
        <w:t>10、验收监测结论</w:t>
      </w:r>
      <w:r>
        <w:tab/>
      </w:r>
      <w:r>
        <w:fldChar w:fldCharType="begin"/>
      </w:r>
      <w:r>
        <w:instrText xml:space="preserve"> PAGEREF _Toc25932 \h </w:instrText>
      </w:r>
      <w:r>
        <w:fldChar w:fldCharType="separate"/>
      </w:r>
      <w:r>
        <w:t>51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_Toc302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10.1环境保护设施调试效果</w:t>
      </w:r>
      <w:r>
        <w:tab/>
      </w:r>
      <w:r>
        <w:fldChar w:fldCharType="begin"/>
      </w:r>
      <w:r>
        <w:instrText xml:space="preserve"> PAGEREF _Toc302 \h </w:instrText>
      </w:r>
      <w:r>
        <w:fldChar w:fldCharType="separate"/>
      </w:r>
      <w:r>
        <w:t>51</w:t>
      </w:r>
      <w:r>
        <w:fldChar w:fldCharType="end"/>
      </w:r>
      <w:r>
        <w:rPr>
          <w:rFonts w:hint="default" w:ascii="Times New Roman" w:hAnsi="Times New Roman" w:eastAsia="宋体" w:cs="Times New Roman"/>
          <w:bCs/>
          <w:szCs w:val="24"/>
        </w:rPr>
        <w:fldChar w:fldCharType="end"/>
      </w:r>
    </w:p>
    <w:p>
      <w:pPr>
        <w:pStyle w:val="21"/>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_Toc21784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32"/>
        </w:rPr>
        <w:t>10.2建议</w:t>
      </w:r>
      <w:r>
        <w:tab/>
      </w:r>
      <w:r>
        <w:fldChar w:fldCharType="begin"/>
      </w:r>
      <w:r>
        <w:instrText xml:space="preserve"> PAGEREF _Toc21784 \h </w:instrText>
      </w:r>
      <w:r>
        <w:fldChar w:fldCharType="separate"/>
      </w:r>
      <w:r>
        <w:t>52</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_Toc22935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rPr>
        <w:t>11、建设项目竣工环境保护“三同时”验收登记表</w:t>
      </w:r>
      <w:r>
        <w:tab/>
      </w:r>
      <w:r>
        <w:fldChar w:fldCharType="begin"/>
      </w:r>
      <w:r>
        <w:instrText xml:space="preserve"> PAGEREF _Toc22935 \h </w:instrText>
      </w:r>
      <w:r>
        <w:fldChar w:fldCharType="separate"/>
      </w:r>
      <w:r>
        <w:t>53</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_Toc9875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rPr>
        <w:t>附件1：营业执照</w:t>
      </w:r>
      <w:r>
        <w:tab/>
      </w:r>
      <w:r>
        <w:fldChar w:fldCharType="begin"/>
      </w:r>
      <w:r>
        <w:instrText xml:space="preserve"> PAGEREF _Toc9875 \h </w:instrText>
      </w:r>
      <w:r>
        <w:fldChar w:fldCharType="separate"/>
      </w:r>
      <w:r>
        <w:t>55</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_Toc24230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rPr>
        <w:t>附件</w:t>
      </w:r>
      <w:r>
        <w:rPr>
          <w:rFonts w:hint="default" w:ascii="Times New Roman" w:hAnsi="Times New Roman" w:eastAsia="宋体" w:cs="Times New Roman"/>
          <w:szCs w:val="24"/>
          <w:lang w:val="en-US" w:eastAsia="zh-CN"/>
        </w:rPr>
        <w:t>2</w:t>
      </w:r>
      <w:r>
        <w:rPr>
          <w:rFonts w:hint="default" w:ascii="Times New Roman" w:hAnsi="Times New Roman" w:eastAsia="宋体" w:cs="Times New Roman"/>
          <w:szCs w:val="24"/>
        </w:rPr>
        <w:t>：环评批复</w:t>
      </w:r>
      <w:r>
        <w:tab/>
      </w:r>
      <w:r>
        <w:fldChar w:fldCharType="begin"/>
      </w:r>
      <w:r>
        <w:instrText xml:space="preserve"> PAGEREF _Toc24230 \h </w:instrText>
      </w:r>
      <w:r>
        <w:fldChar w:fldCharType="separate"/>
      </w:r>
      <w:r>
        <w:t>56</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_Toc3595 </w:instrText>
      </w:r>
      <w:r>
        <w:rPr>
          <w:rFonts w:hint="default" w:ascii="Times New Roman" w:hAnsi="Times New Roman" w:eastAsia="宋体" w:cs="Times New Roman"/>
          <w:bCs/>
          <w:szCs w:val="24"/>
        </w:rPr>
        <w:fldChar w:fldCharType="separate"/>
      </w:r>
      <w:r>
        <w:rPr>
          <w:rFonts w:hint="eastAsia" w:ascii="Times New Roman" w:hAnsi="Times New Roman" w:cs="Times New Roman"/>
          <w:szCs w:val="24"/>
          <w:lang w:val="en-US" w:eastAsia="zh-CN"/>
        </w:rPr>
        <w:t>附件3</w:t>
      </w:r>
      <w:r>
        <w:rPr>
          <w:rFonts w:hint="default" w:ascii="Times New Roman" w:hAnsi="Times New Roman" w:eastAsia="宋体" w:cs="Times New Roman"/>
          <w:szCs w:val="24"/>
        </w:rPr>
        <w:t>：</w:t>
      </w:r>
      <w:r>
        <w:rPr>
          <w:rFonts w:hint="default" w:ascii="Times New Roman" w:hAnsi="Times New Roman" w:eastAsia="宋体" w:cs="Times New Roman"/>
          <w:szCs w:val="24"/>
          <w:lang w:val="en-US" w:eastAsia="zh-CN"/>
        </w:rPr>
        <w:t>排污许可证</w:t>
      </w:r>
      <w:r>
        <w:tab/>
      </w:r>
      <w:r>
        <w:fldChar w:fldCharType="begin"/>
      </w:r>
      <w:r>
        <w:instrText xml:space="preserve"> PAGEREF _Toc3595 \h </w:instrText>
      </w:r>
      <w:r>
        <w:fldChar w:fldCharType="separate"/>
      </w:r>
      <w:r>
        <w:t>60</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_Toc6893 </w:instrText>
      </w:r>
      <w:r>
        <w:rPr>
          <w:rFonts w:hint="default" w:ascii="Times New Roman" w:hAnsi="Times New Roman" w:eastAsia="宋体" w:cs="Times New Roman"/>
          <w:bCs/>
          <w:szCs w:val="24"/>
        </w:rPr>
        <w:fldChar w:fldCharType="separate"/>
      </w:r>
      <w:r>
        <w:rPr>
          <w:rFonts w:hint="default"/>
          <w:szCs w:val="24"/>
        </w:rPr>
        <w:t>附件</w:t>
      </w:r>
      <w:r>
        <w:rPr>
          <w:rFonts w:hint="eastAsia"/>
          <w:szCs w:val="24"/>
          <w:lang w:val="en-US" w:eastAsia="zh-CN"/>
        </w:rPr>
        <w:t>4</w:t>
      </w:r>
      <w:r>
        <w:rPr>
          <w:rFonts w:hint="default"/>
          <w:szCs w:val="24"/>
        </w:rPr>
        <w:t>：</w:t>
      </w:r>
      <w:r>
        <w:rPr>
          <w:rFonts w:hint="default"/>
          <w:szCs w:val="24"/>
          <w:lang w:val="en-US" w:eastAsia="zh-CN"/>
        </w:rPr>
        <w:t>危废</w:t>
      </w:r>
      <w:r>
        <w:rPr>
          <w:rFonts w:hint="eastAsia"/>
          <w:szCs w:val="24"/>
          <w:lang w:val="en-US" w:eastAsia="zh-CN"/>
        </w:rPr>
        <w:t>运转协议</w:t>
      </w:r>
      <w:r>
        <w:tab/>
      </w:r>
      <w:r>
        <w:fldChar w:fldCharType="begin"/>
      </w:r>
      <w:r>
        <w:instrText xml:space="preserve"> PAGEREF _Toc6893 \h </w:instrText>
      </w:r>
      <w:r>
        <w:fldChar w:fldCharType="separate"/>
      </w:r>
      <w:r>
        <w:t>61</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_Toc32070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rPr>
        <w:t>附件</w:t>
      </w:r>
      <w:r>
        <w:rPr>
          <w:rFonts w:hint="eastAsia" w:ascii="Times New Roman" w:hAnsi="Times New Roman" w:cs="Times New Roman"/>
          <w:szCs w:val="24"/>
          <w:lang w:val="en-US" w:eastAsia="zh-CN"/>
        </w:rPr>
        <w:t>5</w:t>
      </w:r>
      <w:r>
        <w:rPr>
          <w:rFonts w:hint="default" w:ascii="Times New Roman" w:hAnsi="Times New Roman" w:eastAsia="宋体" w:cs="Times New Roman"/>
          <w:szCs w:val="24"/>
        </w:rPr>
        <w:t>：监测报告</w:t>
      </w:r>
      <w:r>
        <w:tab/>
      </w:r>
      <w:r>
        <w:fldChar w:fldCharType="begin"/>
      </w:r>
      <w:r>
        <w:instrText xml:space="preserve"> PAGEREF _Toc32070 \h </w:instrText>
      </w:r>
      <w:r>
        <w:fldChar w:fldCharType="separate"/>
      </w:r>
      <w:r>
        <w:t>78</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_Toc27826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lang w:val="en-US" w:eastAsia="zh-CN"/>
        </w:rPr>
        <w:t>附件</w:t>
      </w:r>
      <w:r>
        <w:rPr>
          <w:rFonts w:hint="eastAsia" w:ascii="Times New Roman" w:hAnsi="Times New Roman" w:cs="Times New Roman"/>
          <w:szCs w:val="24"/>
          <w:lang w:val="en-US" w:eastAsia="zh-CN"/>
        </w:rPr>
        <w:t>6</w:t>
      </w:r>
      <w:r>
        <w:rPr>
          <w:rFonts w:hint="default" w:ascii="Times New Roman" w:hAnsi="Times New Roman" w:eastAsia="宋体" w:cs="Times New Roman"/>
          <w:szCs w:val="24"/>
          <w:lang w:val="en-US" w:eastAsia="zh-CN"/>
        </w:rPr>
        <w:t>：验收监测方案</w:t>
      </w:r>
      <w:r>
        <w:tab/>
      </w:r>
      <w:r>
        <w:fldChar w:fldCharType="begin"/>
      </w:r>
      <w:r>
        <w:instrText xml:space="preserve"> PAGEREF _Toc27826 \h </w:instrText>
      </w:r>
      <w:r>
        <w:fldChar w:fldCharType="separate"/>
      </w:r>
      <w:r>
        <w:t>79</w:t>
      </w:r>
      <w:r>
        <w:fldChar w:fldCharType="end"/>
      </w:r>
      <w:r>
        <w:rPr>
          <w:rFonts w:hint="default" w:ascii="Times New Roman" w:hAnsi="Times New Roman" w:eastAsia="宋体" w:cs="Times New Roman"/>
          <w:bCs/>
          <w:szCs w:val="24"/>
        </w:rPr>
        <w:fldChar w:fldCharType="end"/>
      </w:r>
    </w:p>
    <w:p>
      <w:pPr>
        <w:pStyle w:val="19"/>
        <w:tabs>
          <w:tab w:val="right" w:leader="dot" w:pos="8306"/>
        </w:tabs>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_Toc1720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szCs w:val="24"/>
        </w:rPr>
        <w:t>附件</w:t>
      </w:r>
      <w:r>
        <w:rPr>
          <w:rFonts w:hint="eastAsia" w:ascii="Times New Roman" w:hAnsi="Times New Roman" w:cs="Times New Roman"/>
          <w:szCs w:val="24"/>
          <w:lang w:val="en-US" w:eastAsia="zh-CN"/>
        </w:rPr>
        <w:t>7</w:t>
      </w:r>
      <w:r>
        <w:rPr>
          <w:rFonts w:hint="default" w:ascii="Times New Roman" w:hAnsi="Times New Roman" w:eastAsia="宋体" w:cs="Times New Roman"/>
          <w:szCs w:val="24"/>
        </w:rPr>
        <w:t>：</w:t>
      </w:r>
      <w:r>
        <w:rPr>
          <w:rFonts w:hint="default" w:ascii="Times New Roman" w:hAnsi="Times New Roman" w:eastAsia="宋体" w:cs="Times New Roman"/>
          <w:szCs w:val="24"/>
          <w:lang w:val="en-US" w:eastAsia="zh-CN"/>
        </w:rPr>
        <w:t>环保验收公示</w:t>
      </w:r>
      <w:r>
        <w:tab/>
      </w:r>
      <w:r>
        <w:fldChar w:fldCharType="begin"/>
      </w:r>
      <w:r>
        <w:instrText xml:space="preserve"> PAGEREF _Toc1720 \h </w:instrText>
      </w:r>
      <w:r>
        <w:fldChar w:fldCharType="separate"/>
      </w:r>
      <w:r>
        <w:t>80</w:t>
      </w:r>
      <w:r>
        <w:fldChar w:fldCharType="end"/>
      </w:r>
      <w:r>
        <w:rPr>
          <w:rFonts w:hint="default" w:ascii="Times New Roman" w:hAnsi="Times New Roman" w:eastAsia="宋体" w:cs="Times New Roman"/>
          <w:bCs/>
          <w:szCs w:val="24"/>
        </w:rPr>
        <w:fldChar w:fldCharType="end"/>
      </w:r>
    </w:p>
    <w:p>
      <w:pPr>
        <w:pStyle w:val="21"/>
        <w:tabs>
          <w:tab w:val="right" w:leader="dot" w:pos="8610"/>
        </w:tabs>
        <w:snapToGrid w:val="0"/>
        <w:spacing w:line="360" w:lineRule="auto"/>
        <w:rPr>
          <w:rFonts w:hint="default" w:ascii="Times New Roman" w:hAnsi="Times New Roman" w:eastAsia="宋体" w:cs="Times New Roman"/>
          <w:b/>
          <w:bCs/>
          <w:sz w:val="24"/>
          <w:szCs w:val="24"/>
        </w:rPr>
      </w:pPr>
      <w:r>
        <w:rPr>
          <w:rFonts w:hint="default" w:ascii="Times New Roman" w:hAnsi="Times New Roman" w:eastAsia="宋体" w:cs="Times New Roman"/>
          <w:bCs/>
          <w:szCs w:val="24"/>
        </w:rPr>
        <w:fldChar w:fldCharType="end"/>
      </w:r>
    </w:p>
    <w:p>
      <w:pPr>
        <w:spacing w:line="360" w:lineRule="auto"/>
        <w:rPr>
          <w:rFonts w:hint="default" w:ascii="Times New Roman" w:hAnsi="Times New Roman" w:eastAsia="宋体" w:cs="Times New Roman"/>
          <w:b/>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pStyle w:val="8"/>
        <w:bidi w:val="0"/>
        <w:spacing w:before="0" w:beforeAutospacing="0" w:after="0" w:afterAutospacing="0"/>
        <w:jc w:val="center"/>
        <w:rPr>
          <w:rFonts w:hint="default" w:ascii="Times New Roman" w:hAnsi="Times New Roman" w:eastAsia="宋体" w:cs="Times New Roman"/>
          <w:sz w:val="32"/>
          <w:szCs w:val="32"/>
        </w:rPr>
      </w:pPr>
      <w:bookmarkStart w:id="1" w:name="_Toc9870"/>
      <w:r>
        <w:rPr>
          <w:rFonts w:hint="default" w:ascii="Times New Roman" w:hAnsi="Times New Roman" w:eastAsia="宋体" w:cs="Times New Roman"/>
          <w:sz w:val="32"/>
          <w:szCs w:val="32"/>
        </w:rPr>
        <w:t>1、验收项目概况</w:t>
      </w:r>
      <w:bookmarkEnd w:id="1"/>
    </w:p>
    <w:p>
      <w:pPr>
        <w:pStyle w:val="47"/>
        <w:spacing w:beforeAutospacing="0" w:line="360" w:lineRule="auto"/>
        <w:ind w:firstLine="0" w:firstLineChars="0"/>
        <w:jc w:val="both"/>
        <w:outlineLvl w:val="1"/>
        <w:rPr>
          <w:rFonts w:hint="default" w:ascii="Times New Roman" w:hAnsi="Times New Roman" w:eastAsia="宋体" w:cs="Times New Roman"/>
          <w:b/>
          <w:sz w:val="28"/>
          <w:szCs w:val="32"/>
        </w:rPr>
      </w:pPr>
      <w:bookmarkStart w:id="2" w:name="_Toc27430"/>
      <w:r>
        <w:rPr>
          <w:rFonts w:hint="default" w:ascii="Times New Roman" w:hAnsi="Times New Roman" w:eastAsia="宋体" w:cs="Times New Roman"/>
          <w:b/>
          <w:sz w:val="28"/>
          <w:szCs w:val="32"/>
        </w:rPr>
        <w:t>1.1验收项目基本情况</w:t>
      </w:r>
      <w:bookmarkEnd w:id="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项目名称：中国石化销售股份有限公司山东菏泽石油分公司成武六一七加油站新建项目。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建设单位：中国石化销售股份有限公司山东菏泽石油分公司。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建设地点：山东省菏泽市成武县伯乐集镇康楼村。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建设内容：罐区、加油区、站房、危废暂存间等。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生产规模：年周转汽油1600t，柴油1000t。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项目投资：项目实际总投资1451万元，其中环保投资15万元。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rPr>
        <w:t>竣工投产时间：202</w:t>
      </w:r>
      <w:r>
        <w:rPr>
          <w:rFonts w:hint="eastAsia" w:ascii="Times New Roman" w:hAnsi="Times New Roman" w:cs="Times New Roman"/>
          <w:sz w:val="24"/>
          <w:szCs w:val="28"/>
          <w:lang w:val="en-US" w:eastAsia="zh-CN"/>
        </w:rPr>
        <w:t>3</w:t>
      </w:r>
      <w:r>
        <w:rPr>
          <w:rFonts w:hint="default" w:ascii="Times New Roman" w:hAnsi="Times New Roman" w:eastAsia="宋体" w:cs="Times New Roman"/>
          <w:sz w:val="24"/>
          <w:szCs w:val="28"/>
        </w:rPr>
        <w:t>年</w:t>
      </w:r>
      <w:r>
        <w:rPr>
          <w:rFonts w:hint="eastAsia" w:ascii="Times New Roman" w:hAnsi="Times New Roman" w:cs="Times New Roman"/>
          <w:sz w:val="24"/>
          <w:szCs w:val="28"/>
          <w:lang w:val="en-US" w:eastAsia="zh-CN"/>
        </w:rPr>
        <w:t>1</w:t>
      </w:r>
      <w:r>
        <w:rPr>
          <w:rFonts w:hint="default" w:ascii="Times New Roman" w:hAnsi="Times New Roman" w:eastAsia="宋体" w:cs="Times New Roman"/>
          <w:sz w:val="24"/>
          <w:szCs w:val="28"/>
          <w:lang w:val="en-US" w:eastAsia="zh-CN"/>
        </w:rPr>
        <w:t>2</w:t>
      </w:r>
      <w:r>
        <w:rPr>
          <w:rFonts w:hint="default" w:ascii="Times New Roman" w:hAnsi="Times New Roman" w:eastAsia="宋体" w:cs="Times New Roman"/>
          <w:sz w:val="24"/>
          <w:szCs w:val="28"/>
        </w:rPr>
        <w:t>月</w:t>
      </w:r>
      <w:r>
        <w:rPr>
          <w:rFonts w:hint="default" w:ascii="Times New Roman" w:hAnsi="Times New Roman" w:eastAsia="宋体" w:cs="Times New Roman"/>
          <w:sz w:val="24"/>
          <w:szCs w:val="28"/>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none"/>
        </w:rPr>
      </w:pPr>
      <w:r>
        <w:rPr>
          <w:rFonts w:hint="default" w:ascii="Times New Roman" w:hAnsi="Times New Roman" w:eastAsia="宋体" w:cs="Times New Roman"/>
          <w:sz w:val="24"/>
          <w:szCs w:val="28"/>
          <w:highlight w:val="none"/>
        </w:rPr>
        <w:t>环评情况：</w:t>
      </w:r>
      <w:bookmarkStart w:id="3" w:name="_Hlk74757292"/>
      <w:r>
        <w:rPr>
          <w:rFonts w:hint="default" w:ascii="Times New Roman" w:hAnsi="Times New Roman" w:eastAsia="宋体" w:cs="Times New Roman"/>
          <w:sz w:val="24"/>
          <w:szCs w:val="28"/>
          <w:highlight w:val="none"/>
        </w:rPr>
        <w:t>本项目《</w:t>
      </w:r>
      <w:r>
        <w:rPr>
          <w:rFonts w:hint="default" w:ascii="Times New Roman" w:hAnsi="Times New Roman" w:eastAsia="宋体" w:cs="Times New Roman"/>
          <w:sz w:val="24"/>
          <w:szCs w:val="28"/>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8"/>
          <w:highlight w:val="none"/>
        </w:rPr>
        <w:t>环境影响报告表》由</w:t>
      </w:r>
      <w:r>
        <w:rPr>
          <w:rFonts w:hint="default" w:ascii="Times New Roman" w:hAnsi="Times New Roman" w:eastAsia="宋体" w:cs="Times New Roman"/>
          <w:sz w:val="24"/>
          <w:szCs w:val="28"/>
          <w:highlight w:val="none"/>
          <w:lang w:val="en-US" w:eastAsia="zh-CN"/>
        </w:rPr>
        <w:t>菏泽泰诺环境科技有限公司</w:t>
      </w:r>
      <w:r>
        <w:rPr>
          <w:rFonts w:hint="default" w:ascii="Times New Roman" w:hAnsi="Times New Roman" w:eastAsia="宋体" w:cs="Times New Roman"/>
          <w:sz w:val="24"/>
          <w:szCs w:val="28"/>
          <w:highlight w:val="none"/>
        </w:rPr>
        <w:t>编制，并于</w:t>
      </w:r>
      <w:r>
        <w:rPr>
          <w:rFonts w:hint="default" w:ascii="Times New Roman" w:hAnsi="Times New Roman" w:eastAsia="宋体" w:cs="Times New Roman"/>
          <w:color w:val="000000"/>
          <w:sz w:val="24"/>
          <w:szCs w:val="28"/>
          <w:highlight w:val="none"/>
        </w:rPr>
        <w:t>20</w:t>
      </w:r>
      <w:r>
        <w:rPr>
          <w:rFonts w:hint="default" w:ascii="Times New Roman" w:hAnsi="Times New Roman" w:eastAsia="宋体" w:cs="Times New Roman"/>
          <w:color w:val="000000"/>
          <w:sz w:val="24"/>
          <w:szCs w:val="28"/>
          <w:highlight w:val="none"/>
          <w:lang w:val="en-US" w:eastAsia="zh-CN"/>
        </w:rPr>
        <w:t>21</w:t>
      </w:r>
      <w:r>
        <w:rPr>
          <w:rFonts w:hint="default" w:ascii="Times New Roman" w:hAnsi="Times New Roman" w:eastAsia="宋体" w:cs="Times New Roman"/>
          <w:color w:val="000000"/>
          <w:sz w:val="24"/>
          <w:szCs w:val="28"/>
          <w:highlight w:val="none"/>
        </w:rPr>
        <w:t>年</w:t>
      </w:r>
      <w:r>
        <w:rPr>
          <w:rFonts w:hint="default" w:ascii="Times New Roman" w:hAnsi="Times New Roman" w:eastAsia="宋体" w:cs="Times New Roman"/>
          <w:color w:val="000000"/>
          <w:sz w:val="24"/>
          <w:szCs w:val="28"/>
          <w:highlight w:val="none"/>
          <w:lang w:val="en-US" w:eastAsia="zh-CN"/>
        </w:rPr>
        <w:t>11</w:t>
      </w:r>
      <w:r>
        <w:rPr>
          <w:rFonts w:hint="default" w:ascii="Times New Roman" w:hAnsi="Times New Roman" w:eastAsia="宋体" w:cs="Times New Roman"/>
          <w:color w:val="000000"/>
          <w:sz w:val="24"/>
          <w:szCs w:val="28"/>
          <w:highlight w:val="none"/>
        </w:rPr>
        <w:t>月</w:t>
      </w:r>
      <w:r>
        <w:rPr>
          <w:rFonts w:hint="default" w:ascii="Times New Roman" w:hAnsi="Times New Roman" w:eastAsia="宋体" w:cs="Times New Roman"/>
          <w:color w:val="000000"/>
          <w:sz w:val="24"/>
          <w:szCs w:val="28"/>
          <w:highlight w:val="none"/>
          <w:lang w:val="en-US" w:eastAsia="zh-CN"/>
        </w:rPr>
        <w:t>03</w:t>
      </w:r>
      <w:r>
        <w:rPr>
          <w:rFonts w:hint="default" w:ascii="Times New Roman" w:hAnsi="Times New Roman" w:eastAsia="宋体" w:cs="Times New Roman"/>
          <w:color w:val="000000"/>
          <w:sz w:val="24"/>
          <w:szCs w:val="28"/>
          <w:highlight w:val="none"/>
        </w:rPr>
        <w:t>日取</w:t>
      </w:r>
      <w:r>
        <w:rPr>
          <w:rFonts w:hint="default" w:ascii="Times New Roman" w:hAnsi="Times New Roman" w:eastAsia="宋体" w:cs="Times New Roman"/>
          <w:sz w:val="24"/>
          <w:szCs w:val="28"/>
          <w:highlight w:val="none"/>
        </w:rPr>
        <w:t>得</w:t>
      </w:r>
      <w:r>
        <w:rPr>
          <w:rFonts w:hint="default" w:ascii="Times New Roman" w:hAnsi="Times New Roman" w:eastAsia="宋体" w:cs="Times New Roman"/>
          <w:sz w:val="24"/>
          <w:szCs w:val="28"/>
          <w:highlight w:val="none"/>
          <w:lang w:eastAsia="zh-CN"/>
        </w:rPr>
        <w:t>菏泽市生态环境局</w:t>
      </w:r>
      <w:r>
        <w:rPr>
          <w:rFonts w:hint="default" w:ascii="Times New Roman" w:hAnsi="Times New Roman" w:eastAsia="宋体" w:cs="Times New Roman"/>
          <w:sz w:val="24"/>
          <w:szCs w:val="28"/>
          <w:highlight w:val="none"/>
          <w:lang w:val="en-US" w:eastAsia="zh-CN"/>
        </w:rPr>
        <w:t>成武县</w:t>
      </w:r>
      <w:r>
        <w:rPr>
          <w:rFonts w:hint="default" w:ascii="Times New Roman" w:hAnsi="Times New Roman" w:eastAsia="宋体" w:cs="Times New Roman"/>
          <w:sz w:val="24"/>
          <w:szCs w:val="28"/>
          <w:highlight w:val="none"/>
          <w:lang w:eastAsia="zh-CN"/>
        </w:rPr>
        <w:t>分局</w:t>
      </w:r>
      <w:r>
        <w:rPr>
          <w:rFonts w:hint="default" w:ascii="Times New Roman" w:hAnsi="Times New Roman" w:eastAsia="宋体" w:cs="Times New Roman"/>
          <w:sz w:val="24"/>
          <w:szCs w:val="28"/>
          <w:highlight w:val="none"/>
        </w:rPr>
        <w:t>对该项目的审批意见《</w:t>
      </w:r>
      <w:r>
        <w:rPr>
          <w:rFonts w:hint="default" w:ascii="Times New Roman" w:hAnsi="Times New Roman" w:eastAsia="宋体" w:cs="Times New Roman"/>
          <w:sz w:val="24"/>
          <w:szCs w:val="28"/>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8"/>
          <w:highlight w:val="none"/>
        </w:rPr>
        <w:t>环境影响报告表环境影响报告表的批复》（</w:t>
      </w:r>
      <w:r>
        <w:rPr>
          <w:rFonts w:hint="default" w:ascii="Times New Roman" w:hAnsi="Times New Roman" w:eastAsia="宋体" w:cs="Times New Roman"/>
          <w:sz w:val="24"/>
          <w:szCs w:val="28"/>
          <w:highlight w:val="none"/>
          <w:lang w:val="en-US" w:eastAsia="zh-CN"/>
        </w:rPr>
        <w:t>成行</w:t>
      </w:r>
      <w:r>
        <w:rPr>
          <w:rFonts w:hint="default" w:ascii="Times New Roman" w:hAnsi="Times New Roman" w:eastAsia="宋体" w:cs="Times New Roman"/>
          <w:sz w:val="24"/>
          <w:szCs w:val="28"/>
          <w:highlight w:val="none"/>
          <w:lang w:eastAsia="zh-CN"/>
        </w:rPr>
        <w:t>环审【202</w:t>
      </w:r>
      <w:r>
        <w:rPr>
          <w:rFonts w:hint="default" w:ascii="Times New Roman" w:hAnsi="Times New Roman" w:eastAsia="宋体" w:cs="Times New Roman"/>
          <w:sz w:val="24"/>
          <w:szCs w:val="28"/>
          <w:highlight w:val="none"/>
          <w:lang w:val="en-US" w:eastAsia="zh-CN"/>
        </w:rPr>
        <w:t>1</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highlight w:val="none"/>
          <w:lang w:val="en-US" w:eastAsia="zh-CN"/>
        </w:rPr>
        <w:t>38</w:t>
      </w:r>
      <w:r>
        <w:rPr>
          <w:rFonts w:hint="default" w:ascii="Times New Roman" w:hAnsi="Times New Roman" w:eastAsia="宋体" w:cs="Times New Roman"/>
          <w:sz w:val="24"/>
          <w:szCs w:val="28"/>
          <w:highlight w:val="none"/>
          <w:lang w:eastAsia="zh-CN"/>
        </w:rPr>
        <w:t>号</w:t>
      </w:r>
      <w:r>
        <w:rPr>
          <w:rFonts w:hint="default" w:ascii="Times New Roman" w:hAnsi="Times New Roman" w:eastAsia="宋体" w:cs="Times New Roman"/>
          <w:sz w:val="24"/>
          <w:szCs w:val="28"/>
          <w:highlight w:val="none"/>
        </w:rPr>
        <w:t>）。</w:t>
      </w:r>
      <w:bookmarkEnd w:id="3"/>
      <w:r>
        <w:rPr>
          <w:rFonts w:hint="default" w:ascii="Times New Roman" w:hAnsi="Times New Roman" w:eastAsia="宋体" w:cs="Times New Roman"/>
          <w:sz w:val="24"/>
          <w:szCs w:val="28"/>
          <w:highlight w:val="none"/>
        </w:rPr>
        <w:t>202</w:t>
      </w:r>
      <w:r>
        <w:rPr>
          <w:rFonts w:hint="eastAsia" w:ascii="Times New Roman" w:hAnsi="Times New Roman" w:cs="Times New Roman"/>
          <w:sz w:val="24"/>
          <w:szCs w:val="28"/>
          <w:highlight w:val="none"/>
          <w:lang w:val="en-US" w:eastAsia="zh-CN"/>
        </w:rPr>
        <w:t>3</w:t>
      </w:r>
      <w:r>
        <w:rPr>
          <w:rFonts w:hint="default" w:ascii="Times New Roman" w:hAnsi="Times New Roman" w:eastAsia="宋体" w:cs="Times New Roman"/>
          <w:sz w:val="24"/>
          <w:szCs w:val="28"/>
          <w:highlight w:val="none"/>
        </w:rPr>
        <w:t>年</w:t>
      </w:r>
      <w:r>
        <w:rPr>
          <w:rFonts w:hint="eastAsia" w:ascii="Times New Roman" w:hAnsi="Times New Roman" w:cs="Times New Roman"/>
          <w:sz w:val="24"/>
          <w:szCs w:val="28"/>
          <w:highlight w:val="none"/>
          <w:lang w:val="en-US" w:eastAsia="zh-CN"/>
        </w:rPr>
        <w:t>12</w:t>
      </w:r>
      <w:r>
        <w:rPr>
          <w:rFonts w:hint="default" w:ascii="Times New Roman" w:hAnsi="Times New Roman" w:eastAsia="宋体" w:cs="Times New Roman"/>
          <w:sz w:val="24"/>
          <w:szCs w:val="28"/>
          <w:highlight w:val="none"/>
        </w:rPr>
        <w:t>月，该项目按环评意见及环评批复整改完成，</w:t>
      </w:r>
      <w:r>
        <w:rPr>
          <w:rFonts w:hint="default" w:ascii="Times New Roman" w:hAnsi="Times New Roman" w:eastAsia="宋体" w:cs="Times New Roman"/>
          <w:color w:val="000000"/>
          <w:sz w:val="24"/>
          <w:szCs w:val="28"/>
          <w:highlight w:val="none"/>
        </w:rPr>
        <w:t>所有环保设施正式投入使用，目前，该工程已按要求建成，具备了验收监测的条件。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rPr>
        <w:t>受</w:t>
      </w:r>
      <w:r>
        <w:rPr>
          <w:rFonts w:hint="default" w:ascii="Times New Roman" w:hAnsi="Times New Roman" w:eastAsia="宋体" w:cs="Times New Roman"/>
          <w:sz w:val="24"/>
          <w:szCs w:val="28"/>
          <w:lang w:val="en-US" w:eastAsia="zh-CN"/>
        </w:rPr>
        <w:t>中国石化销售股份有限公司山东菏泽石油分公司</w:t>
      </w:r>
      <w:r>
        <w:rPr>
          <w:rFonts w:hint="default" w:ascii="Times New Roman" w:hAnsi="Times New Roman" w:eastAsia="宋体" w:cs="Times New Roman"/>
          <w:color w:val="000000"/>
          <w:sz w:val="24"/>
          <w:szCs w:val="28"/>
        </w:rPr>
        <w:t>的委托，</w:t>
      </w:r>
      <w:r>
        <w:rPr>
          <w:rFonts w:hint="default" w:ascii="Times New Roman" w:hAnsi="Times New Roman" w:eastAsia="宋体" w:cs="Times New Roman"/>
          <w:color w:val="000000"/>
          <w:sz w:val="24"/>
          <w:szCs w:val="28"/>
          <w:highlight w:val="none"/>
          <w:lang w:eastAsia="zh-CN"/>
        </w:rPr>
        <w:t>山东天衡检测有限公司</w:t>
      </w:r>
      <w:r>
        <w:rPr>
          <w:rFonts w:hint="default" w:ascii="Times New Roman" w:hAnsi="Times New Roman" w:eastAsia="宋体" w:cs="Times New Roman"/>
          <w:color w:val="000000"/>
          <w:sz w:val="24"/>
          <w:szCs w:val="28"/>
        </w:rPr>
        <w:t>承担该项目的竣工检测工作。根据国家有关法律法规的要求，202</w:t>
      </w:r>
      <w:r>
        <w:rPr>
          <w:rFonts w:hint="eastAsia" w:ascii="Times New Roman" w:hAnsi="Times New Roman" w:cs="Times New Roman"/>
          <w:color w:val="000000"/>
          <w:sz w:val="24"/>
          <w:szCs w:val="28"/>
          <w:lang w:val="en-US" w:eastAsia="zh-CN"/>
        </w:rPr>
        <w:t>3</w:t>
      </w:r>
      <w:r>
        <w:rPr>
          <w:rFonts w:hint="default" w:ascii="Times New Roman" w:hAnsi="Times New Roman" w:eastAsia="宋体" w:cs="Times New Roman"/>
          <w:color w:val="000000"/>
          <w:sz w:val="24"/>
          <w:szCs w:val="28"/>
        </w:rPr>
        <w:t>年</w:t>
      </w:r>
      <w:r>
        <w:rPr>
          <w:rFonts w:hint="eastAsia" w:ascii="Times New Roman" w:hAnsi="Times New Roman" w:cs="Times New Roman"/>
          <w:color w:val="000000"/>
          <w:sz w:val="24"/>
          <w:szCs w:val="28"/>
          <w:lang w:val="en-US" w:eastAsia="zh-CN"/>
        </w:rPr>
        <w:t>12</w:t>
      </w:r>
      <w:r>
        <w:rPr>
          <w:rFonts w:hint="default" w:ascii="Times New Roman" w:hAnsi="Times New Roman" w:eastAsia="宋体" w:cs="Times New Roman"/>
          <w:color w:val="000000"/>
          <w:sz w:val="24"/>
          <w:szCs w:val="28"/>
        </w:rPr>
        <w:t>月</w:t>
      </w:r>
      <w:r>
        <w:rPr>
          <w:rFonts w:hint="eastAsia" w:ascii="Times New Roman" w:hAnsi="Times New Roman" w:cs="Times New Roman"/>
          <w:color w:val="000000"/>
          <w:sz w:val="24"/>
          <w:szCs w:val="28"/>
          <w:lang w:val="en-US" w:eastAsia="zh-CN"/>
        </w:rPr>
        <w:t>20</w:t>
      </w:r>
      <w:r>
        <w:rPr>
          <w:rFonts w:hint="default" w:ascii="Times New Roman" w:hAnsi="Times New Roman" w:eastAsia="宋体" w:cs="Times New Roman"/>
          <w:color w:val="000000"/>
          <w:sz w:val="24"/>
          <w:szCs w:val="28"/>
          <w:highlight w:val="none"/>
        </w:rPr>
        <w:t>日，</w:t>
      </w:r>
      <w:r>
        <w:rPr>
          <w:rFonts w:hint="default" w:ascii="Times New Roman" w:hAnsi="Times New Roman" w:eastAsia="宋体" w:cs="Times New Roman"/>
          <w:color w:val="000000"/>
          <w:sz w:val="24"/>
          <w:szCs w:val="28"/>
          <w:highlight w:val="none"/>
          <w:lang w:eastAsia="zh-CN"/>
        </w:rPr>
        <w:t>山东天衡检测有限公司</w:t>
      </w:r>
      <w:r>
        <w:rPr>
          <w:rFonts w:hint="default" w:ascii="Times New Roman" w:hAnsi="Times New Roman" w:eastAsia="宋体" w:cs="Times New Roman"/>
          <w:color w:val="000000"/>
          <w:sz w:val="24"/>
          <w:szCs w:val="28"/>
        </w:rPr>
        <w:t>安排专业技术人员对项目区域进行了现场勘察和资料收集，查阅有关文件和技术资料，查看污染物治理及排放、环保措施的落实情况，在此基础上编制《</w:t>
      </w:r>
      <w:r>
        <w:rPr>
          <w:rFonts w:hint="default" w:ascii="Times New Roman" w:hAnsi="Times New Roman" w:eastAsia="宋体" w:cs="Times New Roman"/>
          <w:sz w:val="24"/>
          <w:szCs w:val="28"/>
          <w:lang w:val="en-US" w:eastAsia="zh-CN"/>
        </w:rPr>
        <w:t>中国石化销售股份有限公司山东菏泽石油分公司成武六一七加油站环评</w:t>
      </w:r>
      <w:r>
        <w:rPr>
          <w:rFonts w:hint="default" w:ascii="Times New Roman" w:hAnsi="Times New Roman" w:eastAsia="宋体" w:cs="Times New Roman"/>
          <w:color w:val="000000"/>
          <w:sz w:val="24"/>
          <w:szCs w:val="28"/>
        </w:rPr>
        <w:t>项目验收监测方案》，确定竣工验收监测内容。并于</w:t>
      </w:r>
      <w:r>
        <w:rPr>
          <w:rFonts w:hint="default" w:ascii="Times New Roman" w:hAnsi="Times New Roman" w:eastAsia="宋体" w:cs="Times New Roman"/>
          <w:color w:val="000000"/>
          <w:sz w:val="24"/>
          <w:szCs w:val="28"/>
          <w:highlight w:val="none"/>
          <w:lang w:val="en-US" w:eastAsia="zh-CN"/>
        </w:rPr>
        <w:t>2024年01月02日</w:t>
      </w:r>
      <w:r>
        <w:rPr>
          <w:rFonts w:hint="eastAsia" w:ascii="Times New Roman" w:hAnsi="Times New Roman" w:cs="Times New Roman"/>
          <w:color w:val="000000"/>
          <w:sz w:val="24"/>
          <w:szCs w:val="28"/>
          <w:highlight w:val="none"/>
          <w:lang w:val="en-US" w:eastAsia="zh-CN"/>
        </w:rPr>
        <w:t>~</w:t>
      </w:r>
      <w:r>
        <w:rPr>
          <w:rFonts w:hint="default" w:ascii="Times New Roman" w:hAnsi="Times New Roman" w:eastAsia="宋体" w:cs="Times New Roman"/>
          <w:color w:val="000000"/>
          <w:sz w:val="24"/>
          <w:szCs w:val="28"/>
          <w:highlight w:val="none"/>
          <w:lang w:val="en-US" w:eastAsia="zh-CN"/>
        </w:rPr>
        <w:t>01月03日</w:t>
      </w:r>
      <w:r>
        <w:rPr>
          <w:rFonts w:hint="eastAsia" w:ascii="Times New Roman" w:hAnsi="Times New Roman" w:cs="Times New Roman"/>
          <w:color w:val="000000"/>
          <w:sz w:val="24"/>
          <w:szCs w:val="28"/>
          <w:highlight w:val="none"/>
          <w:lang w:val="en-US" w:eastAsia="zh-CN"/>
        </w:rPr>
        <w:t>、2024年01月29日~30日</w:t>
      </w:r>
      <w:r>
        <w:rPr>
          <w:rFonts w:hint="default" w:ascii="Times New Roman" w:hAnsi="Times New Roman" w:eastAsia="宋体" w:cs="Times New Roman"/>
          <w:color w:val="000000"/>
          <w:sz w:val="24"/>
          <w:szCs w:val="28"/>
        </w:rPr>
        <w:t>依据验收监测方案确定的内容进行现场监测且对照该项目的环境影响报告表和环评批复进行了环境管理检查，</w:t>
      </w:r>
      <w:r>
        <w:rPr>
          <w:rFonts w:hint="default" w:ascii="Times New Roman" w:hAnsi="Times New Roman" w:eastAsia="宋体" w:cs="Times New Roman"/>
          <w:color w:val="000000"/>
          <w:sz w:val="24"/>
          <w:szCs w:val="28"/>
          <w:lang w:val="en-US" w:eastAsia="zh-CN"/>
        </w:rPr>
        <w:t>中国石化销售股份有限公司山东菏泽石油分公司</w:t>
      </w:r>
      <w:r>
        <w:rPr>
          <w:rFonts w:hint="default" w:ascii="Times New Roman" w:hAnsi="Times New Roman" w:eastAsia="宋体" w:cs="Times New Roman"/>
          <w:color w:val="000000"/>
          <w:sz w:val="24"/>
          <w:szCs w:val="28"/>
        </w:rPr>
        <w:t>根据验收监测结果和现场检查情况编制了《</w:t>
      </w:r>
      <w:r>
        <w:rPr>
          <w:rFonts w:hint="default" w:ascii="Times New Roman" w:hAnsi="Times New Roman" w:eastAsia="宋体" w:cs="Times New Roman"/>
          <w:color w:val="000000"/>
          <w:sz w:val="24"/>
          <w:szCs w:val="28"/>
          <w:lang w:val="en-US" w:eastAsia="zh-CN"/>
        </w:rPr>
        <w:t>中国石化销售股份有限公司山东菏泽石油分公司成武六一七加油站新建项目</w:t>
      </w:r>
      <w:r>
        <w:rPr>
          <w:rFonts w:hint="default" w:ascii="Times New Roman" w:hAnsi="Times New Roman" w:eastAsia="宋体" w:cs="Times New Roman"/>
          <w:color w:val="000000"/>
          <w:sz w:val="24"/>
          <w:szCs w:val="28"/>
        </w:rPr>
        <w:t>竣工环境保护验收报告》。</w:t>
      </w:r>
      <w:r>
        <w:rPr>
          <w:rFonts w:hint="default" w:ascii="Times New Roman" w:hAnsi="Times New Roman" w:eastAsia="宋体" w:cs="Times New Roman"/>
          <w:color w:val="auto"/>
          <w:sz w:val="24"/>
          <w:szCs w:val="28"/>
        </w:rPr>
        <w:t>于</w:t>
      </w:r>
      <w:r>
        <w:rPr>
          <w:rFonts w:hint="default" w:ascii="Times New Roman" w:hAnsi="Times New Roman" w:eastAsia="宋体" w:cs="Times New Roman"/>
          <w:color w:val="auto"/>
          <w:sz w:val="24"/>
          <w:szCs w:val="28"/>
          <w:highlight w:val="none"/>
        </w:rPr>
        <w:t>202</w:t>
      </w:r>
      <w:r>
        <w:rPr>
          <w:rFonts w:hint="default" w:ascii="Times New Roman" w:hAnsi="Times New Roman" w:eastAsia="宋体" w:cs="Times New Roman"/>
          <w:color w:val="auto"/>
          <w:sz w:val="24"/>
          <w:szCs w:val="28"/>
          <w:highlight w:val="none"/>
          <w:lang w:val="en-US" w:eastAsia="zh-CN"/>
        </w:rPr>
        <w:t>4</w:t>
      </w:r>
      <w:r>
        <w:rPr>
          <w:rFonts w:hint="default" w:ascii="Times New Roman" w:hAnsi="Times New Roman" w:eastAsia="宋体" w:cs="Times New Roman"/>
          <w:color w:val="auto"/>
          <w:sz w:val="24"/>
          <w:szCs w:val="28"/>
          <w:highlight w:val="none"/>
        </w:rPr>
        <w:t>年</w:t>
      </w:r>
      <w:r>
        <w:rPr>
          <w:rFonts w:hint="default" w:ascii="Times New Roman" w:hAnsi="Times New Roman" w:eastAsia="宋体" w:cs="Times New Roman"/>
          <w:color w:val="auto"/>
          <w:sz w:val="24"/>
          <w:szCs w:val="28"/>
          <w:highlight w:val="none"/>
          <w:lang w:val="en-US" w:eastAsia="zh-CN"/>
        </w:rPr>
        <w:t>02</w:t>
      </w:r>
      <w:r>
        <w:rPr>
          <w:rFonts w:hint="default" w:ascii="Times New Roman" w:hAnsi="Times New Roman" w:eastAsia="宋体" w:cs="Times New Roman"/>
          <w:color w:val="auto"/>
          <w:sz w:val="24"/>
          <w:szCs w:val="28"/>
          <w:highlight w:val="none"/>
        </w:rPr>
        <w:t>月</w:t>
      </w:r>
      <w:r>
        <w:rPr>
          <w:rFonts w:hint="default" w:ascii="Times New Roman" w:hAnsi="Times New Roman" w:eastAsia="宋体" w:cs="Times New Roman"/>
          <w:color w:val="auto"/>
          <w:sz w:val="24"/>
          <w:szCs w:val="28"/>
          <w:highlight w:val="none"/>
          <w:lang w:val="en-US" w:eastAsia="zh-CN"/>
        </w:rPr>
        <w:t>0</w:t>
      </w:r>
      <w:r>
        <w:rPr>
          <w:rFonts w:hint="eastAsia" w:ascii="Times New Roman" w:hAnsi="Times New Roman" w:cs="Times New Roman"/>
          <w:color w:val="auto"/>
          <w:sz w:val="24"/>
          <w:szCs w:val="28"/>
          <w:highlight w:val="none"/>
          <w:lang w:val="en-US" w:eastAsia="zh-CN"/>
        </w:rPr>
        <w:t>3</w:t>
      </w:r>
      <w:r>
        <w:rPr>
          <w:rFonts w:hint="default" w:ascii="Times New Roman" w:hAnsi="Times New Roman" w:eastAsia="宋体" w:cs="Times New Roman"/>
          <w:color w:val="auto"/>
          <w:sz w:val="24"/>
          <w:szCs w:val="28"/>
          <w:highlight w:val="none"/>
        </w:rPr>
        <w:t>日</w:t>
      </w:r>
      <w:r>
        <w:rPr>
          <w:rFonts w:hint="default" w:ascii="Times New Roman" w:hAnsi="Times New Roman" w:eastAsia="宋体" w:cs="Times New Roman"/>
          <w:color w:val="auto"/>
          <w:sz w:val="24"/>
          <w:szCs w:val="28"/>
        </w:rPr>
        <w:t>，</w:t>
      </w:r>
      <w:r>
        <w:rPr>
          <w:rFonts w:hint="default" w:ascii="Times New Roman" w:hAnsi="Times New Roman" w:eastAsia="宋体" w:cs="Times New Roman"/>
          <w:color w:val="000000"/>
          <w:sz w:val="24"/>
          <w:szCs w:val="28"/>
          <w:lang w:val="en-US" w:eastAsia="zh-CN"/>
        </w:rPr>
        <w:t>中国石化销售股份有限公司山东菏泽石油分公司</w:t>
      </w:r>
      <w:r>
        <w:rPr>
          <w:rFonts w:hint="default" w:ascii="Times New Roman" w:hAnsi="Times New Roman" w:eastAsia="宋体" w:cs="Times New Roman"/>
          <w:color w:val="000000"/>
          <w:sz w:val="24"/>
          <w:szCs w:val="28"/>
        </w:rPr>
        <w:t>邀请专家共同组织成立验收工作组，对</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中国石化销售股份有限公司山东菏泽石油分公司成武六一七加油站新建项目</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进行竣工环境保护验收并同意通过。在报告的编制及完善过程中，参阅了大量的相关资料，同时，得到了环保行政主管部门众位领导和专家技术人员的大力支持，在此一并表示衷心的感谢</w:t>
      </w:r>
      <w:r>
        <w:rPr>
          <w:rFonts w:hint="default" w:ascii="Times New Roman" w:hAnsi="Times New Roman" w:eastAsia="宋体" w:cs="Times New Roman"/>
          <w:color w:val="000000"/>
          <w:sz w:val="24"/>
          <w:szCs w:val="28"/>
          <w:lang w:eastAsia="zh-CN"/>
        </w:rPr>
        <w:t>！</w:t>
      </w:r>
    </w:p>
    <w:p>
      <w:pPr>
        <w:pStyle w:val="47"/>
        <w:spacing w:line="360" w:lineRule="auto"/>
        <w:ind w:firstLine="0" w:firstLineChars="0"/>
        <w:jc w:val="left"/>
        <w:outlineLvl w:val="1"/>
        <w:rPr>
          <w:rFonts w:hint="default" w:ascii="Times New Roman" w:hAnsi="Times New Roman" w:eastAsia="宋体" w:cs="Times New Roman"/>
          <w:b/>
          <w:color w:val="auto"/>
          <w:sz w:val="28"/>
          <w:szCs w:val="32"/>
        </w:rPr>
      </w:pPr>
      <w:bookmarkStart w:id="4" w:name="_Toc25606"/>
      <w:r>
        <w:rPr>
          <w:rFonts w:hint="default" w:ascii="Times New Roman" w:hAnsi="Times New Roman" w:eastAsia="宋体" w:cs="Times New Roman"/>
          <w:b/>
          <w:color w:val="auto"/>
          <w:sz w:val="28"/>
          <w:szCs w:val="32"/>
        </w:rPr>
        <w:t>1.2验收内容及目的</w:t>
      </w:r>
      <w:bookmarkEnd w:id="4"/>
    </w:p>
    <w:p>
      <w:pPr>
        <w:pStyle w:val="47"/>
        <w:spacing w:line="360" w:lineRule="auto"/>
        <w:ind w:firstLine="0" w:firstLineChars="0"/>
        <w:jc w:val="left"/>
        <w:rPr>
          <w:rFonts w:hint="default" w:ascii="Times New Roman" w:hAnsi="Times New Roman" w:eastAsia="宋体" w:cs="Times New Roman"/>
          <w:b/>
          <w:color w:val="auto"/>
          <w:sz w:val="24"/>
          <w:szCs w:val="32"/>
        </w:rPr>
      </w:pPr>
      <w:r>
        <w:rPr>
          <w:rFonts w:hint="default" w:ascii="Times New Roman" w:hAnsi="Times New Roman" w:eastAsia="宋体" w:cs="Times New Roman"/>
          <w:b/>
          <w:color w:val="auto"/>
          <w:sz w:val="24"/>
          <w:szCs w:val="32"/>
        </w:rPr>
        <w:t>1.2.1验收内容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核查项目在设计、施工和试运营阶段对设计文件、环评报告、环评批复及环评变更报告中所提出的环保措施的落实情况。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核查项目实际建设内容、实际生产能力、产品内容及原辅料的使用情况。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核查项目各类污染物实际产生情况及采取的污染控制措施，分析各项污染控制措施实施的有效性；通过现场检查和实地监测，核查项目污染物达标排放情况及污染物排放总量的落实情况。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核查项目环境风险防范措施和应急预案的制定和执行情况，核查环保管理制定和实施情况，相应的环保机构、人员和监测设备的配备情况。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核查项目周边敏感保护目标分布及受影响情况；核查卫生防护距离内是否有新建环境敏感建筑物。</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1.2.2验收范围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rPr>
      </w:pPr>
      <w:r>
        <w:rPr>
          <w:rFonts w:hint="default" w:ascii="Times New Roman" w:hAnsi="Times New Roman" w:eastAsia="宋体" w:cs="Times New Roman"/>
          <w:color w:val="000000"/>
          <w:sz w:val="24"/>
          <w:szCs w:val="28"/>
        </w:rPr>
        <w:t>本次验收范围为《</w:t>
      </w:r>
      <w:r>
        <w:rPr>
          <w:rFonts w:hint="default" w:ascii="Times New Roman" w:hAnsi="Times New Roman" w:eastAsia="宋体" w:cs="Times New Roman"/>
          <w:color w:val="000000"/>
          <w:sz w:val="24"/>
          <w:szCs w:val="28"/>
          <w:lang w:val="en-US" w:eastAsia="zh-CN"/>
        </w:rPr>
        <w:t>中国石化销售股份有限公司山东菏泽石油分公司成武六一七加油站新建项目</w:t>
      </w:r>
      <w:r>
        <w:rPr>
          <w:rFonts w:hint="default" w:ascii="Times New Roman" w:hAnsi="Times New Roman" w:eastAsia="宋体" w:cs="Times New Roman"/>
          <w:color w:val="000000"/>
          <w:sz w:val="24"/>
          <w:szCs w:val="28"/>
        </w:rPr>
        <w:t>》建设内容及配套的环保设施，主要</w:t>
      </w:r>
      <w:r>
        <w:rPr>
          <w:rFonts w:hint="default" w:ascii="Times New Roman" w:hAnsi="Times New Roman" w:eastAsia="宋体" w:cs="Times New Roman"/>
          <w:color w:val="000000"/>
          <w:sz w:val="24"/>
          <w:szCs w:val="28"/>
          <w:lang w:val="en-US" w:eastAsia="zh-CN"/>
        </w:rPr>
        <w:t>包括储罐区、加油区以及配套的环保设备</w:t>
      </w:r>
      <w:r>
        <w:rPr>
          <w:rFonts w:hint="default" w:ascii="Times New Roman" w:hAnsi="Times New Roman" w:eastAsia="宋体" w:cs="Times New Roman"/>
          <w:sz w:val="24"/>
          <w:szCs w:val="24"/>
        </w:rPr>
        <w:t>等。</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1.2.3验收目的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次验收的主要目的是通过对项目污染物排放达标情况、环保设施运行情况、污染物治理效果、环境风险及环境管理调查，综合分析、评价得出结论，以验收报告的形式为建设项目竣工环境保护验收及验收后的日常监督管理提供技术依据。</w:t>
      </w:r>
    </w:p>
    <w:p>
      <w:pPr>
        <w:spacing w:line="360" w:lineRule="auto"/>
        <w:ind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br w:type="page"/>
      </w:r>
    </w:p>
    <w:p>
      <w:pPr>
        <w:pStyle w:val="47"/>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5" w:name="_Toc1053"/>
      <w:r>
        <w:rPr>
          <w:rFonts w:hint="default" w:ascii="Times New Roman" w:hAnsi="Times New Roman" w:eastAsia="宋体" w:cs="Times New Roman"/>
          <w:b/>
          <w:sz w:val="32"/>
          <w:szCs w:val="32"/>
        </w:rPr>
        <w:t>2、验收依据</w:t>
      </w:r>
      <w:bookmarkEnd w:id="5"/>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6" w:name="_Toc29635"/>
      <w:bookmarkStart w:id="7" w:name="_Toc502136283"/>
      <w:bookmarkStart w:id="8" w:name="_Toc10144"/>
      <w:r>
        <w:rPr>
          <w:rFonts w:hint="default" w:ascii="Times New Roman" w:hAnsi="Times New Roman" w:eastAsia="宋体" w:cs="Times New Roman"/>
          <w:b/>
          <w:sz w:val="28"/>
          <w:szCs w:val="32"/>
        </w:rPr>
        <w:t>2.1</w:t>
      </w:r>
      <w:bookmarkEnd w:id="6"/>
      <w:bookmarkStart w:id="9" w:name="_Toc501815002"/>
      <w:bookmarkStart w:id="10" w:name="_Toc502061656"/>
      <w:r>
        <w:rPr>
          <w:rFonts w:hint="default" w:ascii="Times New Roman" w:hAnsi="Times New Roman" w:eastAsia="宋体" w:cs="Times New Roman"/>
          <w:b/>
          <w:sz w:val="28"/>
          <w:szCs w:val="32"/>
        </w:rPr>
        <w:t>法律</w:t>
      </w:r>
      <w:bookmarkEnd w:id="9"/>
      <w:bookmarkEnd w:id="10"/>
      <w:r>
        <w:rPr>
          <w:rFonts w:hint="default" w:ascii="Times New Roman" w:hAnsi="Times New Roman" w:eastAsia="宋体" w:cs="Times New Roman"/>
          <w:b/>
          <w:sz w:val="28"/>
          <w:szCs w:val="32"/>
        </w:rPr>
        <w:t>依据</w:t>
      </w:r>
      <w:bookmarkEnd w:id="7"/>
      <w:bookmarkEnd w:id="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bookmarkStart w:id="11" w:name="_Toc502136284"/>
      <w:r>
        <w:rPr>
          <w:rFonts w:hint="default" w:ascii="Times New Roman" w:hAnsi="Times New Roman" w:eastAsia="宋体" w:cs="Times New Roman"/>
          <w:color w:val="000000"/>
          <w:sz w:val="24"/>
          <w:szCs w:val="28"/>
        </w:rPr>
        <w:t>1、《中华人民共和国环境保护法》，（2015年1月1日起施行）；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2、《中华人民共和国环境影响评价法》，（2018年12月29日，修订）；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3、《中华人民共和国水污染防治法》（2018年1月1日起施行）；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4、《中华人民共和国大气污染防治法》，（2018年10月26日，修订）；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5、《中华人民共和国噪声污染防治法》，（2018年12月29日，修订）；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6、《中华人民共和国固体废物污染环境防治法》，（2020年09月01日施行修订）；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7、《建设项目环境保护管理条例》，（2017年10月1日起施行）；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8、《建设项目环境影响评价分类管理名录》（2021年版）；</w:t>
      </w:r>
    </w:p>
    <w:p>
      <w:pPr>
        <w:pStyle w:val="47"/>
        <w:spacing w:line="360" w:lineRule="auto"/>
        <w:ind w:firstLine="0" w:firstLineChars="0"/>
        <w:jc w:val="left"/>
        <w:outlineLvl w:val="1"/>
        <w:rPr>
          <w:rFonts w:hint="default" w:ascii="Times New Roman" w:hAnsi="Times New Roman" w:eastAsia="宋体" w:cs="Times New Roman"/>
          <w:color w:val="000000"/>
          <w:sz w:val="24"/>
          <w:szCs w:val="28"/>
        </w:rPr>
      </w:pPr>
      <w:bookmarkStart w:id="12" w:name="_Toc1522"/>
      <w:r>
        <w:rPr>
          <w:rFonts w:hint="default" w:ascii="Times New Roman" w:hAnsi="Times New Roman" w:eastAsia="宋体" w:cs="Times New Roman"/>
          <w:b/>
          <w:sz w:val="28"/>
          <w:szCs w:val="32"/>
        </w:rPr>
        <w:t>2.2验收技术规范</w:t>
      </w:r>
      <w:bookmarkEnd w:id="1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1、《环境影响评价技术导则 总纲》（HJ2.1-2016）；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2、《环境影响评价技术导则 大气环境》（HJ2.2-2018）；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3、《环境影响评价技术导则 地表水环境》（HJ2.3-2018）；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4、《环境影响评价技术导则 地下水环境》（HJ610-2016）；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5、《环境影响评价技术导则 声环境》（HJ2.4-20</w:t>
      </w:r>
      <w:r>
        <w:rPr>
          <w:rFonts w:hint="default" w:ascii="Times New Roman" w:hAnsi="Times New Roman" w:eastAsia="宋体" w:cs="Times New Roman"/>
          <w:color w:val="000000"/>
          <w:sz w:val="24"/>
          <w:szCs w:val="28"/>
          <w:lang w:val="en-US" w:eastAsia="zh-CN"/>
        </w:rPr>
        <w:t>21</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6、《环境影响评价技术导则 生态影响》（HJ19-20</w:t>
      </w:r>
      <w:r>
        <w:rPr>
          <w:rFonts w:hint="default" w:ascii="Times New Roman" w:hAnsi="Times New Roman" w:eastAsia="宋体" w:cs="Times New Roman"/>
          <w:color w:val="000000"/>
          <w:sz w:val="24"/>
          <w:szCs w:val="28"/>
          <w:lang w:val="en-US" w:eastAsia="zh-CN"/>
        </w:rPr>
        <w:t>22</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7、《环境空气质量标准》（GB3095-2012）；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8、《声环境质量标准》（GB3096-2008）；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9、《地下水质量标准》（GB/14848-2017）；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10、《地表水环境质量标准》（GB3838-2002）；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11、</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color w:val="000000"/>
          <w:sz w:val="24"/>
          <w:szCs w:val="28"/>
          <w:highlight w:val="none"/>
          <w:lang w:val="en-US" w:eastAsia="zh-CN"/>
        </w:rPr>
        <w:t>社会环境</w:t>
      </w:r>
      <w:r>
        <w:rPr>
          <w:rFonts w:hint="default" w:ascii="Times New Roman" w:hAnsi="Times New Roman" w:eastAsia="宋体" w:cs="Times New Roman"/>
          <w:color w:val="000000"/>
          <w:sz w:val="24"/>
          <w:szCs w:val="28"/>
          <w:highlight w:val="none"/>
        </w:rPr>
        <w:t>环境噪声排放标准》（GB</w:t>
      </w:r>
      <w:r>
        <w:rPr>
          <w:rFonts w:hint="default" w:ascii="Times New Roman" w:hAnsi="Times New Roman" w:eastAsia="宋体" w:cs="Times New Roman"/>
          <w:color w:val="000000"/>
          <w:sz w:val="24"/>
          <w:szCs w:val="28"/>
          <w:highlight w:val="none"/>
          <w:lang w:val="en-US" w:eastAsia="zh-CN"/>
        </w:rPr>
        <w:t>22337</w:t>
      </w:r>
      <w:r>
        <w:rPr>
          <w:rFonts w:hint="default" w:ascii="Times New Roman" w:hAnsi="Times New Roman" w:eastAsia="宋体" w:cs="Times New Roman"/>
          <w:color w:val="000000"/>
          <w:sz w:val="24"/>
          <w:szCs w:val="28"/>
          <w:highlight w:val="none"/>
        </w:rPr>
        <w:t>-2008）</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12、</w:t>
      </w:r>
      <w:r>
        <w:rPr>
          <w:rFonts w:hint="default" w:ascii="Times New Roman" w:hAnsi="Times New Roman" w:eastAsia="宋体" w:cs="Times New Roman"/>
          <w:color w:val="000000"/>
          <w:sz w:val="24"/>
          <w:szCs w:val="28"/>
          <w:lang w:eastAsia="zh-CN"/>
        </w:rPr>
        <w:t>《一般工业固体废物贮存和填埋污染控制标准》（GB18599-2020）</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13、《危险废物贮存污染控制标准》(GB18597-20</w:t>
      </w:r>
      <w:r>
        <w:rPr>
          <w:rFonts w:hint="default" w:ascii="Times New Roman" w:hAnsi="Times New Roman" w:eastAsia="宋体" w:cs="Times New Roman"/>
          <w:color w:val="000000"/>
          <w:sz w:val="24"/>
          <w:szCs w:val="28"/>
          <w:lang w:val="en-US" w:eastAsia="zh-CN"/>
        </w:rPr>
        <w:t>23</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14、《生活垃圾填埋场污染控制标准》（GB16899-2008）；</w:t>
      </w:r>
    </w:p>
    <w:p>
      <w:pPr>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15、《关于规范建设单位自主开展建设项目竣工环境保护验收的通知（征求意见稿）》（环境保护部）；</w:t>
      </w:r>
    </w:p>
    <w:p>
      <w:pPr>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16、《建设项目竣工环境保护验收技术指南 污染影响类》（环境生态部）；</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13" w:name="_Toc21470"/>
      <w:r>
        <w:rPr>
          <w:rFonts w:hint="default" w:ascii="Times New Roman" w:hAnsi="Times New Roman" w:eastAsia="宋体" w:cs="Times New Roman"/>
          <w:b/>
          <w:sz w:val="28"/>
          <w:szCs w:val="32"/>
        </w:rPr>
        <w:t>2.</w:t>
      </w:r>
      <w:r>
        <w:rPr>
          <w:rFonts w:hint="default" w:ascii="Times New Roman" w:hAnsi="Times New Roman" w:eastAsia="宋体" w:cs="Times New Roman"/>
          <w:b/>
          <w:sz w:val="28"/>
          <w:szCs w:val="32"/>
          <w:lang w:val="en-US" w:eastAsia="zh-CN"/>
        </w:rPr>
        <w:t>3</w:t>
      </w:r>
      <w:r>
        <w:rPr>
          <w:rFonts w:hint="default" w:ascii="Times New Roman" w:hAnsi="Times New Roman" w:eastAsia="宋体" w:cs="Times New Roman"/>
          <w:b/>
          <w:sz w:val="28"/>
          <w:szCs w:val="32"/>
        </w:rPr>
        <w:t>其他法规、条例</w:t>
      </w:r>
      <w:bookmarkEnd w:id="11"/>
      <w:bookmarkEnd w:id="1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1、《建设项目环境保护管理条例》（国务院令第682号）；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2、《建设项目环境影响评价文件审批及建设单位自主开展环境保护设施验收工作指引（试行）》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3、《建设项目竣工环境保护验收暂行办法》（国环规环评（2017）4号）；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4、原国家环境保护总局环发［2000］38号《关于建设项目环境保护设施竣工验收监测管理有关问题的通知》；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5、原山东省环境保护局鲁环发〔2007〕147号《关于印发《建设项目环评审批的具体操作程序》和《建设项目竣工环境保护验收的具体操作程序》的通知》；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6、山东省环境保护厅鲁环发[2012]509转发《关于切实加强风险防范严格影响评价管理》的通知；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7、《建设项目竣工环境保护验收技术指南污染影响类》（生态环境部公告2018年第9号）；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8、菏泽市环境保护局菏环发[2016]26号《关于严格环评审批和“三同时”验收加强国土资源执法监管建立共同责任机制的通知》（2016.05.30）；</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rPr>
        <w:t>9、</w:t>
      </w:r>
      <w:r>
        <w:rPr>
          <w:rFonts w:hint="default" w:ascii="Times New Roman" w:hAnsi="Times New Roman" w:eastAsia="宋体" w:cs="Times New Roman"/>
          <w:color w:val="000000"/>
          <w:sz w:val="24"/>
          <w:szCs w:val="28"/>
          <w:lang w:val="en-US" w:eastAsia="zh-CN"/>
        </w:rPr>
        <w:t>生态环境部办公厅关于印发《污染影响类建设项目重大变动清单（试行）》的通知；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10</w:t>
      </w:r>
      <w:r>
        <w:rPr>
          <w:rFonts w:hint="default" w:ascii="Times New Roman" w:hAnsi="Times New Roman" w:eastAsia="宋体" w:cs="Times New Roman"/>
          <w:color w:val="000000"/>
          <w:sz w:val="24"/>
          <w:szCs w:val="28"/>
        </w:rPr>
        <w:t>、环境保护部《关于印发环评管理中部分行业建设项目重大变动清单的通知》(环办〔2015〕52号)重大变更清单。</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14" w:name="_Toc9507"/>
      <w:bookmarkStart w:id="15" w:name="_Toc502136285"/>
      <w:r>
        <w:rPr>
          <w:rFonts w:hint="default" w:ascii="Times New Roman" w:hAnsi="Times New Roman" w:eastAsia="宋体" w:cs="Times New Roman"/>
          <w:b/>
          <w:sz w:val="28"/>
          <w:szCs w:val="32"/>
        </w:rPr>
        <w:t>2.</w:t>
      </w:r>
      <w:r>
        <w:rPr>
          <w:rFonts w:hint="default" w:ascii="Times New Roman" w:hAnsi="Times New Roman" w:eastAsia="宋体" w:cs="Times New Roman"/>
          <w:b/>
          <w:sz w:val="28"/>
          <w:szCs w:val="32"/>
          <w:lang w:val="en-US" w:eastAsia="zh-CN"/>
        </w:rPr>
        <w:t>4</w:t>
      </w:r>
      <w:r>
        <w:rPr>
          <w:rFonts w:hint="default" w:ascii="Times New Roman" w:hAnsi="Times New Roman" w:eastAsia="宋体" w:cs="Times New Roman"/>
          <w:b/>
          <w:sz w:val="28"/>
          <w:szCs w:val="32"/>
        </w:rPr>
        <w:t>技术文件依据</w:t>
      </w:r>
      <w:bookmarkEnd w:id="14"/>
      <w:bookmarkEnd w:id="1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1、山东省环保厅鲁环函[2012]493号《山东省环境保护厅关于加强建设项目竣工环境保护验收等有关环境监管问题的通知》，2012年；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2、山东省环保厅鲁环发[2013]4号《山东省环境保护厅关于进一步加强环境安全应急管理工作的通知》，2012年1月；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3、山东省环保厅鲁环评函[2013]138号《山东省环境保护厅关于加强建设项目特征污染物监管和绿色生态屏障建设的通知》，2013年；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none"/>
        </w:rPr>
      </w:pPr>
      <w:r>
        <w:rPr>
          <w:rFonts w:hint="default" w:ascii="Times New Roman" w:hAnsi="Times New Roman" w:eastAsia="宋体" w:cs="Times New Roman"/>
          <w:color w:val="000000"/>
          <w:sz w:val="24"/>
          <w:szCs w:val="28"/>
          <w:highlight w:val="none"/>
        </w:rPr>
        <w:t>4、</w:t>
      </w:r>
      <w:r>
        <w:rPr>
          <w:rFonts w:hint="default" w:ascii="Times New Roman" w:hAnsi="Times New Roman" w:eastAsia="宋体" w:cs="Times New Roman"/>
          <w:sz w:val="24"/>
          <w:szCs w:val="28"/>
          <w:highlight w:val="none"/>
        </w:rPr>
        <w:t>《</w:t>
      </w:r>
      <w:r>
        <w:rPr>
          <w:rFonts w:hint="default" w:ascii="Times New Roman" w:hAnsi="Times New Roman" w:eastAsia="宋体" w:cs="Times New Roman"/>
          <w:color w:val="000000"/>
          <w:sz w:val="24"/>
          <w:szCs w:val="28"/>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8"/>
          <w:highlight w:val="none"/>
        </w:rPr>
        <w:t>环境影响报告表》</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sz w:val="24"/>
          <w:szCs w:val="28"/>
          <w:highlight w:val="none"/>
          <w:lang w:val="en-US" w:eastAsia="zh-CN"/>
        </w:rPr>
        <w:t>菏泽泰诺环境科技有限公司</w:t>
      </w:r>
      <w:r>
        <w:rPr>
          <w:rFonts w:hint="default" w:ascii="Times New Roman" w:hAnsi="Times New Roman" w:eastAsia="宋体" w:cs="Times New Roman"/>
          <w:color w:val="000000"/>
          <w:sz w:val="24"/>
          <w:szCs w:val="28"/>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yellow"/>
        </w:rPr>
      </w:pPr>
      <w:r>
        <w:rPr>
          <w:rFonts w:hint="default" w:ascii="Times New Roman" w:hAnsi="Times New Roman" w:eastAsia="宋体" w:cs="Times New Roman"/>
          <w:color w:val="000000"/>
          <w:sz w:val="24"/>
          <w:szCs w:val="28"/>
          <w:highlight w:val="none"/>
        </w:rPr>
        <w:t>5、</w:t>
      </w:r>
      <w:r>
        <w:rPr>
          <w:rFonts w:hint="default" w:ascii="Times New Roman" w:hAnsi="Times New Roman" w:eastAsia="宋体" w:cs="Times New Roman"/>
          <w:sz w:val="24"/>
          <w:szCs w:val="28"/>
          <w:highlight w:val="none"/>
        </w:rPr>
        <w:t>《关于</w:t>
      </w:r>
      <w:r>
        <w:rPr>
          <w:rFonts w:hint="default" w:ascii="Times New Roman" w:hAnsi="Times New Roman" w:eastAsia="宋体" w:cs="Times New Roman"/>
          <w:color w:val="000000"/>
          <w:sz w:val="24"/>
          <w:szCs w:val="28"/>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8"/>
          <w:highlight w:val="none"/>
        </w:rPr>
        <w:t>环境影响报告表环境影响报告表的批复》（</w:t>
      </w:r>
      <w:r>
        <w:rPr>
          <w:rFonts w:hint="default" w:ascii="Times New Roman" w:hAnsi="Times New Roman" w:eastAsia="宋体" w:cs="Times New Roman"/>
          <w:sz w:val="24"/>
          <w:szCs w:val="28"/>
          <w:highlight w:val="none"/>
          <w:lang w:val="en-US" w:eastAsia="zh-CN"/>
        </w:rPr>
        <w:t>成行</w:t>
      </w:r>
      <w:r>
        <w:rPr>
          <w:rFonts w:hint="default" w:ascii="Times New Roman" w:hAnsi="Times New Roman" w:eastAsia="宋体" w:cs="Times New Roman"/>
          <w:sz w:val="24"/>
          <w:szCs w:val="28"/>
          <w:highlight w:val="none"/>
          <w:lang w:eastAsia="zh-CN"/>
        </w:rPr>
        <w:t>环审【202</w:t>
      </w:r>
      <w:r>
        <w:rPr>
          <w:rFonts w:hint="default" w:ascii="Times New Roman" w:hAnsi="Times New Roman" w:eastAsia="宋体" w:cs="Times New Roman"/>
          <w:sz w:val="24"/>
          <w:szCs w:val="28"/>
          <w:highlight w:val="none"/>
          <w:lang w:val="en-US" w:eastAsia="zh-CN"/>
        </w:rPr>
        <w:t>1</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highlight w:val="none"/>
          <w:lang w:val="en-US" w:eastAsia="zh-CN"/>
        </w:rPr>
        <w:t>38</w:t>
      </w:r>
      <w:r>
        <w:rPr>
          <w:rFonts w:hint="default" w:ascii="Times New Roman" w:hAnsi="Times New Roman" w:eastAsia="宋体" w:cs="Times New Roman"/>
          <w:sz w:val="24"/>
          <w:szCs w:val="28"/>
          <w:highlight w:val="none"/>
          <w:lang w:eastAsia="zh-CN"/>
        </w:rPr>
        <w:t>号</w:t>
      </w:r>
      <w:r>
        <w:rPr>
          <w:rFonts w:hint="default" w:ascii="Times New Roman" w:hAnsi="Times New Roman" w:eastAsia="宋体" w:cs="Times New Roman"/>
          <w:sz w:val="24"/>
          <w:szCs w:val="28"/>
          <w:highlight w:val="none"/>
        </w:rPr>
        <w:t>）</w:t>
      </w:r>
      <w:r>
        <w:rPr>
          <w:rFonts w:hint="default" w:ascii="Times New Roman" w:hAnsi="Times New Roman" w:eastAsia="宋体" w:cs="Times New Roman"/>
          <w:color w:val="000000"/>
          <w:sz w:val="24"/>
          <w:szCs w:val="28"/>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none"/>
        </w:rPr>
      </w:pPr>
      <w:r>
        <w:rPr>
          <w:rFonts w:hint="default" w:ascii="Times New Roman" w:hAnsi="Times New Roman" w:eastAsia="宋体" w:cs="Times New Roman"/>
          <w:color w:val="000000"/>
          <w:sz w:val="24"/>
          <w:szCs w:val="28"/>
          <w:highlight w:val="none"/>
        </w:rPr>
        <w:t>6、《</w:t>
      </w:r>
      <w:r>
        <w:rPr>
          <w:rFonts w:hint="default" w:ascii="Times New Roman" w:hAnsi="Times New Roman" w:eastAsia="宋体" w:cs="Times New Roman"/>
          <w:color w:val="000000"/>
          <w:sz w:val="24"/>
          <w:szCs w:val="28"/>
          <w:highlight w:val="none"/>
          <w:lang w:val="en-US" w:eastAsia="zh-CN"/>
        </w:rPr>
        <w:t>中国石化销售股份有限公司山东菏泽石油分公司成武六一七加油站</w:t>
      </w:r>
      <w:r>
        <w:rPr>
          <w:rFonts w:hint="default" w:ascii="Times New Roman" w:hAnsi="Times New Roman" w:eastAsia="宋体" w:cs="Times New Roman"/>
          <w:color w:val="000000"/>
          <w:sz w:val="24"/>
          <w:szCs w:val="28"/>
          <w:highlight w:val="none"/>
        </w:rPr>
        <w:t>环评项目验收监测方案》；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none"/>
          <w:lang w:val="en-US" w:eastAsia="zh-CN"/>
        </w:rPr>
      </w:pPr>
      <w:r>
        <w:rPr>
          <w:rFonts w:hint="default" w:ascii="Times New Roman" w:hAnsi="Times New Roman" w:eastAsia="宋体" w:cs="Times New Roman"/>
          <w:color w:val="000000"/>
          <w:sz w:val="24"/>
          <w:szCs w:val="28"/>
          <w:highlight w:val="none"/>
          <w:lang w:val="en-US" w:eastAsia="zh-CN"/>
        </w:rPr>
        <w:t>7、《中国石化销售股份有限公司山东菏泽石油分公司成武六一七加油站检测报告》（TH2024-HJ0201005、TH2024-HJ0114015、TH2024-HJ0110016，</w:t>
      </w:r>
      <w:r>
        <w:rPr>
          <w:rFonts w:hint="default" w:ascii="Times New Roman" w:hAnsi="Times New Roman" w:eastAsia="宋体" w:cs="Times New Roman"/>
          <w:color w:val="000000"/>
          <w:sz w:val="24"/>
          <w:szCs w:val="28"/>
          <w:highlight w:val="none"/>
          <w:lang w:eastAsia="zh-CN"/>
        </w:rPr>
        <w:t>山东天衡检测有限公司</w:t>
      </w:r>
      <w:r>
        <w:rPr>
          <w:rFonts w:hint="default" w:ascii="Times New Roman" w:hAnsi="Times New Roman" w:eastAsia="宋体" w:cs="Times New Roman"/>
          <w:color w:val="000000"/>
          <w:sz w:val="24"/>
          <w:szCs w:val="28"/>
          <w:highlight w:val="none"/>
          <w:lang w:val="en-US" w:eastAsia="zh-CN"/>
        </w:rPr>
        <w:t>）。</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16" w:name="_Toc502136286"/>
      <w:bookmarkStart w:id="17" w:name="_Toc501815004"/>
      <w:bookmarkStart w:id="18" w:name="_Toc502061658"/>
      <w:bookmarkStart w:id="19" w:name="_Toc24357"/>
      <w:r>
        <w:rPr>
          <w:rFonts w:hint="default" w:ascii="Times New Roman" w:hAnsi="Times New Roman" w:eastAsia="宋体" w:cs="Times New Roman"/>
          <w:b/>
          <w:sz w:val="28"/>
          <w:szCs w:val="32"/>
        </w:rPr>
        <w:t>2.</w:t>
      </w:r>
      <w:r>
        <w:rPr>
          <w:rFonts w:hint="default" w:ascii="Times New Roman" w:hAnsi="Times New Roman" w:eastAsia="宋体" w:cs="Times New Roman"/>
          <w:b/>
          <w:sz w:val="28"/>
          <w:szCs w:val="32"/>
          <w:lang w:val="en-US" w:eastAsia="zh-CN"/>
        </w:rPr>
        <w:t>5</w:t>
      </w:r>
      <w:r>
        <w:rPr>
          <w:rFonts w:hint="default" w:ascii="Times New Roman" w:hAnsi="Times New Roman" w:eastAsia="宋体" w:cs="Times New Roman"/>
          <w:b/>
          <w:sz w:val="28"/>
          <w:szCs w:val="32"/>
        </w:rPr>
        <w:t>验收监测评价标准</w:t>
      </w:r>
      <w:bookmarkEnd w:id="16"/>
      <w:bookmarkEnd w:id="17"/>
      <w:bookmarkEnd w:id="18"/>
      <w:bookmarkEnd w:id="19"/>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szCs w:val="28"/>
          <w:lang w:val="en-US" w:eastAsia="zh-CN"/>
        </w:rPr>
        <w:t>该项目，</w:t>
      </w:r>
      <w:r>
        <w:rPr>
          <w:rFonts w:hint="default" w:ascii="Times New Roman" w:hAnsi="Times New Roman" w:eastAsia="宋体" w:cs="Times New Roman"/>
          <w:color w:val="000000"/>
          <w:sz w:val="24"/>
          <w:lang w:val="en-US" w:eastAsia="zh-CN"/>
        </w:rPr>
        <w:t>油气回收处理系统</w:t>
      </w:r>
      <w:r>
        <w:rPr>
          <w:rFonts w:hint="default" w:ascii="Times New Roman" w:hAnsi="Times New Roman" w:eastAsia="宋体" w:cs="Times New Roman"/>
          <w:color w:val="000000"/>
          <w:sz w:val="24"/>
        </w:rPr>
        <w:t>执行《加油站大气污染物排放标准》</w:t>
      </w:r>
      <w:r>
        <w:rPr>
          <w:rFonts w:hint="default" w:ascii="Times New Roman" w:hAnsi="Times New Roman" w:eastAsia="宋体" w:cs="Times New Roman"/>
          <w:color w:val="000000"/>
          <w:sz w:val="24"/>
          <w:highlight w:val="none"/>
        </w:rPr>
        <w:t>（GB20952-20</w:t>
      </w:r>
      <w:r>
        <w:rPr>
          <w:rFonts w:hint="default" w:ascii="Times New Roman" w:hAnsi="Times New Roman" w:eastAsia="宋体" w:cs="Times New Roman"/>
          <w:color w:val="000000"/>
          <w:sz w:val="24"/>
          <w:highlight w:val="none"/>
          <w:lang w:val="en-US" w:eastAsia="zh-CN"/>
        </w:rPr>
        <w:t>20</w:t>
      </w:r>
      <w:r>
        <w:rPr>
          <w:rFonts w:hint="default" w:ascii="Times New Roman" w:hAnsi="Times New Roman" w:eastAsia="宋体" w:cs="Times New Roman"/>
          <w:color w:val="000000"/>
          <w:sz w:val="24"/>
          <w:highlight w:val="none"/>
        </w:rPr>
        <w:t>）</w:t>
      </w:r>
      <w:r>
        <w:rPr>
          <w:rFonts w:hint="default" w:ascii="Times New Roman" w:hAnsi="Times New Roman" w:eastAsia="宋体" w:cs="Times New Roman"/>
          <w:color w:val="000000"/>
          <w:sz w:val="24"/>
        </w:rPr>
        <w:t>中的相关规定：</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eastAsia="宋体" w:cs="Times New Roman"/>
          <w:color w:val="000000"/>
          <w:sz w:val="24"/>
          <w:lang w:eastAsia="zh-CN"/>
        </w:rPr>
      </w:pPr>
      <w:r>
        <w:rPr>
          <w:rFonts w:hint="default" w:ascii="Times New Roman" w:hAnsi="Times New Roman" w:eastAsia="宋体" w:cs="Times New Roman"/>
          <w:color w:val="000000"/>
          <w:sz w:val="24"/>
        </w:rPr>
        <w:t>油气回收处理系统的油气排放质量浓度应小于等于25g/m</w:t>
      </w:r>
      <w:r>
        <w:rPr>
          <w:rFonts w:hint="default" w:ascii="Times New Roman" w:hAnsi="Times New Roman" w:eastAsia="宋体" w:cs="Times New Roman"/>
          <w:color w:val="000000"/>
          <w:sz w:val="24"/>
          <w:vertAlign w:val="superscript"/>
        </w:rPr>
        <w:t xml:space="preserve">3 </w:t>
      </w:r>
      <w:r>
        <w:rPr>
          <w:rFonts w:hint="default" w:ascii="Times New Roman" w:hAnsi="Times New Roman" w:eastAsia="宋体" w:cs="Times New Roman"/>
          <w:color w:val="000000"/>
          <w:sz w:val="24"/>
        </w:rPr>
        <w:t>，排放口距地平面高度应不低于4m</w:t>
      </w:r>
      <w:r>
        <w:rPr>
          <w:rFonts w:hint="default" w:ascii="Times New Roman" w:hAnsi="Times New Roman" w:eastAsia="宋体" w:cs="Times New Roman"/>
          <w:color w:val="000000"/>
          <w:sz w:val="24"/>
          <w:lang w:eastAsia="zh-CN"/>
        </w:rPr>
        <w:t>。</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240" w:firstLineChars="1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lang w:val="en-US" w:eastAsia="zh-CN"/>
        </w:rPr>
        <w:t>密闭性</w:t>
      </w:r>
      <w:r>
        <w:rPr>
          <w:rFonts w:hint="default" w:ascii="Times New Roman" w:hAnsi="Times New Roman" w:eastAsia="宋体" w:cs="Times New Roman"/>
          <w:color w:val="000000"/>
          <w:sz w:val="24"/>
          <w:szCs w:val="24"/>
          <w:lang w:val="en-US" w:eastAsia="zh-CN"/>
        </w:rPr>
        <w:t>满足《加油站大气污染物排放标准》（GB20952-2020）中的表2限值要求。</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240" w:firstLineChars="1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气液比值满足《加油站大气污染物排放标准》（GB20952-2020）中5.3各种加油油气回收处理系统的气液比均应在大于等于1.0和小于等于1.2范围内的要求。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100"/>
        <w:textAlignment w:val="auto"/>
        <w:rPr>
          <w:rFonts w:hint="default" w:ascii="Times New Roman" w:hAnsi="Times New Roman" w:eastAsia="宋体" w:cs="Times New Roman"/>
          <w:color w:val="000000"/>
          <w:sz w:val="24"/>
          <w:lang w:eastAsia="zh-CN"/>
        </w:rPr>
      </w:pPr>
      <w:r>
        <w:rPr>
          <w:rFonts w:hint="default" w:ascii="Times New Roman" w:hAnsi="Times New Roman" w:eastAsia="宋体" w:cs="Times New Roman"/>
          <w:color w:val="000000"/>
          <w:sz w:val="24"/>
          <w:szCs w:val="24"/>
          <w:lang w:val="en-US" w:eastAsia="zh-CN"/>
        </w:rPr>
        <w:t>（4）液阻压力满足《加油站大气污染物排放标准》（GB20952-2020）中表1限值要求。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2、无组织废气需满足《加油站大气污染物排放标准》(GB20952-2020）表3中油气浓度无组织排放限值要求及《挥发性有机物排放标准第7部分：其他行业》(DB37/ 2801.7-2019）表2中标准限值要求。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highlight w:val="yellow"/>
        </w:rPr>
      </w:pPr>
      <w:r>
        <w:rPr>
          <w:rFonts w:hint="default"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、厂界噪声执行《</w:t>
      </w:r>
      <w:r>
        <w:rPr>
          <w:rFonts w:hint="default" w:ascii="Times New Roman" w:hAnsi="Times New Roman" w:eastAsia="宋体" w:cs="Times New Roman"/>
          <w:color w:val="000000"/>
          <w:sz w:val="24"/>
          <w:szCs w:val="28"/>
          <w:lang w:val="en-US" w:eastAsia="zh-CN"/>
        </w:rPr>
        <w:t>社会生活</w:t>
      </w:r>
      <w:r>
        <w:rPr>
          <w:rFonts w:hint="default" w:ascii="Times New Roman" w:hAnsi="Times New Roman" w:eastAsia="宋体" w:cs="Times New Roman"/>
          <w:color w:val="000000"/>
          <w:sz w:val="24"/>
          <w:szCs w:val="28"/>
        </w:rPr>
        <w:t>环境噪声排放标准》（GB</w:t>
      </w:r>
      <w:r>
        <w:rPr>
          <w:rFonts w:hint="default" w:ascii="Times New Roman" w:hAnsi="Times New Roman" w:eastAsia="宋体" w:cs="Times New Roman"/>
          <w:color w:val="000000"/>
          <w:sz w:val="24"/>
          <w:szCs w:val="28"/>
          <w:lang w:val="en-US" w:eastAsia="zh-CN"/>
        </w:rPr>
        <w:t>22337</w:t>
      </w:r>
      <w:r>
        <w:rPr>
          <w:rFonts w:hint="default" w:ascii="Times New Roman" w:hAnsi="Times New Roman" w:eastAsia="宋体" w:cs="Times New Roman"/>
          <w:color w:val="000000"/>
          <w:sz w:val="24"/>
          <w:szCs w:val="28"/>
        </w:rPr>
        <w:t>-2008）</w:t>
      </w:r>
      <w:r>
        <w:rPr>
          <w:rFonts w:hint="default" w:ascii="Times New Roman" w:hAnsi="Times New Roman" w:eastAsia="宋体" w:cs="Times New Roman"/>
          <w:color w:val="000000"/>
          <w:sz w:val="24"/>
          <w:szCs w:val="28"/>
          <w:highlight w:val="none"/>
          <w:lang w:val="en-US" w:eastAsia="zh-CN"/>
        </w:rPr>
        <w:t>2</w:t>
      </w:r>
      <w:r>
        <w:rPr>
          <w:rFonts w:hint="default" w:ascii="Times New Roman" w:hAnsi="Times New Roman" w:eastAsia="宋体" w:cs="Times New Roman"/>
          <w:color w:val="000000"/>
          <w:sz w:val="24"/>
          <w:szCs w:val="28"/>
          <w:highlight w:val="none"/>
        </w:rPr>
        <w:t>类</w:t>
      </w:r>
      <w:r>
        <w:rPr>
          <w:rFonts w:hint="default" w:ascii="Times New Roman" w:hAnsi="Times New Roman" w:eastAsia="宋体" w:cs="Times New Roman"/>
          <w:color w:val="000000"/>
          <w:sz w:val="24"/>
          <w:szCs w:val="28"/>
          <w:highlight w:val="none"/>
          <w:lang w:val="en-US" w:eastAsia="zh-CN"/>
        </w:rPr>
        <w:t>及4类</w:t>
      </w:r>
      <w:r>
        <w:rPr>
          <w:rFonts w:hint="default" w:ascii="Times New Roman" w:hAnsi="Times New Roman" w:eastAsia="宋体" w:cs="Times New Roman"/>
          <w:color w:val="000000"/>
          <w:sz w:val="24"/>
          <w:szCs w:val="28"/>
          <w:highlight w:val="none"/>
        </w:rPr>
        <w:t>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rPr>
        <w:t>、</w:t>
      </w:r>
      <w:r>
        <w:rPr>
          <w:rFonts w:hint="default" w:ascii="Times New Roman" w:hAnsi="Times New Roman" w:eastAsia="宋体" w:cs="Times New Roman"/>
          <w:color w:val="000000"/>
          <w:sz w:val="24"/>
          <w:szCs w:val="32"/>
        </w:rPr>
        <w:t>一般固体废物执行《一般工业固体废物贮存和填埋污染控制标准》（GB18599-2020）中的要求；危险固体废物执行《危险废物贮存污染控制标准》（GB18597-20</w:t>
      </w:r>
      <w:r>
        <w:rPr>
          <w:rFonts w:hint="default" w:ascii="Times New Roman" w:hAnsi="Times New Roman" w:eastAsia="宋体" w:cs="Times New Roman"/>
          <w:color w:val="000000"/>
          <w:sz w:val="24"/>
          <w:szCs w:val="32"/>
          <w:lang w:val="en-US" w:eastAsia="zh-CN"/>
        </w:rPr>
        <w:t>23</w:t>
      </w:r>
      <w:r>
        <w:rPr>
          <w:rFonts w:hint="default" w:ascii="Times New Roman" w:hAnsi="Times New Roman" w:eastAsia="宋体" w:cs="Times New Roman"/>
          <w:color w:val="000000"/>
          <w:sz w:val="24"/>
          <w:szCs w:val="32"/>
        </w:rPr>
        <w:t>）中的要求。</w:t>
      </w:r>
    </w:p>
    <w:p>
      <w:pPr>
        <w:pStyle w:val="8"/>
        <w:bidi w:val="0"/>
        <w:spacing w:before="0" w:beforeAutospacing="0" w:after="0" w:afterAutospacing="0"/>
        <w:jc w:val="center"/>
        <w:rPr>
          <w:rFonts w:hint="default" w:ascii="Times New Roman" w:hAnsi="Times New Roman" w:eastAsia="宋体" w:cs="Times New Roman"/>
          <w:b/>
          <w:sz w:val="30"/>
          <w:szCs w:val="30"/>
        </w:rPr>
      </w:pPr>
      <w:r>
        <w:rPr>
          <w:rFonts w:hint="default" w:ascii="Times New Roman" w:hAnsi="Times New Roman" w:eastAsia="宋体" w:cs="Times New Roman"/>
          <w:b/>
          <w:sz w:val="30"/>
          <w:szCs w:val="30"/>
        </w:rPr>
        <w:br w:type="page"/>
      </w:r>
      <w:bookmarkStart w:id="20" w:name="_Toc19169"/>
      <w:r>
        <w:rPr>
          <w:rFonts w:hint="default" w:ascii="Times New Roman" w:hAnsi="Times New Roman" w:eastAsia="宋体" w:cs="Times New Roman"/>
          <w:b/>
          <w:sz w:val="30"/>
          <w:szCs w:val="30"/>
        </w:rPr>
        <w:t>3、工程建设情况</w:t>
      </w:r>
      <w:bookmarkEnd w:id="20"/>
    </w:p>
    <w:p>
      <w:pPr>
        <w:pStyle w:val="47"/>
        <w:spacing w:beforeAutospacing="0" w:line="360" w:lineRule="auto"/>
        <w:ind w:firstLine="0" w:firstLineChars="0"/>
        <w:jc w:val="left"/>
        <w:outlineLvl w:val="1"/>
        <w:rPr>
          <w:rFonts w:hint="default" w:ascii="Times New Roman" w:hAnsi="Times New Roman" w:eastAsia="宋体" w:cs="Times New Roman"/>
          <w:b/>
          <w:sz w:val="28"/>
          <w:szCs w:val="32"/>
        </w:rPr>
      </w:pPr>
      <w:bookmarkStart w:id="21" w:name="_Toc4310"/>
      <w:r>
        <w:rPr>
          <w:rFonts w:hint="default" w:ascii="Times New Roman" w:hAnsi="Times New Roman" w:eastAsia="宋体" w:cs="Times New Roman"/>
          <w:b/>
          <w:sz w:val="28"/>
          <w:szCs w:val="32"/>
        </w:rPr>
        <w:t>3.</w:t>
      </w:r>
      <w:r>
        <w:rPr>
          <w:rFonts w:hint="default" w:ascii="Times New Roman" w:hAnsi="Times New Roman" w:eastAsia="宋体" w:cs="Times New Roman"/>
          <w:b/>
          <w:sz w:val="28"/>
          <w:szCs w:val="32"/>
          <w:highlight w:val="none"/>
        </w:rPr>
        <w:t>1地理位置及平面布置</w:t>
      </w:r>
      <w:bookmarkEnd w:id="2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eastAsia="zh-CN"/>
        </w:rPr>
      </w:pPr>
      <w:r>
        <w:rPr>
          <w:rFonts w:hint="default" w:ascii="Times New Roman" w:hAnsi="Times New Roman" w:eastAsia="宋体" w:cs="Times New Roman"/>
          <w:sz w:val="24"/>
          <w:szCs w:val="28"/>
          <w:lang w:val="en-US" w:eastAsia="zh-CN"/>
        </w:rPr>
        <w:t>中国石化销售股份有限公司山东菏泽石油分公司成武六一七加油站新建项目，</w:t>
      </w:r>
      <w:r>
        <w:rPr>
          <w:rFonts w:hint="default" w:ascii="Times New Roman" w:hAnsi="Times New Roman" w:eastAsia="宋体" w:cs="Times New Roman"/>
          <w:sz w:val="24"/>
          <w:szCs w:val="28"/>
          <w:lang w:eastAsia="zh-CN"/>
        </w:rPr>
        <w:t>位于山东省菏泽市成武县伯乐集镇康楼村，中心点地理坐标为：东</w:t>
      </w:r>
      <w:r>
        <w:rPr>
          <w:rFonts w:hint="default" w:ascii="Times New Roman" w:hAnsi="Times New Roman" w:eastAsia="宋体" w:cs="Times New Roman"/>
          <w:sz w:val="24"/>
          <w:szCs w:val="28"/>
          <w:highlight w:val="none"/>
          <w:lang w:eastAsia="zh-CN"/>
        </w:rPr>
        <w:t>经115°</w:t>
      </w:r>
      <w:r>
        <w:rPr>
          <w:rFonts w:hint="default" w:ascii="Times New Roman" w:hAnsi="Times New Roman" w:eastAsia="宋体" w:cs="Times New Roman"/>
          <w:sz w:val="24"/>
          <w:szCs w:val="28"/>
          <w:highlight w:val="none"/>
          <w:lang w:val="en-US" w:eastAsia="zh-CN"/>
        </w:rPr>
        <w:t>53</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highlight w:val="none"/>
          <w:lang w:val="en-US" w:eastAsia="zh-CN"/>
        </w:rPr>
        <w:t>32.616</w:t>
      </w:r>
      <w:r>
        <w:rPr>
          <w:rFonts w:hint="default" w:ascii="Times New Roman" w:hAnsi="Times New Roman" w:eastAsia="宋体" w:cs="Times New Roman"/>
          <w:sz w:val="24"/>
          <w:szCs w:val="28"/>
          <w:highlight w:val="none"/>
          <w:lang w:eastAsia="zh-CN"/>
        </w:rPr>
        <w:t>"，北纬3</w:t>
      </w:r>
      <w:r>
        <w:rPr>
          <w:rFonts w:hint="default" w:ascii="Times New Roman" w:hAnsi="Times New Roman" w:eastAsia="宋体" w:cs="Times New Roman"/>
          <w:sz w:val="24"/>
          <w:szCs w:val="28"/>
          <w:highlight w:val="none"/>
          <w:lang w:val="en-US" w:eastAsia="zh-CN"/>
        </w:rPr>
        <w:t>4</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highlight w:val="none"/>
          <w:lang w:val="en-US" w:eastAsia="zh-CN"/>
        </w:rPr>
        <w:t>59</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highlight w:val="none"/>
          <w:lang w:val="en-US" w:eastAsia="zh-CN"/>
        </w:rPr>
        <w:t>3.823</w:t>
      </w:r>
      <w:r>
        <w:rPr>
          <w:rFonts w:hint="default" w:ascii="Times New Roman" w:hAnsi="Times New Roman" w:eastAsia="宋体" w:cs="Times New Roman"/>
          <w:sz w:val="24"/>
          <w:szCs w:val="28"/>
          <w:highlight w:val="none"/>
          <w:lang w:eastAsia="zh-CN"/>
        </w:rPr>
        <w:t>"。</w:t>
      </w:r>
      <w:r>
        <w:rPr>
          <w:rFonts w:hint="default" w:ascii="Times New Roman" w:hAnsi="Times New Roman" w:eastAsia="宋体" w:cs="Times New Roman"/>
          <w:sz w:val="24"/>
          <w:szCs w:val="28"/>
          <w:lang w:eastAsia="zh-CN"/>
        </w:rPr>
        <w:t>项目建设</w:t>
      </w:r>
      <w:r>
        <w:rPr>
          <w:rFonts w:hint="default" w:ascii="Times New Roman" w:hAnsi="Times New Roman" w:eastAsia="宋体" w:cs="Times New Roman"/>
          <w:sz w:val="24"/>
          <w:szCs w:val="28"/>
          <w:lang w:val="en-US" w:eastAsia="zh-CN"/>
        </w:rPr>
        <w:t>罐区、加油区、站房、危废暂存间等</w:t>
      </w:r>
      <w:r>
        <w:rPr>
          <w:rFonts w:hint="default" w:ascii="Times New Roman" w:hAnsi="Times New Roman" w:eastAsia="宋体" w:cs="Times New Roman"/>
          <w:sz w:val="24"/>
          <w:szCs w:val="28"/>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eastAsia="zh-CN"/>
        </w:rPr>
      </w:pPr>
      <w:r>
        <w:rPr>
          <w:rFonts w:hint="default" w:ascii="Times New Roman" w:hAnsi="Times New Roman" w:eastAsia="宋体" w:cs="Times New Roman"/>
          <w:sz w:val="24"/>
          <w:szCs w:val="28"/>
          <w:lang w:eastAsia="zh-CN"/>
        </w:rPr>
        <w:t>该项目布置如下：</w:t>
      </w:r>
      <w:r>
        <w:rPr>
          <w:rFonts w:hint="default" w:ascii="Times New Roman" w:hAnsi="Times New Roman" w:eastAsia="宋体" w:cs="Times New Roman"/>
          <w:sz w:val="24"/>
          <w:szCs w:val="28"/>
          <w:lang w:val="zh-CN" w:eastAsia="zh-CN"/>
        </w:rPr>
        <w:t>项目地块呈矩形，站房位于加油区南侧</w:t>
      </w:r>
      <w:r>
        <w:rPr>
          <w:rFonts w:hint="default" w:ascii="Times New Roman" w:hAnsi="Times New Roman" w:eastAsia="宋体" w:cs="Times New Roman"/>
          <w:sz w:val="24"/>
          <w:szCs w:val="28"/>
          <w:lang w:val="en-US" w:eastAsia="zh-CN"/>
        </w:rPr>
        <w:t>。站房设置便利店、站财室、舆洗室、配电间、储藏室、备餐间、男卫、女卫、卫浴室和值班室等。站房南侧设置1座消防沙箱、通气管和卸油口；罩棚位于站房北侧，油罐位于站房南侧，布置4台埋地双层油罐；罩棚东侧为预留充电车位。站区东侧、西侧和南侧各设置非燃烧实体围墙与站外隔开；站区北侧设置一个入口、一个出口，出入口分开设置与G518国道相接，车辆进出便利。</w:t>
      </w:r>
      <w:r>
        <w:rPr>
          <w:rFonts w:hint="default" w:ascii="Times New Roman" w:hAnsi="Times New Roman" w:eastAsia="宋体" w:cs="Times New Roman"/>
          <w:sz w:val="24"/>
          <w:szCs w:val="28"/>
          <w:lang w:eastAsia="zh-CN"/>
        </w:rPr>
        <w:t>厂区结构比较简单，厂区布置简洁流畅、功能区分布明确，交通组织合理，按照厂区环保、绿化、防火、安全、卫生、通风等各项规范与规定的要求设计，总体布置较为合理。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eastAsia="zh-CN"/>
        </w:rPr>
      </w:pPr>
      <w:r>
        <w:rPr>
          <w:rFonts w:hint="default" w:ascii="Times New Roman" w:hAnsi="Times New Roman" w:eastAsia="宋体" w:cs="Times New Roman"/>
          <w:sz w:val="24"/>
          <w:szCs w:val="28"/>
          <w:lang w:eastAsia="zh-CN"/>
        </w:rPr>
        <w:t>项目具体地理位置见图3-1，厂区平面布置见图3</w:t>
      </w:r>
      <w:r>
        <w:rPr>
          <w:rFonts w:hint="default" w:ascii="Times New Roman" w:hAnsi="Times New Roman" w:eastAsia="宋体" w:cs="Times New Roman"/>
          <w:sz w:val="24"/>
          <w:szCs w:val="28"/>
          <w:lang w:val="en-US" w:eastAsia="zh-CN"/>
        </w:rPr>
        <w:t>-2</w:t>
      </w:r>
      <w:r>
        <w:rPr>
          <w:rFonts w:hint="default" w:ascii="Times New Roman" w:hAnsi="Times New Roman" w:eastAsia="宋体" w:cs="Times New Roman"/>
          <w:sz w:val="24"/>
          <w:szCs w:val="28"/>
          <w:lang w:eastAsia="zh-CN"/>
        </w:rPr>
        <w:t>。</w:t>
      </w:r>
    </w:p>
    <w:p>
      <w:pPr>
        <w:spacing w:line="360" w:lineRule="auto"/>
        <w:jc w:val="center"/>
        <w:rPr>
          <w:rFonts w:hint="default" w:ascii="Times New Roman" w:hAnsi="Times New Roman" w:eastAsia="宋体" w:cs="Times New Roman"/>
          <w:color w:val="000000"/>
          <w:sz w:val="24"/>
          <w:szCs w:val="28"/>
        </w:rPr>
      </w:pPr>
      <w:r>
        <w:rPr>
          <w:rFonts w:hint="default" w:ascii="Times New Roman" w:hAnsi="Times New Roman" w:eastAsia="宋体" w:cs="Times New Roman"/>
        </w:rPr>
        <w:drawing>
          <wp:anchor distT="0" distB="0" distL="114300" distR="114300" simplePos="0" relativeHeight="251664384" behindDoc="0" locked="0" layoutInCell="1" allowOverlap="1">
            <wp:simplePos x="0" y="0"/>
            <wp:positionH relativeFrom="column">
              <wp:posOffset>4469130</wp:posOffset>
            </wp:positionH>
            <wp:positionV relativeFrom="paragraph">
              <wp:posOffset>38100</wp:posOffset>
            </wp:positionV>
            <wp:extent cx="800100" cy="723900"/>
            <wp:effectExtent l="0" t="0" r="0" b="0"/>
            <wp:wrapNone/>
            <wp:docPr id="9"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56"/>
                    <pic:cNvPicPr>
                      <a:picLocks noChangeAspect="1"/>
                    </pic:cNvPicPr>
                  </pic:nvPicPr>
                  <pic:blipFill>
                    <a:blip r:embed="rId13"/>
                    <a:stretch>
                      <a:fillRect/>
                    </a:stretch>
                  </pic:blipFill>
                  <pic:spPr>
                    <a:xfrm>
                      <a:off x="0" y="0"/>
                      <a:ext cx="800100" cy="723900"/>
                    </a:xfrm>
                    <a:prstGeom prst="rect">
                      <a:avLst/>
                    </a:prstGeom>
                    <a:noFill/>
                    <a:ln>
                      <a:noFill/>
                    </a:ln>
                  </pic:spPr>
                </pic:pic>
              </a:graphicData>
            </a:graphic>
          </wp:anchor>
        </w:drawing>
      </w:r>
      <w:r>
        <w:rPr>
          <w:rFonts w:hint="default" w:ascii="Times New Roman" w:hAnsi="Times New Roman" w:eastAsia="宋体" w:cs="Times New Roman"/>
          <w:sz w:val="21"/>
        </w:rPr>
        <mc:AlternateContent>
          <mc:Choice Requires="wps">
            <w:drawing>
              <wp:anchor distT="0" distB="0" distL="114300" distR="114300" simplePos="0" relativeHeight="251661312" behindDoc="0" locked="0" layoutInCell="1" allowOverlap="1">
                <wp:simplePos x="0" y="0"/>
                <wp:positionH relativeFrom="column">
                  <wp:posOffset>2734310</wp:posOffset>
                </wp:positionH>
                <wp:positionV relativeFrom="paragraph">
                  <wp:posOffset>977265</wp:posOffset>
                </wp:positionV>
                <wp:extent cx="1002665" cy="302895"/>
                <wp:effectExtent l="5080" t="5080" r="20955" b="73025"/>
                <wp:wrapNone/>
                <wp:docPr id="3" name="自选图形 1050"/>
                <wp:cNvGraphicFramePr/>
                <a:graphic xmlns:a="http://schemas.openxmlformats.org/drawingml/2006/main">
                  <a:graphicData uri="http://schemas.microsoft.com/office/word/2010/wordprocessingShape">
                    <wps:wsp>
                      <wps:cNvSpPr/>
                      <wps:spPr>
                        <a:xfrm>
                          <a:off x="0" y="0"/>
                          <a:ext cx="1002665" cy="302895"/>
                        </a:xfrm>
                        <a:prstGeom prst="wedgeRectCallout">
                          <a:avLst>
                            <a:gd name="adj1" fmla="val -43750"/>
                            <a:gd name="adj2" fmla="val 70000"/>
                          </a:avLst>
                        </a:prstGeom>
                        <a:noFill/>
                        <a:ln w="9525" cap="flat" cmpd="sng">
                          <a:solidFill>
                            <a:srgbClr val="FF0000"/>
                          </a:solidFill>
                          <a:prstDash val="solid"/>
                          <a:miter/>
                          <a:headEnd type="none" w="med" len="med"/>
                          <a:tailEnd type="none" w="med" len="med"/>
                        </a:ln>
                      </wps:spPr>
                      <wps:txbx>
                        <w:txbxContent>
                          <w:p>
                            <w:pPr>
                              <w:rPr>
                                <w:rFonts w:hint="default" w:eastAsia="宋体"/>
                                <w:b/>
                                <w:bCs/>
                                <w:lang w:val="en-US" w:eastAsia="zh-CN"/>
                              </w:rPr>
                            </w:pPr>
                            <w:r>
                              <w:rPr>
                                <w:rFonts w:hint="eastAsia"/>
                                <w:b/>
                                <w:bCs/>
                                <w:lang w:val="en-US" w:eastAsia="zh-CN"/>
                              </w:rPr>
                              <w:t>项目所在位置</w:t>
                            </w:r>
                          </w:p>
                        </w:txbxContent>
                      </wps:txbx>
                      <wps:bodyPr vert="horz" wrap="square" anchor="t" anchorCtr="0" upright="1"/>
                    </wps:wsp>
                  </a:graphicData>
                </a:graphic>
              </wp:anchor>
            </w:drawing>
          </mc:Choice>
          <mc:Fallback>
            <w:pict>
              <v:shape id="自选图形 1050" o:spid="_x0000_s1026" o:spt="61" type="#_x0000_t61" style="position:absolute;left:0pt;margin-left:215.3pt;margin-top:76.95pt;height:23.85pt;width:78.95pt;z-index:251661312;mso-width-relative:page;mso-height-relative:page;" filled="f" stroked="t" coordsize="21600,21600" o:gfxdata="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0h8DAdgAAAAL&#10;AQAADwAAAAAAAAABACAAAAAiAAAAZHJzL2Rvd25yZXYueG1sUEsBAhQAFAAAAAgAh07iQGQ8KwdV&#10;AgAAmgQAAA4AAAAAAAAAAQAgAAAAJwEAAGRycy9lMm9Eb2MueG1sUEsFBgAAAAAGAAYAWQEAAO4F&#10;AAAAAA==&#10;" adj="1350,25920">
                <v:fill on="f" focussize="0,0"/>
                <v:stroke color="#FF0000" joinstyle="miter"/>
                <v:imagedata o:title=""/>
                <o:lock v:ext="edit" aspectratio="f"/>
                <v:textbox>
                  <w:txbxContent>
                    <w:p>
                      <w:pPr>
                        <w:rPr>
                          <w:rFonts w:hint="default" w:eastAsia="宋体"/>
                          <w:b/>
                          <w:bCs/>
                          <w:lang w:val="en-US" w:eastAsia="zh-CN"/>
                        </w:rPr>
                      </w:pPr>
                      <w:r>
                        <w:rPr>
                          <w:rFonts w:hint="eastAsia"/>
                          <w:b/>
                          <w:bCs/>
                          <w:lang w:val="en-US" w:eastAsia="zh-CN"/>
                        </w:rPr>
                        <w:t>项目所在位置</w:t>
                      </w:r>
                    </w:p>
                  </w:txbxContent>
                </v:textbox>
              </v:shape>
            </w:pict>
          </mc:Fallback>
        </mc:AlternateContent>
      </w:r>
      <w:r>
        <w:rPr>
          <w:rFonts w:hint="default" w:ascii="Times New Roman" w:hAnsi="Times New Roman" w:eastAsia="宋体" w:cs="Times New Roman"/>
        </w:rPr>
        <w:drawing>
          <wp:anchor distT="0" distB="0" distL="114300" distR="114300" simplePos="0" relativeHeight="251663360" behindDoc="0" locked="0" layoutInCell="1" allowOverlap="1">
            <wp:simplePos x="0" y="0"/>
            <wp:positionH relativeFrom="column">
              <wp:posOffset>8731885</wp:posOffset>
            </wp:positionH>
            <wp:positionV relativeFrom="paragraph">
              <wp:posOffset>407670</wp:posOffset>
            </wp:positionV>
            <wp:extent cx="575310" cy="478790"/>
            <wp:effectExtent l="0" t="0" r="15240" b="16510"/>
            <wp:wrapNone/>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3"/>
                    <a:stretch>
                      <a:fillRect/>
                    </a:stretch>
                  </pic:blipFill>
                  <pic:spPr>
                    <a:xfrm>
                      <a:off x="0" y="0"/>
                      <a:ext cx="575310" cy="478790"/>
                    </a:xfrm>
                    <a:prstGeom prst="rect">
                      <a:avLst/>
                    </a:prstGeom>
                    <a:noFill/>
                    <a:ln>
                      <a:noFill/>
                    </a:ln>
                  </pic:spPr>
                </pic:pic>
              </a:graphicData>
            </a:graphic>
          </wp:anchor>
        </w:drawing>
      </w:r>
      <w:r>
        <w:rPr>
          <w:rFonts w:hint="default" w:ascii="Times New Roman" w:hAnsi="Times New Roman" w:eastAsia="宋体" w:cs="Times New Roman"/>
        </w:rPr>
        <w:drawing>
          <wp:inline distT="0" distB="0" distL="114300" distR="114300">
            <wp:extent cx="5266690" cy="3502025"/>
            <wp:effectExtent l="9525" t="9525" r="19685" b="1270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4"/>
                    <a:stretch>
                      <a:fillRect/>
                    </a:stretch>
                  </pic:blipFill>
                  <pic:spPr>
                    <a:xfrm>
                      <a:off x="0" y="0"/>
                      <a:ext cx="5266690" cy="3502025"/>
                    </a:xfrm>
                    <a:prstGeom prst="rect">
                      <a:avLst/>
                    </a:prstGeom>
                    <a:noFill/>
                    <a:ln>
                      <a:solidFill>
                        <a:schemeClr val="tx1"/>
                      </a:solidFill>
                    </a:ln>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b/>
          <w:sz w:val="24"/>
          <w:szCs w:val="24"/>
        </w:rPr>
        <w:t>图3-1  项目地理位置图</w:t>
      </w:r>
      <w:r>
        <w:rPr>
          <w:rFonts w:hint="default" w:ascii="Times New Roman" w:hAnsi="Times New Roman" w:eastAsia="宋体" w:cs="Times New Roman"/>
          <w:b/>
          <w:sz w:val="24"/>
          <w:szCs w:val="24"/>
          <w:lang w:eastAsia="zh-CN"/>
        </w:rPr>
        <w:t>（</w:t>
      </w:r>
      <w:r>
        <w:rPr>
          <w:rFonts w:hint="default" w:ascii="Times New Roman" w:hAnsi="Times New Roman" w:eastAsia="宋体" w:cs="Times New Roman"/>
          <w:b/>
          <w:sz w:val="24"/>
          <w:szCs w:val="24"/>
          <w:lang w:val="en-US" w:eastAsia="zh-CN"/>
        </w:rPr>
        <w:t>1:50000</w:t>
      </w:r>
      <w:r>
        <w:rPr>
          <w:rFonts w:hint="default" w:ascii="Times New Roman" w:hAnsi="Times New Roman" w:eastAsia="宋体" w:cs="Times New Roman"/>
          <w:b/>
          <w:sz w:val="24"/>
          <w:szCs w:val="24"/>
          <w:lang w:eastAsia="zh-CN"/>
        </w:rPr>
        <w:t>）</w:t>
      </w:r>
    </w:p>
    <w:p>
      <w:pPr>
        <w:pStyle w:val="3"/>
        <w:spacing w:after="0" w:line="360" w:lineRule="auto"/>
        <w:ind w:left="0"/>
        <w:jc w:val="center"/>
        <w:rPr>
          <w:rFonts w:hint="default" w:ascii="Times New Roman" w:hAnsi="Times New Roman" w:eastAsia="宋体" w:cs="Times New Roman"/>
          <w:lang w:eastAsia="zh-CN"/>
        </w:rPr>
      </w:pPr>
      <w:r>
        <w:rPr>
          <w:rFonts w:hint="default" w:ascii="Times New Roman" w:hAnsi="Times New Roman" w:eastAsia="宋体" w:cs="Times New Roman"/>
        </w:rPr>
        <w:drawing>
          <wp:anchor distT="0" distB="0" distL="114300" distR="114300" simplePos="0" relativeHeight="251697152" behindDoc="0" locked="0" layoutInCell="1" allowOverlap="1">
            <wp:simplePos x="0" y="0"/>
            <wp:positionH relativeFrom="column">
              <wp:posOffset>4158615</wp:posOffset>
            </wp:positionH>
            <wp:positionV relativeFrom="paragraph">
              <wp:posOffset>43815</wp:posOffset>
            </wp:positionV>
            <wp:extent cx="800100" cy="723900"/>
            <wp:effectExtent l="0" t="0" r="0" b="0"/>
            <wp:wrapNone/>
            <wp:docPr id="41"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56"/>
                    <pic:cNvPicPr>
                      <a:picLocks noChangeAspect="1"/>
                    </pic:cNvPicPr>
                  </pic:nvPicPr>
                  <pic:blipFill>
                    <a:blip r:embed="rId13"/>
                    <a:stretch>
                      <a:fillRect/>
                    </a:stretch>
                  </pic:blipFill>
                  <pic:spPr>
                    <a:xfrm>
                      <a:off x="0" y="0"/>
                      <a:ext cx="800100" cy="723900"/>
                    </a:xfrm>
                    <a:prstGeom prst="rect">
                      <a:avLst/>
                    </a:prstGeom>
                    <a:noFill/>
                    <a:ln>
                      <a:noFill/>
                    </a:ln>
                  </pic:spPr>
                </pic:pic>
              </a:graphicData>
            </a:graphic>
          </wp:anchor>
        </w:drawing>
      </w:r>
      <w:r>
        <w:rPr>
          <w:rFonts w:hint="default" w:ascii="Times New Roman" w:hAnsi="Times New Roman" w:eastAsia="宋体" w:cs="Times New Roman"/>
          <w:lang w:eastAsia="zh-CN"/>
        </w:rPr>
        <w:drawing>
          <wp:inline distT="0" distB="0" distL="114300" distR="114300">
            <wp:extent cx="4667250" cy="6873875"/>
            <wp:effectExtent l="0" t="0" r="0" b="3175"/>
            <wp:docPr id="52" name="图片 66" descr="1b61a085ca3b7a2a26b5dddfe2e9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6" descr="1b61a085ca3b7a2a26b5dddfe2e914a"/>
                    <pic:cNvPicPr>
                      <a:picLocks noChangeAspect="1"/>
                    </pic:cNvPicPr>
                  </pic:nvPicPr>
                  <pic:blipFill>
                    <a:blip r:embed="rId15"/>
                    <a:srcRect l="6956" t="16920" r="4425" b="9671"/>
                    <a:stretch>
                      <a:fillRect/>
                    </a:stretch>
                  </pic:blipFill>
                  <pic:spPr>
                    <a:xfrm>
                      <a:off x="0" y="0"/>
                      <a:ext cx="4667250" cy="6873875"/>
                    </a:xfrm>
                    <a:prstGeom prst="rect">
                      <a:avLst/>
                    </a:prstGeom>
                    <a:noFill/>
                    <a:ln>
                      <a:solidFill>
                        <a:schemeClr val="tx1"/>
                      </a:solidFill>
                    </a:ln>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spacing w:after="0" w:line="360" w:lineRule="auto"/>
        <w:ind w:left="0"/>
        <w:jc w:val="center"/>
        <w:textAlignment w:val="auto"/>
        <w:rPr>
          <w:rFonts w:hint="default" w:ascii="Times New Roman" w:hAnsi="Times New Roman" w:eastAsia="宋体" w:cs="Times New Roman"/>
          <w:b/>
          <w:sz w:val="24"/>
          <w:szCs w:val="24"/>
          <w:highlight w:val="none"/>
          <w:lang w:eastAsia="zh-CN"/>
        </w:rPr>
      </w:pPr>
      <w:r>
        <w:rPr>
          <w:rFonts w:hint="default" w:ascii="Times New Roman" w:hAnsi="Times New Roman" w:eastAsia="宋体" w:cs="Times New Roman"/>
          <w:b/>
          <w:sz w:val="24"/>
          <w:szCs w:val="24"/>
          <w:highlight w:val="none"/>
        </w:rPr>
        <w:t>图3-2  厂区平面布置简图</w:t>
      </w:r>
      <w:r>
        <w:rPr>
          <w:rFonts w:hint="default" w:ascii="Times New Roman" w:hAnsi="Times New Roman" w:eastAsia="宋体" w:cs="Times New Roman"/>
          <w:b/>
          <w:sz w:val="24"/>
          <w:szCs w:val="24"/>
          <w:highlight w:val="none"/>
          <w:lang w:eastAsia="zh-CN"/>
        </w:rPr>
        <w:t>（</w:t>
      </w:r>
      <w:r>
        <w:rPr>
          <w:rFonts w:hint="default" w:ascii="Times New Roman" w:hAnsi="Times New Roman" w:eastAsia="宋体" w:cs="Times New Roman"/>
          <w:b/>
          <w:sz w:val="24"/>
          <w:szCs w:val="24"/>
          <w:highlight w:val="none"/>
          <w:lang w:val="en-US" w:eastAsia="zh-CN"/>
        </w:rPr>
        <w:t>1:1000</w:t>
      </w:r>
      <w:r>
        <w:rPr>
          <w:rFonts w:hint="default" w:ascii="Times New Roman" w:hAnsi="Times New Roman" w:eastAsia="宋体" w:cs="Times New Roman"/>
          <w:b/>
          <w:sz w:val="24"/>
          <w:szCs w:val="24"/>
          <w:highlight w:val="none"/>
          <w:lang w:eastAsia="zh-CN"/>
        </w:rPr>
        <w:t>）</w:t>
      </w:r>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距离该项目最近的</w:t>
      </w:r>
      <w:r>
        <w:rPr>
          <w:rFonts w:hint="default" w:ascii="Times New Roman" w:hAnsi="Times New Roman" w:eastAsia="宋体" w:cs="Times New Roman"/>
          <w:color w:val="000000"/>
          <w:sz w:val="24"/>
          <w:szCs w:val="24"/>
          <w:lang w:val="en-US" w:eastAsia="zh-CN"/>
        </w:rPr>
        <w:t>敏感点</w:t>
      </w:r>
      <w:r>
        <w:rPr>
          <w:rFonts w:hint="default" w:ascii="Times New Roman" w:hAnsi="Times New Roman" w:eastAsia="宋体" w:cs="Times New Roman"/>
          <w:color w:val="000000"/>
          <w:sz w:val="24"/>
          <w:szCs w:val="24"/>
        </w:rPr>
        <w:t>为位于厂区</w:t>
      </w:r>
      <w:r>
        <w:rPr>
          <w:rFonts w:hint="default" w:ascii="Times New Roman" w:hAnsi="Times New Roman" w:eastAsia="宋体" w:cs="Times New Roman"/>
          <w:color w:val="000000"/>
          <w:sz w:val="24"/>
          <w:szCs w:val="24"/>
          <w:lang w:val="en-US" w:eastAsia="zh-CN"/>
        </w:rPr>
        <w:t>东北侧180m处的李洼村</w:t>
      </w:r>
      <w:r>
        <w:rPr>
          <w:rFonts w:hint="default" w:ascii="Times New Roman" w:hAnsi="Times New Roman" w:eastAsia="宋体" w:cs="Times New Roman"/>
          <w:color w:val="000000"/>
          <w:sz w:val="24"/>
          <w:szCs w:val="24"/>
        </w:rPr>
        <w:t>。</w:t>
      </w:r>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项目周边敏感目标分布情况见表3-1及图3-3。</w:t>
      </w:r>
    </w:p>
    <w:p>
      <w:pPr>
        <w:pStyle w:val="3"/>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p>
    <w:p>
      <w:pPr>
        <w:pStyle w:val="32"/>
        <w:rPr>
          <w:rFonts w:hint="default" w:ascii="Times New Roman" w:hAnsi="Times New Roman" w:eastAsia="宋体" w:cs="Times New Roman"/>
        </w:rPr>
      </w:pPr>
    </w:p>
    <w:p>
      <w:pPr>
        <w:pStyle w:val="3"/>
        <w:keepNext w:val="0"/>
        <w:keepLines w:val="0"/>
        <w:pageBreakBefore w:val="0"/>
        <w:widowControl w:val="0"/>
        <w:kinsoku/>
        <w:wordWrap/>
        <w:overflowPunct/>
        <w:topLinePunct w:val="0"/>
        <w:autoSpaceDE/>
        <w:autoSpaceDN/>
        <w:bidi w:val="0"/>
        <w:adjustRightInd/>
        <w:snapToGrid/>
        <w:spacing w:after="0" w:line="360" w:lineRule="auto"/>
        <w:ind w:left="0"/>
        <w:jc w:val="center"/>
        <w:textAlignment w:val="auto"/>
        <w:rPr>
          <w:rFonts w:hint="default" w:ascii="Times New Roman" w:hAnsi="Times New Roman" w:eastAsia="宋体" w:cs="Times New Roman"/>
          <w:b/>
          <w:sz w:val="24"/>
          <w:szCs w:val="24"/>
        </w:rPr>
      </w:pP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表3-1  项目敏感目标一览表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8"/>
        <w:gridCol w:w="928"/>
        <w:gridCol w:w="1125"/>
        <w:gridCol w:w="1095"/>
        <w:gridCol w:w="3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环境要素</w:t>
            </w:r>
          </w:p>
        </w:tc>
        <w:tc>
          <w:tcPr>
            <w:tcW w:w="544"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名称</w:t>
            </w:r>
          </w:p>
        </w:tc>
        <w:tc>
          <w:tcPr>
            <w:tcW w:w="660"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方位</w:t>
            </w:r>
          </w:p>
        </w:tc>
        <w:tc>
          <w:tcPr>
            <w:tcW w:w="64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距离(m)</w:t>
            </w:r>
          </w:p>
        </w:tc>
        <w:tc>
          <w:tcPr>
            <w:tcW w:w="2162" w:type="pct"/>
            <w:tcBorders>
              <w:top w:val="single" w:color="auto" w:sz="4" w:space="0"/>
              <w:left w:val="single" w:color="auto" w:sz="4" w:space="0"/>
              <w:bottom w:val="single" w:color="auto" w:sz="4" w:space="0"/>
              <w:right w:val="single" w:color="auto" w:sz="4" w:space="0"/>
            </w:tcBorders>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990" w:type="pct"/>
            <w:vMerge w:val="restart"/>
            <w:tcBorders>
              <w:top w:val="single" w:color="auto" w:sz="4" w:space="0"/>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环境空气</w:t>
            </w:r>
          </w:p>
        </w:tc>
        <w:tc>
          <w:tcPr>
            <w:tcW w:w="544"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李洼村</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NE</w:t>
            </w:r>
          </w:p>
        </w:tc>
        <w:tc>
          <w:tcPr>
            <w:tcW w:w="642"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180</w:t>
            </w:r>
          </w:p>
        </w:tc>
        <w:tc>
          <w:tcPr>
            <w:tcW w:w="2162" w:type="pct"/>
            <w:vMerge w:val="restart"/>
            <w:tcBorders>
              <w:top w:val="single" w:color="auto" w:sz="4" w:space="0"/>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《环境空气质量标准》(GB3095-2012)中的二级标准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990" w:type="pct"/>
            <w:vMerge w:val="continue"/>
            <w:tcBorders>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p>
        </w:tc>
        <w:tc>
          <w:tcPr>
            <w:tcW w:w="544"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康楼村</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NW</w:t>
            </w:r>
          </w:p>
        </w:tc>
        <w:tc>
          <w:tcPr>
            <w:tcW w:w="642"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405</w:t>
            </w:r>
          </w:p>
        </w:tc>
        <w:tc>
          <w:tcPr>
            <w:tcW w:w="2162" w:type="pct"/>
            <w:vMerge w:val="continue"/>
            <w:tcBorders>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990" w:type="pct"/>
            <w:vMerge w:val="continue"/>
            <w:tcBorders>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p>
        </w:tc>
        <w:tc>
          <w:tcPr>
            <w:tcW w:w="544"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张庄村</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SE</w:t>
            </w:r>
          </w:p>
        </w:tc>
        <w:tc>
          <w:tcPr>
            <w:tcW w:w="642" w:type="pct"/>
            <w:tcBorders>
              <w:top w:val="single" w:color="auto" w:sz="4" w:space="0"/>
              <w:left w:val="single" w:color="auto" w:sz="4" w:space="0"/>
              <w:bottom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475</w:t>
            </w:r>
          </w:p>
        </w:tc>
        <w:tc>
          <w:tcPr>
            <w:tcW w:w="2162" w:type="pct"/>
            <w:vMerge w:val="continue"/>
            <w:tcBorders>
              <w:left w:val="single" w:color="auto" w:sz="4" w:space="0"/>
              <w:right w:val="single" w:color="auto" w:sz="4" w:space="0"/>
            </w:tcBorders>
            <w:noWrap w:val="0"/>
            <w:vAlign w:val="center"/>
          </w:tcPr>
          <w:p>
            <w:pPr>
              <w:adjustRightInd w:val="0"/>
              <w:spacing w:line="240" w:lineRule="auto"/>
              <w:jc w:val="center"/>
              <w:rPr>
                <w:rFonts w:hint="default"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990" w:type="pct"/>
            <w:tcBorders>
              <w:left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项目周围地下水</w:t>
            </w:r>
          </w:p>
        </w:tc>
        <w:tc>
          <w:tcPr>
            <w:tcW w:w="544" w:type="pct"/>
            <w:tcBorders>
              <w:top w:val="single" w:color="auto" w:sz="4" w:space="0"/>
              <w:left w:val="single" w:color="auto" w:sz="4" w:space="0"/>
              <w:bottom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660" w:type="pct"/>
            <w:tcBorders>
              <w:top w:val="single" w:color="auto" w:sz="4" w:space="0"/>
              <w:left w:val="single" w:color="auto" w:sz="4" w:space="0"/>
              <w:bottom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642" w:type="pct"/>
            <w:tcBorders>
              <w:top w:val="single" w:color="auto" w:sz="4" w:space="0"/>
              <w:left w:val="single" w:color="auto" w:sz="4" w:space="0"/>
              <w:bottom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162" w:type="pct"/>
            <w:tcBorders>
              <w:left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《地下水质量标准》(GB/T14848-2017) 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0" w:type="pct"/>
            <w:tcBorders>
              <w:left w:val="single" w:color="auto" w:sz="4" w:space="0"/>
              <w:right w:val="single" w:color="auto" w:sz="4" w:space="0"/>
            </w:tcBorders>
            <w:noWrap w:val="0"/>
            <w:vAlign w:val="center"/>
          </w:tcPr>
          <w:p>
            <w:pPr>
              <w:pStyle w:val="7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厂界</w:t>
            </w:r>
          </w:p>
        </w:tc>
        <w:tc>
          <w:tcPr>
            <w:tcW w:w="544" w:type="pct"/>
            <w:tcBorders>
              <w:top w:val="single" w:color="auto" w:sz="4" w:space="0"/>
              <w:left w:val="single" w:color="auto" w:sz="4" w:space="0"/>
              <w:bottom w:val="single" w:color="auto" w:sz="4" w:space="0"/>
              <w:right w:val="single" w:color="auto" w:sz="4" w:space="0"/>
            </w:tcBorders>
            <w:noWrap w:val="0"/>
            <w:vAlign w:val="center"/>
          </w:tcPr>
          <w:p>
            <w:pPr>
              <w:pStyle w:val="7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660" w:type="pct"/>
            <w:tcBorders>
              <w:top w:val="single" w:color="auto" w:sz="4" w:space="0"/>
              <w:left w:val="single" w:color="auto" w:sz="4" w:space="0"/>
              <w:bottom w:val="single" w:color="auto" w:sz="4" w:space="0"/>
              <w:right w:val="single" w:color="auto" w:sz="4" w:space="0"/>
            </w:tcBorders>
            <w:noWrap w:val="0"/>
            <w:vAlign w:val="center"/>
          </w:tcPr>
          <w:p>
            <w:pPr>
              <w:pStyle w:val="7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42" w:type="pct"/>
            <w:tcBorders>
              <w:top w:val="single" w:color="auto" w:sz="4" w:space="0"/>
              <w:left w:val="single" w:color="auto" w:sz="4" w:space="0"/>
              <w:bottom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162" w:type="pct"/>
            <w:tcBorders>
              <w:left w:val="single" w:color="auto" w:sz="4" w:space="0"/>
              <w:right w:val="single" w:color="auto" w:sz="4" w:space="0"/>
            </w:tcBorders>
            <w:noWrap w:val="0"/>
            <w:vAlign w:val="center"/>
          </w:tcPr>
          <w:p>
            <w:pPr>
              <w:pStyle w:val="69"/>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《声环境质量标准》</w:t>
            </w:r>
          </w:p>
          <w:p>
            <w:pPr>
              <w:pStyle w:val="69"/>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（GB3096-2008）</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2"/>
          <w:szCs w:val="28"/>
        </w:rPr>
      </w:pPr>
      <w:r>
        <w:rPr>
          <w:rFonts w:hint="default" w:ascii="Times New Roman" w:hAnsi="Times New Roman" w:eastAsia="宋体" w:cs="Times New Roman"/>
        </w:rPr>
        <w:drawing>
          <wp:anchor distT="0" distB="0" distL="114300" distR="114300" simplePos="0" relativeHeight="251689984" behindDoc="0" locked="0" layoutInCell="1" allowOverlap="1">
            <wp:simplePos x="0" y="0"/>
            <wp:positionH relativeFrom="column">
              <wp:posOffset>4479925</wp:posOffset>
            </wp:positionH>
            <wp:positionV relativeFrom="paragraph">
              <wp:posOffset>59690</wp:posOffset>
            </wp:positionV>
            <wp:extent cx="800100" cy="723900"/>
            <wp:effectExtent l="0" t="0" r="0" b="0"/>
            <wp:wrapNone/>
            <wp:docPr id="34"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08"/>
                    <pic:cNvPicPr>
                      <a:picLocks noChangeAspect="1"/>
                    </pic:cNvPicPr>
                  </pic:nvPicPr>
                  <pic:blipFill>
                    <a:blip r:embed="rId13"/>
                    <a:stretch>
                      <a:fillRect/>
                    </a:stretch>
                  </pic:blipFill>
                  <pic:spPr>
                    <a:xfrm>
                      <a:off x="0" y="0"/>
                      <a:ext cx="800100" cy="723900"/>
                    </a:xfrm>
                    <a:prstGeom prst="rect">
                      <a:avLst/>
                    </a:prstGeom>
                    <a:noFill/>
                    <a:ln>
                      <a:noFill/>
                    </a:ln>
                  </pic:spPr>
                </pic:pic>
              </a:graphicData>
            </a:graphic>
          </wp:anchor>
        </w:drawing>
      </w:r>
      <w:r>
        <w:rPr>
          <w:rFonts w:hint="default" w:ascii="Times New Roman" w:hAnsi="Times New Roman" w:eastAsia="宋体" w:cs="Times New Roman"/>
          <w:sz w:val="21"/>
        </w:rPr>
        <mc:AlternateContent>
          <mc:Choice Requires="wps">
            <w:drawing>
              <wp:anchor distT="0" distB="0" distL="114300" distR="114300" simplePos="0" relativeHeight="251688960" behindDoc="0" locked="0" layoutInCell="1" allowOverlap="1">
                <wp:simplePos x="0" y="0"/>
                <wp:positionH relativeFrom="column">
                  <wp:posOffset>2360930</wp:posOffset>
                </wp:positionH>
                <wp:positionV relativeFrom="paragraph">
                  <wp:posOffset>1584325</wp:posOffset>
                </wp:positionV>
                <wp:extent cx="344805" cy="700405"/>
                <wp:effectExtent l="5080" t="4445" r="170815" b="12700"/>
                <wp:wrapNone/>
                <wp:docPr id="33" name="自选图形 1107"/>
                <wp:cNvGraphicFramePr/>
                <a:graphic xmlns:a="http://schemas.openxmlformats.org/drawingml/2006/main">
                  <a:graphicData uri="http://schemas.microsoft.com/office/word/2010/wordprocessingShape">
                    <wps:wsp>
                      <wps:cNvSpPr/>
                      <wps:spPr>
                        <a:xfrm rot="-5400000">
                          <a:off x="0" y="0"/>
                          <a:ext cx="344805" cy="700405"/>
                        </a:xfrm>
                        <a:prstGeom prst="wedgeRectCallout">
                          <a:avLst>
                            <a:gd name="adj1" fmla="val -43750"/>
                            <a:gd name="adj2" fmla="val 70000"/>
                          </a:avLst>
                        </a:prstGeom>
                        <a:noFill/>
                        <a:ln w="9525" cap="flat" cmpd="sng">
                          <a:solidFill>
                            <a:srgbClr val="000000"/>
                          </a:solidFill>
                          <a:prstDash val="solid"/>
                          <a:miter/>
                          <a:headEnd type="none" w="med" len="med"/>
                          <a:tailEnd type="none" w="med" len="med"/>
                        </a:ln>
                      </wps:spPr>
                      <wps:txbx>
                        <w:txbxContent>
                          <w:p>
                            <w:pPr>
                              <w:rPr>
                                <w:rFonts w:hint="default" w:eastAsia="宋体"/>
                                <w:b/>
                                <w:bCs/>
                                <w:sz w:val="18"/>
                                <w:szCs w:val="18"/>
                                <w:lang w:val="en-US" w:eastAsia="zh-CN"/>
                              </w:rPr>
                            </w:pPr>
                            <w:r>
                              <w:rPr>
                                <w:rFonts w:hint="eastAsia"/>
                                <w:b/>
                                <w:bCs/>
                                <w:sz w:val="18"/>
                                <w:szCs w:val="18"/>
                                <w:lang w:val="en-US" w:eastAsia="zh-CN"/>
                              </w:rPr>
                              <w:t>项目所在地</w:t>
                            </w:r>
                          </w:p>
                        </w:txbxContent>
                      </wps:txbx>
                      <wps:bodyPr vert="horz" wrap="square" anchor="t" anchorCtr="0" upright="1"/>
                    </wps:wsp>
                  </a:graphicData>
                </a:graphic>
              </wp:anchor>
            </w:drawing>
          </mc:Choice>
          <mc:Fallback>
            <w:pict>
              <v:shape id="自选图形 1107" o:spid="_x0000_s1026" o:spt="61" type="#_x0000_t61" style="position:absolute;left:0pt;margin-left:185.9pt;margin-top:124.75pt;height:55.15pt;width:27.15pt;rotation:-5898240f;z-index:251688960;mso-width-relative:page;mso-height-relative:page;" filled="f" stroked="t" coordsize="21600,21600" o:gfxdata="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DJqtsAAAALAQAADwAAAAAAAAABACAAAAAiAAAAZHJzL2Rvd25yZXYueG1sUEsBAhQAFAAA&#10;AAgAh07iQDzHR39eAgAAqQQAAA4AAAAAAAAAAQAgAAAAKgEAAGRycy9lMm9Eb2MueG1sUEsFBgAA&#10;AAAGAAYAWQEAAPoFAAAAAA==&#10;" adj="1350,25920">
                <v:fill on="f" focussize="0,0"/>
                <v:stroke color="#000000" joinstyle="miter"/>
                <v:imagedata o:title=""/>
                <o:lock v:ext="edit" aspectratio="f"/>
                <v:textbox>
                  <w:txbxContent>
                    <w:p>
                      <w:pPr>
                        <w:rPr>
                          <w:rFonts w:hint="default" w:eastAsia="宋体"/>
                          <w:b/>
                          <w:bCs/>
                          <w:sz w:val="18"/>
                          <w:szCs w:val="18"/>
                          <w:lang w:val="en-US" w:eastAsia="zh-CN"/>
                        </w:rPr>
                      </w:pPr>
                      <w:r>
                        <w:rPr>
                          <w:rFonts w:hint="eastAsia"/>
                          <w:b/>
                          <w:bCs/>
                          <w:sz w:val="18"/>
                          <w:szCs w:val="18"/>
                          <w:lang w:val="en-US" w:eastAsia="zh-CN"/>
                        </w:rPr>
                        <w:t>项目所在地</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7936" behindDoc="0" locked="0" layoutInCell="1" allowOverlap="1">
                <wp:simplePos x="0" y="0"/>
                <wp:positionH relativeFrom="column">
                  <wp:posOffset>2966720</wp:posOffset>
                </wp:positionH>
                <wp:positionV relativeFrom="paragraph">
                  <wp:posOffset>2686685</wp:posOffset>
                </wp:positionV>
                <wp:extent cx="617855" cy="260350"/>
                <wp:effectExtent l="0" t="0" r="0" b="0"/>
                <wp:wrapNone/>
                <wp:docPr id="32" name="文本框 1106"/>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810m</w:t>
                            </w:r>
                          </w:p>
                        </w:txbxContent>
                      </wps:txbx>
                      <wps:bodyPr wrap="square" upright="1"/>
                    </wps:wsp>
                  </a:graphicData>
                </a:graphic>
              </wp:anchor>
            </w:drawing>
          </mc:Choice>
          <mc:Fallback>
            <w:pict>
              <v:shape id="文本框 1106" o:spid="_x0000_s1026" o:spt="202" type="#_x0000_t202" style="position:absolute;left:0pt;margin-left:233.6pt;margin-top:211.55pt;height:20.5pt;width:48.65pt;z-index:251687936;mso-width-relative:page;mso-height-relative:page;" filled="f" stroked="f" coordsize="21600,21600" o:gfxdata="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LVU4/XAAAACwEAAA8AAAAAAAAAAQAgAAAAIgAAAGRycy9kb3ducmV2LnhtbFBLAQIU&#10;ABQAAAAIAIdO4kBhwdyhuwEAAF8DAAAOAAAAAAAAAAEAIAAAACYBAABkcnMvZTJvRG9jLnhtbFBL&#10;BQYAAAAABgAGAFkBAABTBQ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810m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6912" behindDoc="0" locked="0" layoutInCell="1" allowOverlap="1">
                <wp:simplePos x="0" y="0"/>
                <wp:positionH relativeFrom="column">
                  <wp:posOffset>3466465</wp:posOffset>
                </wp:positionH>
                <wp:positionV relativeFrom="paragraph">
                  <wp:posOffset>2122805</wp:posOffset>
                </wp:positionV>
                <wp:extent cx="617855" cy="260350"/>
                <wp:effectExtent l="0" t="0" r="0" b="0"/>
                <wp:wrapNone/>
                <wp:docPr id="31" name="文本框 1105"/>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475m</w:t>
                            </w:r>
                          </w:p>
                        </w:txbxContent>
                      </wps:txbx>
                      <wps:bodyPr wrap="square" upright="1"/>
                    </wps:wsp>
                  </a:graphicData>
                </a:graphic>
              </wp:anchor>
            </w:drawing>
          </mc:Choice>
          <mc:Fallback>
            <w:pict>
              <v:shape id="文本框 1105" o:spid="_x0000_s1026" o:spt="202" type="#_x0000_t202" style="position:absolute;left:0pt;margin-left:272.95pt;margin-top:167.15pt;height:20.5pt;width:48.65pt;z-index:251686912;mso-width-relative:page;mso-height-relative:page;" filled="f" stroked="f" coordsize="21600,21600" o:gfxdata="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F4UVv2AAAAAsBAAAPAAAAAAAAAAEAIAAAACIAAABkcnMvZG93bnJldi54bWxQSwEC&#10;FAAUAAAACACHTuJAJ/sC7rsBAABfAwAADgAAAAAAAAABACAAAAAnAQAAZHJzL2Uyb0RvYy54bWxQ&#10;SwUGAAAAAAYABgBZAQAAVAU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475m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5888" behindDoc="0" locked="0" layoutInCell="1" allowOverlap="1">
                <wp:simplePos x="0" y="0"/>
                <wp:positionH relativeFrom="column">
                  <wp:posOffset>3142615</wp:posOffset>
                </wp:positionH>
                <wp:positionV relativeFrom="paragraph">
                  <wp:posOffset>1789430</wp:posOffset>
                </wp:positionV>
                <wp:extent cx="617855" cy="260350"/>
                <wp:effectExtent l="0" t="0" r="0" b="0"/>
                <wp:wrapNone/>
                <wp:docPr id="30" name="文本框 1104"/>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180m</w:t>
                            </w:r>
                          </w:p>
                        </w:txbxContent>
                      </wps:txbx>
                      <wps:bodyPr wrap="square" upright="1"/>
                    </wps:wsp>
                  </a:graphicData>
                </a:graphic>
              </wp:anchor>
            </w:drawing>
          </mc:Choice>
          <mc:Fallback>
            <w:pict>
              <v:shape id="文本框 1104" o:spid="_x0000_s1026" o:spt="202" type="#_x0000_t202" style="position:absolute;left:0pt;margin-left:247.45pt;margin-top:140.9pt;height:20.5pt;width:48.65pt;z-index:251685888;mso-width-relative:page;mso-height-relative:page;" filled="f" stroked="f" coordsize="21600,21600" o:gfxdata="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qaPQLYAAAACwEAAA8AAAAAAAAAAQAgAAAAIgAAAGRycy9kb3ducmV2LnhtbFBLAQIU&#10;ABQAAAAIAIdO4kDlErfUugEAAF8DAAAOAAAAAAAAAAEAIAAAACcBAABkcnMvZTJvRG9jLnhtbFBL&#10;BQYAAAAABgAGAFkBAABTBQ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180m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4864" behindDoc="0" locked="0" layoutInCell="1" allowOverlap="1">
                <wp:simplePos x="0" y="0"/>
                <wp:positionH relativeFrom="column">
                  <wp:posOffset>1579880</wp:posOffset>
                </wp:positionH>
                <wp:positionV relativeFrom="paragraph">
                  <wp:posOffset>2239010</wp:posOffset>
                </wp:positionV>
                <wp:extent cx="617855" cy="260350"/>
                <wp:effectExtent l="0" t="0" r="0" b="0"/>
                <wp:wrapNone/>
                <wp:docPr id="29" name="文本框 1103"/>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740m</w:t>
                            </w:r>
                          </w:p>
                        </w:txbxContent>
                      </wps:txbx>
                      <wps:bodyPr wrap="square" upright="1"/>
                    </wps:wsp>
                  </a:graphicData>
                </a:graphic>
              </wp:anchor>
            </w:drawing>
          </mc:Choice>
          <mc:Fallback>
            <w:pict>
              <v:shape id="文本框 1103" o:spid="_x0000_s1026" o:spt="202" type="#_x0000_t202" style="position:absolute;left:0pt;margin-left:124.4pt;margin-top:176.3pt;height:20.5pt;width:48.65pt;z-index:251684864;mso-width-relative:page;mso-height-relative:page;" filled="f" stroked="f" coordsize="21600,21600" o:gfxdata="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lm9g9kAAAALAQAADwAAAAAAAAABACAAAAAiAAAAZHJzL2Rvd25yZXYueG1sUEsB&#10;AhQAFAAAAAgAh07iQHTnEfq7AQAAXwMAAA4AAAAAAAAAAQAgAAAAKAEAAGRycy9lMm9Eb2MueG1s&#10;UEsFBgAAAAAGAAYAWQEAAFUFA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740m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3840" behindDoc="0" locked="0" layoutInCell="1" allowOverlap="1">
                <wp:simplePos x="0" y="0"/>
                <wp:positionH relativeFrom="column">
                  <wp:posOffset>1597660</wp:posOffset>
                </wp:positionH>
                <wp:positionV relativeFrom="paragraph">
                  <wp:posOffset>1862455</wp:posOffset>
                </wp:positionV>
                <wp:extent cx="617855" cy="260350"/>
                <wp:effectExtent l="0" t="0" r="0" b="0"/>
                <wp:wrapNone/>
                <wp:docPr id="28" name="文本框 1101"/>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830m</w:t>
                            </w:r>
                          </w:p>
                        </w:txbxContent>
                      </wps:txbx>
                      <wps:bodyPr wrap="square" upright="1"/>
                    </wps:wsp>
                  </a:graphicData>
                </a:graphic>
              </wp:anchor>
            </w:drawing>
          </mc:Choice>
          <mc:Fallback>
            <w:pict>
              <v:shape id="文本框 1101" o:spid="_x0000_s1026" o:spt="202" type="#_x0000_t202" style="position:absolute;left:0pt;margin-left:125.8pt;margin-top:146.65pt;height:20.5pt;width:48.65pt;z-index:251683840;mso-width-relative:page;mso-height-relative:page;" filled="f" stroked="f" coordsize="21600,21600" o:gfxdata="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7pPqHYAAAACwEAAA8AAAAAAAAAAQAgAAAAIgAAAGRycy9kb3ducmV2LnhtbFBLAQIU&#10;ABQAAAAIAIdO4kDCb4R4ugEAAF8DAAAOAAAAAAAAAAEAIAAAACcBAABkcnMvZTJvRG9jLnhtbFBL&#10;BQYAAAAABgAGAFkBAABTBQ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830m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2816" behindDoc="0" locked="0" layoutInCell="1" allowOverlap="1">
                <wp:simplePos x="0" y="0"/>
                <wp:positionH relativeFrom="column">
                  <wp:posOffset>2586355</wp:posOffset>
                </wp:positionH>
                <wp:positionV relativeFrom="paragraph">
                  <wp:posOffset>1329690</wp:posOffset>
                </wp:positionV>
                <wp:extent cx="617855" cy="260350"/>
                <wp:effectExtent l="0" t="0" r="0" b="0"/>
                <wp:wrapNone/>
                <wp:docPr id="27" name="文本框 1100"/>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405m</w:t>
                            </w:r>
                          </w:p>
                        </w:txbxContent>
                      </wps:txbx>
                      <wps:bodyPr wrap="square" upright="1"/>
                    </wps:wsp>
                  </a:graphicData>
                </a:graphic>
              </wp:anchor>
            </w:drawing>
          </mc:Choice>
          <mc:Fallback>
            <w:pict>
              <v:shape id="文本框 1100" o:spid="_x0000_s1026" o:spt="202" type="#_x0000_t202" style="position:absolute;left:0pt;margin-left:203.65pt;margin-top:104.7pt;height:20.5pt;width:48.65pt;z-index:251682816;mso-width-relative:page;mso-height-relative:page;" filled="f" stroked="f" coordsize="21600,21600" o:gfxdata="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5+Pe1wAAAAsBAAAPAAAAAAAAAAEAIAAAACIAAABkcnMvZG93bnJldi54bWxQSwECFAAU&#10;AAAACACHTuJAlot+jrkBAABfAwAADgAAAAAAAAABACAAAAAmAQAAZHJzL2Uyb0RvYy54bWxQSwUG&#10;AAAAAAYABgBZAQAAUQU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405m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1792" behindDoc="0" locked="0" layoutInCell="1" allowOverlap="1">
                <wp:simplePos x="0" y="0"/>
                <wp:positionH relativeFrom="column">
                  <wp:posOffset>1713230</wp:posOffset>
                </wp:positionH>
                <wp:positionV relativeFrom="paragraph">
                  <wp:posOffset>1191895</wp:posOffset>
                </wp:positionV>
                <wp:extent cx="617855" cy="260350"/>
                <wp:effectExtent l="0" t="0" r="0" b="0"/>
                <wp:wrapNone/>
                <wp:docPr id="26" name="文本框 1093"/>
                <wp:cNvGraphicFramePr/>
                <a:graphic xmlns:a="http://schemas.openxmlformats.org/drawingml/2006/main">
                  <a:graphicData uri="http://schemas.microsoft.com/office/word/2010/wordprocessingShape">
                    <wps:wsp>
                      <wps:cNvSpPr txBox="1"/>
                      <wps:spPr>
                        <a:xfrm>
                          <a:off x="0" y="0"/>
                          <a:ext cx="617855" cy="260350"/>
                        </a:xfrm>
                        <a:prstGeom prst="rect">
                          <a:avLst/>
                        </a:prstGeom>
                        <a:noFill/>
                        <a:ln>
                          <a:noFill/>
                        </a:ln>
                      </wps:spPr>
                      <wps:txbx>
                        <w:txbxContent>
                          <w:p>
                            <w:pPr>
                              <w:rPr>
                                <w:rFonts w:hint="default" w:eastAsia="宋体"/>
                                <w:sz w:val="18"/>
                                <w:szCs w:val="18"/>
                                <w:lang w:val="en-US" w:eastAsia="zh-CN"/>
                              </w:rPr>
                            </w:pPr>
                            <w:r>
                              <w:rPr>
                                <w:rFonts w:hint="eastAsia"/>
                                <w:sz w:val="18"/>
                                <w:szCs w:val="18"/>
                                <w:lang w:val="en-US" w:eastAsia="zh-CN"/>
                              </w:rPr>
                              <w:t>770m</w:t>
                            </w:r>
                          </w:p>
                        </w:txbxContent>
                      </wps:txbx>
                      <wps:bodyPr vert="horz" wrap="square" anchor="t" anchorCtr="0" upright="1"/>
                    </wps:wsp>
                  </a:graphicData>
                </a:graphic>
              </wp:anchor>
            </w:drawing>
          </mc:Choice>
          <mc:Fallback>
            <w:pict>
              <v:shape id="文本框 1093" o:spid="_x0000_s1026" o:spt="202" type="#_x0000_t202" style="position:absolute;left:0pt;margin-left:134.9pt;margin-top:93.85pt;height:20.5pt;width:48.65pt;z-index:251681792;mso-width-relative:page;mso-height-relative:page;" filled="f" stroked="f" coordsize="21600,21600" o:gfxdata="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1CECQ9cAAAALAQAADwAAAAAAAAABACAAAAAiAAAA&#10;ZHJzL2Rvd25yZXYueG1sUEsBAhQAFAAAAAgAh07iQMPvxMDPAQAAhAMAAA4AAAAAAAAAAQAgAAAA&#10;JgEAAGRycy9lMm9Eb2MueG1sUEsFBgAAAAAGAAYAWQEAAGcFAAAAAA==&#10;">
                <v:fill on="f" focussize="0,0"/>
                <v:stroke on="f"/>
                <v:imagedata o:title=""/>
                <o:lock v:ext="edit" aspectratio="f"/>
                <v:textbox>
                  <w:txbxContent>
                    <w:p>
                      <w:pPr>
                        <w:rPr>
                          <w:rFonts w:hint="default" w:eastAsia="宋体"/>
                          <w:sz w:val="18"/>
                          <w:szCs w:val="18"/>
                          <w:lang w:val="en-US" w:eastAsia="zh-CN"/>
                        </w:rPr>
                      </w:pPr>
                      <w:r>
                        <w:rPr>
                          <w:rFonts w:hint="eastAsia"/>
                          <w:sz w:val="18"/>
                          <w:szCs w:val="18"/>
                          <w:lang w:val="en-US" w:eastAsia="zh-CN"/>
                        </w:rPr>
                        <w:t>770m</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0768" behindDoc="0" locked="0" layoutInCell="1" allowOverlap="1">
                <wp:simplePos x="0" y="0"/>
                <wp:positionH relativeFrom="column">
                  <wp:posOffset>3142615</wp:posOffset>
                </wp:positionH>
                <wp:positionV relativeFrom="paragraph">
                  <wp:posOffset>2166620</wp:posOffset>
                </wp:positionV>
                <wp:extent cx="369570" cy="1558290"/>
                <wp:effectExtent l="4445" t="1270" r="6985" b="2540"/>
                <wp:wrapNone/>
                <wp:docPr id="25" name="直线 1092"/>
                <wp:cNvGraphicFramePr/>
                <a:graphic xmlns:a="http://schemas.openxmlformats.org/drawingml/2006/main">
                  <a:graphicData uri="http://schemas.microsoft.com/office/word/2010/wordprocessingShape">
                    <wps:wsp>
                      <wps:cNvCnPr/>
                      <wps:spPr>
                        <a:xfrm>
                          <a:off x="0" y="0"/>
                          <a:ext cx="369570" cy="1558290"/>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92" o:spid="_x0000_s1026" o:spt="20" style="position:absolute;left:0pt;margin-left:247.45pt;margin-top:170.6pt;height:122.7pt;width:29.1pt;z-index:251680768;mso-width-relative:page;mso-height-relative:page;" filled="f" stroked="t" coordsize="21600,21600" o:gfxdata="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JfYnaAAAACwEAAA8AAAAAAAAAAQAgAAAAIgAAAGRycy9kb3ducmV2LnhtbFBL&#10;AQIUABQAAAAIAIdO4kB/tmN49AEAAOQDAAAOAAAAAAAAAAEAIAAAACkBAABkcnMvZTJvRG9jLnht&#10;bFBLBQYAAAAABgAGAFkBAACPBQ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9744" behindDoc="0" locked="0" layoutInCell="1" allowOverlap="1">
                <wp:simplePos x="0" y="0"/>
                <wp:positionH relativeFrom="column">
                  <wp:posOffset>1320800</wp:posOffset>
                </wp:positionH>
                <wp:positionV relativeFrom="paragraph">
                  <wp:posOffset>2166620</wp:posOffset>
                </wp:positionV>
                <wp:extent cx="1720215" cy="327025"/>
                <wp:effectExtent l="635" t="4445" r="12700" b="11430"/>
                <wp:wrapNone/>
                <wp:docPr id="24" name="直线 1091"/>
                <wp:cNvGraphicFramePr/>
                <a:graphic xmlns:a="http://schemas.openxmlformats.org/drawingml/2006/main">
                  <a:graphicData uri="http://schemas.microsoft.com/office/word/2010/wordprocessingShape">
                    <wps:wsp>
                      <wps:cNvCnPr/>
                      <wps:spPr>
                        <a:xfrm flipH="1">
                          <a:off x="0" y="0"/>
                          <a:ext cx="1720215" cy="327025"/>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91" o:spid="_x0000_s1026" o:spt="20" style="position:absolute;left:0pt;flip:x;margin-left:104pt;margin-top:170.6pt;height:25.75pt;width:135.45pt;z-index:251679744;mso-width-relative:page;mso-height-relative:page;" filled="f" stroked="t" coordsize="21600,21600" o:gfxdata="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kAaD+2wAAAAsBAAAPAAAAAAAAAAEAIAAAACIAAABkcnMvZG93bnJldi54&#10;bWxQSwECFAAUAAAACACHTuJA7PAF9/cBAADuAwAADgAAAAAAAAABACAAAAAqAQAAZHJzL2Uyb0Rv&#10;Yy54bWxQSwUGAAAAAAYABgBZAQAAkwU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8720" behindDoc="0" locked="0" layoutInCell="1" allowOverlap="1">
                <wp:simplePos x="0" y="0"/>
                <wp:positionH relativeFrom="column">
                  <wp:posOffset>1136015</wp:posOffset>
                </wp:positionH>
                <wp:positionV relativeFrom="paragraph">
                  <wp:posOffset>1948815</wp:posOffset>
                </wp:positionV>
                <wp:extent cx="1905000" cy="86360"/>
                <wp:effectExtent l="0" t="4445" r="19050" b="23495"/>
                <wp:wrapNone/>
                <wp:docPr id="23" name="直线 1090"/>
                <wp:cNvGraphicFramePr/>
                <a:graphic xmlns:a="http://schemas.openxmlformats.org/drawingml/2006/main">
                  <a:graphicData uri="http://schemas.microsoft.com/office/word/2010/wordprocessingShape">
                    <wps:wsp>
                      <wps:cNvCnPr/>
                      <wps:spPr>
                        <a:xfrm flipH="1" flipV="1">
                          <a:off x="0" y="0"/>
                          <a:ext cx="1905000" cy="86360"/>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90" o:spid="_x0000_s1026" o:spt="20" style="position:absolute;left:0pt;flip:x y;margin-left:89.45pt;margin-top:153.45pt;height:6.8pt;width:150pt;z-index:251678720;mso-width-relative:page;mso-height-relative:page;" filled="f" stroked="t" coordsize="21600,21600" o:gfxdata="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UaRBHZAAAACwEAAA8AAAAAAAAAAQAgAAAAIgAAAGRycy9kb3ducmV2&#10;LnhtbFBLAQIUABQAAAAIAIdO4kCxodCk+wEAAPcDAAAOAAAAAAAAAAEAIAAAACgBAABkcnMvZTJv&#10;RG9jLnhtbFBLBQYAAAAABgAGAFkBAACVBQ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7696" behindDoc="0" locked="0" layoutInCell="1" allowOverlap="1">
                <wp:simplePos x="0" y="0"/>
                <wp:positionH relativeFrom="column">
                  <wp:posOffset>1715770</wp:posOffset>
                </wp:positionH>
                <wp:positionV relativeFrom="paragraph">
                  <wp:posOffset>982345</wp:posOffset>
                </wp:positionV>
                <wp:extent cx="1325245" cy="1010285"/>
                <wp:effectExtent l="3175" t="3810" r="5080" b="14605"/>
                <wp:wrapNone/>
                <wp:docPr id="22" name="直线 1089"/>
                <wp:cNvGraphicFramePr/>
                <a:graphic xmlns:a="http://schemas.openxmlformats.org/drawingml/2006/main">
                  <a:graphicData uri="http://schemas.microsoft.com/office/word/2010/wordprocessingShape">
                    <wps:wsp>
                      <wps:cNvCnPr/>
                      <wps:spPr>
                        <a:xfrm flipH="1" flipV="1">
                          <a:off x="0" y="0"/>
                          <a:ext cx="1325245" cy="1010285"/>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89" o:spid="_x0000_s1026" o:spt="20" style="position:absolute;left:0pt;flip:x y;margin-left:135.1pt;margin-top:77.35pt;height:79.55pt;width:104.35pt;z-index:251677696;mso-width-relative:page;mso-height-relative:page;" filled="f" stroked="t" coordsize="21600,21600" o:gfxdata="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ja/D9wAAAALAQAADwAAAAAAAAABACAAAAAiAAAAZHJzL2Rv&#10;d25yZXYueG1sUEsBAhQAFAAAAAgAh07iQPwHZ2L9AQAA+QMAAA4AAAAAAAAAAQAgAAAAKwEAAGRy&#10;cy9lMm9Eb2MueG1sUEsFBgAAAAAGAAYAWQEAAJoFA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6672" behindDoc="0" locked="0" layoutInCell="1" allowOverlap="1">
                <wp:simplePos x="0" y="0"/>
                <wp:positionH relativeFrom="column">
                  <wp:posOffset>3204210</wp:posOffset>
                </wp:positionH>
                <wp:positionV relativeFrom="paragraph">
                  <wp:posOffset>2035175</wp:posOffset>
                </wp:positionV>
                <wp:extent cx="1252855" cy="402590"/>
                <wp:effectExtent l="1270" t="4445" r="3175" b="12065"/>
                <wp:wrapNone/>
                <wp:docPr id="21" name="直线 1088"/>
                <wp:cNvGraphicFramePr/>
                <a:graphic xmlns:a="http://schemas.openxmlformats.org/drawingml/2006/main">
                  <a:graphicData uri="http://schemas.microsoft.com/office/word/2010/wordprocessingShape">
                    <wps:wsp>
                      <wps:cNvCnPr/>
                      <wps:spPr>
                        <a:xfrm>
                          <a:off x="0" y="0"/>
                          <a:ext cx="1252855" cy="402590"/>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88" o:spid="_x0000_s1026" o:spt="20" style="position:absolute;left:0pt;margin-left:252.3pt;margin-top:160.25pt;height:31.7pt;width:98.65pt;z-index:251676672;mso-width-relative:page;mso-height-relative:page;" filled="f" stroked="t" coordsize="21600,21600" o:gfxdata="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ibVwl2gAAAAsBAAAPAAAAAAAAAAEAIAAAACIAAABkcnMvZG93bnJldi54bWxQSwEC&#10;FAAUAAAACACHTuJAvGXtz/IBAADkAwAADgAAAAAAAAABACAAAAApAQAAZHJzL2Uyb0RvYy54bWxQ&#10;SwUGAAAAAAYABgBZAQAAjQU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5648" behindDoc="0" locked="0" layoutInCell="1" allowOverlap="1">
                <wp:simplePos x="0" y="0"/>
                <wp:positionH relativeFrom="column">
                  <wp:posOffset>2762250</wp:posOffset>
                </wp:positionH>
                <wp:positionV relativeFrom="paragraph">
                  <wp:posOffset>1250950</wp:posOffset>
                </wp:positionV>
                <wp:extent cx="278765" cy="741680"/>
                <wp:effectExtent l="4445" t="1905" r="21590" b="18415"/>
                <wp:wrapNone/>
                <wp:docPr id="20" name="直线 1087"/>
                <wp:cNvGraphicFramePr/>
                <a:graphic xmlns:a="http://schemas.openxmlformats.org/drawingml/2006/main">
                  <a:graphicData uri="http://schemas.microsoft.com/office/word/2010/wordprocessingShape">
                    <wps:wsp>
                      <wps:cNvCnPr/>
                      <wps:spPr>
                        <a:xfrm flipH="1" flipV="1">
                          <a:off x="0" y="0"/>
                          <a:ext cx="278765" cy="741680"/>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87" o:spid="_x0000_s1026" o:spt="20" style="position:absolute;left:0pt;flip:x y;margin-left:217.5pt;margin-top:98.5pt;height:58.4pt;width:21.95pt;z-index:251675648;mso-width-relative:page;mso-height-relative:page;" filled="f" stroked="t" coordsize="21600,21600" o:gfxdata="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JqYQXcAAAACwEAAA8AAAAAAAAAAQAgAAAAIgAAAGRycy9k&#10;b3ducmV2LnhtbFBLAQIUABQAAAAIAIdO4kAtxYuQ/gEAAPcDAAAOAAAAAAAAAAEAIAAAACsBAABk&#10;cnMvZTJvRG9jLnhtbFBLBQYAAAAABgAGAFkBAACbBQ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4624" behindDoc="0" locked="0" layoutInCell="1" allowOverlap="1">
                <wp:simplePos x="0" y="0"/>
                <wp:positionH relativeFrom="column">
                  <wp:posOffset>3204210</wp:posOffset>
                </wp:positionH>
                <wp:positionV relativeFrom="paragraph">
                  <wp:posOffset>1789430</wp:posOffset>
                </wp:positionV>
                <wp:extent cx="380365" cy="245745"/>
                <wp:effectExtent l="2540" t="3810" r="17145" b="17145"/>
                <wp:wrapNone/>
                <wp:docPr id="19" name="直线 1086"/>
                <wp:cNvGraphicFramePr/>
                <a:graphic xmlns:a="http://schemas.openxmlformats.org/drawingml/2006/main">
                  <a:graphicData uri="http://schemas.microsoft.com/office/word/2010/wordprocessingShape">
                    <wps:wsp>
                      <wps:cNvCnPr/>
                      <wps:spPr>
                        <a:xfrm flipV="1">
                          <a:off x="0" y="0"/>
                          <a:ext cx="380365" cy="245745"/>
                        </a:xfrm>
                        <a:prstGeom prst="line">
                          <a:avLst/>
                        </a:prstGeom>
                        <a:ln w="9525" cap="flat" cmpd="sng">
                          <a:solidFill>
                            <a:srgbClr val="FF0000"/>
                          </a:solidFill>
                          <a:prstDash val="solid"/>
                          <a:headEnd type="none" w="med" len="med"/>
                          <a:tailEnd type="none" w="med" len="med"/>
                        </a:ln>
                      </wps:spPr>
                      <wps:bodyPr upright="1"/>
                    </wps:wsp>
                  </a:graphicData>
                </a:graphic>
              </wp:anchor>
            </w:drawing>
          </mc:Choice>
          <mc:Fallback>
            <w:pict>
              <v:line id="直线 1086" o:spid="_x0000_s1026" o:spt="20" style="position:absolute;left:0pt;flip:y;margin-left:252.3pt;margin-top:140.9pt;height:19.35pt;width:29.95pt;z-index:251674624;mso-width-relative:page;mso-height-relative:page;" filled="f" stroked="t" coordsize="21600,21600" o:gfxdata="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3Al83aAAAACwEAAA8AAAAAAAAAAQAgAAAAIgAAAGRycy9kb3ducmV2Lnht&#10;bFBLAQIUABQAAAAIAIdO4kC1rU9v9wEAAO0DAAAOAAAAAAAAAAEAIAAAACkBAABkcnMvZTJvRG9j&#10;LnhtbFBLBQYAAAAABgAGAFkBAACSBQAAAAA=&#10;">
                <v:fill on="f" focussize="0,0"/>
                <v:stroke color="#FF0000" joinstyle="round"/>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3600" behindDoc="0" locked="0" layoutInCell="1" allowOverlap="1">
                <wp:simplePos x="0" y="0"/>
                <wp:positionH relativeFrom="column">
                  <wp:posOffset>2762250</wp:posOffset>
                </wp:positionH>
                <wp:positionV relativeFrom="paragraph">
                  <wp:posOffset>3724910</wp:posOffset>
                </wp:positionV>
                <wp:extent cx="1322070" cy="383540"/>
                <wp:effectExtent l="4445" t="4445" r="6985" b="12065"/>
                <wp:wrapNone/>
                <wp:docPr id="18" name="任意多边形 1085"/>
                <wp:cNvGraphicFramePr/>
                <a:graphic xmlns:a="http://schemas.openxmlformats.org/drawingml/2006/main">
                  <a:graphicData uri="http://schemas.microsoft.com/office/word/2010/wordprocessingShape">
                    <wps:wsp>
                      <wps:cNvSpPr/>
                      <wps:spPr>
                        <a:xfrm>
                          <a:off x="0" y="0"/>
                          <a:ext cx="1322070" cy="383540"/>
                        </a:xfrm>
                        <a:custGeom>
                          <a:avLst/>
                          <a:gdLst/>
                          <a:ahLst/>
                          <a:cxnLst/>
                          <a:pathLst>
                            <a:path w="2082" h="604">
                              <a:moveTo>
                                <a:pt x="0" y="530"/>
                              </a:moveTo>
                              <a:lnTo>
                                <a:pt x="183" y="68"/>
                              </a:lnTo>
                              <a:lnTo>
                                <a:pt x="776" y="114"/>
                              </a:lnTo>
                              <a:lnTo>
                                <a:pt x="759" y="205"/>
                              </a:lnTo>
                              <a:lnTo>
                                <a:pt x="1027" y="199"/>
                              </a:lnTo>
                              <a:lnTo>
                                <a:pt x="1129" y="0"/>
                              </a:lnTo>
                              <a:lnTo>
                                <a:pt x="2082" y="28"/>
                              </a:lnTo>
                              <a:lnTo>
                                <a:pt x="2065" y="564"/>
                              </a:lnTo>
                              <a:lnTo>
                                <a:pt x="285" y="604"/>
                              </a:lnTo>
                              <a:lnTo>
                                <a:pt x="0" y="530"/>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5" o:spid="_x0000_s1026" o:spt="100" style="position:absolute;left:0pt;margin-left:217.5pt;margin-top:293.3pt;height:30.2pt;width:104.1pt;z-index:251673600;mso-width-relative:page;mso-height-relative:page;" filled="f" stroked="t" coordsize="2082,604" o:gfxdata="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FpJrCDbAAAACwEAAA8AAAAAAAAAAQAgAAAAIgAA&#10;AGRycy9kb3ducmV2LnhtbFBLAQIUABQAAAAIAIdO4kBquY2isAIAABEGAAAOAAAAAAAAAAEAIAAA&#10;ACoBAABkcnMvZTJvRG9jLnhtbFBLBQYAAAAABgAGAFkBAABMBgAAAAA=&#10;" path="m0,530l183,68,776,114,759,205,1027,199,1129,0,2082,28,2065,564,285,604,0,530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2576" behindDoc="0" locked="0" layoutInCell="1" allowOverlap="1">
                <wp:simplePos x="0" y="0"/>
                <wp:positionH relativeFrom="column">
                  <wp:posOffset>4457065</wp:posOffset>
                </wp:positionH>
                <wp:positionV relativeFrom="paragraph">
                  <wp:posOffset>2190750</wp:posOffset>
                </wp:positionV>
                <wp:extent cx="796925" cy="495935"/>
                <wp:effectExtent l="4445" t="4445" r="17780" b="13970"/>
                <wp:wrapNone/>
                <wp:docPr id="17" name="任意多边形 1084"/>
                <wp:cNvGraphicFramePr/>
                <a:graphic xmlns:a="http://schemas.openxmlformats.org/drawingml/2006/main">
                  <a:graphicData uri="http://schemas.microsoft.com/office/word/2010/wordprocessingShape">
                    <wps:wsp>
                      <wps:cNvSpPr/>
                      <wps:spPr>
                        <a:xfrm>
                          <a:off x="0" y="0"/>
                          <a:ext cx="796925" cy="495935"/>
                        </a:xfrm>
                        <a:custGeom>
                          <a:avLst/>
                          <a:gdLst/>
                          <a:ahLst/>
                          <a:cxnLst/>
                          <a:pathLst>
                            <a:path w="1255" h="781">
                              <a:moveTo>
                                <a:pt x="1255" y="165"/>
                              </a:moveTo>
                              <a:lnTo>
                                <a:pt x="770" y="80"/>
                              </a:lnTo>
                              <a:lnTo>
                                <a:pt x="747" y="11"/>
                              </a:lnTo>
                              <a:lnTo>
                                <a:pt x="576" y="0"/>
                              </a:lnTo>
                              <a:lnTo>
                                <a:pt x="593" y="154"/>
                              </a:lnTo>
                              <a:lnTo>
                                <a:pt x="114" y="177"/>
                              </a:lnTo>
                              <a:lnTo>
                                <a:pt x="0" y="405"/>
                              </a:lnTo>
                              <a:lnTo>
                                <a:pt x="97" y="547"/>
                              </a:lnTo>
                              <a:lnTo>
                                <a:pt x="280" y="559"/>
                              </a:lnTo>
                              <a:lnTo>
                                <a:pt x="474" y="513"/>
                              </a:lnTo>
                              <a:lnTo>
                                <a:pt x="405" y="519"/>
                              </a:lnTo>
                              <a:lnTo>
                                <a:pt x="531" y="570"/>
                              </a:lnTo>
                              <a:lnTo>
                                <a:pt x="764" y="547"/>
                              </a:lnTo>
                              <a:lnTo>
                                <a:pt x="833" y="667"/>
                              </a:lnTo>
                              <a:lnTo>
                                <a:pt x="1129" y="781"/>
                              </a:lnTo>
                              <a:lnTo>
                                <a:pt x="1255" y="165"/>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4" o:spid="_x0000_s1026" o:spt="100" style="position:absolute;left:0pt;margin-left:350.95pt;margin-top:172.5pt;height:39.05pt;width:62.75pt;z-index:251672576;mso-width-relative:page;mso-height-relative:page;" filled="f" stroked="t" coordsize="1255,781" o:gfxdata="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&#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Cm7/7zcAAAACwEAAA8AAAAAAAAAAQAgAAAAIgAAAGRy&#10;cy9kb3ducmV2LnhtbFBLAQIUABQAAAAIAIdO4kASlLEu5QIAAAAHAAAOAAAAAAAAAAEAIAAAACsB&#10;AABkcnMvZTJvRG9jLnhtbFBLBQYAAAAABgAGAFkBAACCBgAAAAA=&#10;" path="m1255,165l770,80,747,11,576,0,593,154,114,177,0,405,97,547,280,559,474,513,405,519,531,570,764,547,833,667,1129,781,1255,165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1552" behindDoc="0" locked="0" layoutInCell="1" allowOverlap="1">
                <wp:simplePos x="0" y="0"/>
                <wp:positionH relativeFrom="column">
                  <wp:posOffset>3512185</wp:posOffset>
                </wp:positionH>
                <wp:positionV relativeFrom="paragraph">
                  <wp:posOffset>1183640</wp:posOffset>
                </wp:positionV>
                <wp:extent cx="1021080" cy="851535"/>
                <wp:effectExtent l="4445" t="4445" r="22225" b="20320"/>
                <wp:wrapNone/>
                <wp:docPr id="16" name="任意多边形 1083"/>
                <wp:cNvGraphicFramePr/>
                <a:graphic xmlns:a="http://schemas.openxmlformats.org/drawingml/2006/main">
                  <a:graphicData uri="http://schemas.microsoft.com/office/word/2010/wordprocessingShape">
                    <wps:wsp>
                      <wps:cNvSpPr/>
                      <wps:spPr>
                        <a:xfrm>
                          <a:off x="0" y="0"/>
                          <a:ext cx="1021080" cy="851535"/>
                        </a:xfrm>
                        <a:custGeom>
                          <a:avLst/>
                          <a:gdLst/>
                          <a:ahLst/>
                          <a:cxnLst/>
                          <a:pathLst>
                            <a:path w="1608" h="1341">
                              <a:moveTo>
                                <a:pt x="125" y="0"/>
                              </a:moveTo>
                              <a:lnTo>
                                <a:pt x="102" y="303"/>
                              </a:lnTo>
                              <a:lnTo>
                                <a:pt x="22" y="291"/>
                              </a:lnTo>
                              <a:lnTo>
                                <a:pt x="0" y="685"/>
                              </a:lnTo>
                              <a:lnTo>
                                <a:pt x="102" y="941"/>
                              </a:lnTo>
                              <a:lnTo>
                                <a:pt x="273" y="998"/>
                              </a:lnTo>
                              <a:lnTo>
                                <a:pt x="553" y="1010"/>
                              </a:lnTo>
                              <a:lnTo>
                                <a:pt x="547" y="1181"/>
                              </a:lnTo>
                              <a:lnTo>
                                <a:pt x="656" y="1192"/>
                              </a:lnTo>
                              <a:lnTo>
                                <a:pt x="673" y="1244"/>
                              </a:lnTo>
                              <a:lnTo>
                                <a:pt x="1403" y="1341"/>
                              </a:lnTo>
                              <a:lnTo>
                                <a:pt x="1465" y="816"/>
                              </a:lnTo>
                              <a:lnTo>
                                <a:pt x="1346" y="554"/>
                              </a:lnTo>
                              <a:lnTo>
                                <a:pt x="1579" y="491"/>
                              </a:lnTo>
                              <a:lnTo>
                                <a:pt x="1608" y="132"/>
                              </a:lnTo>
                              <a:lnTo>
                                <a:pt x="125" y="0"/>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3" o:spid="_x0000_s1026" o:spt="100" style="position:absolute;left:0pt;margin-left:276.55pt;margin-top:93.2pt;height:67.05pt;width:80.4pt;z-index:251671552;mso-width-relative:page;mso-height-relative:page;" filled="f" stroked="t" coordsize="1608,1341" o:gfxdata="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Et8wUdoAAAALAQAADwAAAAAAAAABACAAAAAiAAAA&#10;ZHJzL2Rvd25yZXYueG1sUEsBAhQAFAAAAAgAh07iQAMs+z3pAgAACQcAAA4AAAAAAAAAAQAgAAAA&#10;KQEAAGRycy9lMm9Eb2MueG1sUEsFBgAAAAAGAAYAWQEAAIQGAAAAAA==&#10;" path="m125,0l102,303,22,291,0,685,102,941,273,998,553,1010,547,1181,656,1192,673,1244,1403,1341,1465,816,1346,554,1579,491,1608,132,125,0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1784350</wp:posOffset>
                </wp:positionH>
                <wp:positionV relativeFrom="paragraph">
                  <wp:posOffset>59690</wp:posOffset>
                </wp:positionV>
                <wp:extent cx="1521460" cy="1191260"/>
                <wp:effectExtent l="4445" t="4445" r="17145" b="23495"/>
                <wp:wrapNone/>
                <wp:docPr id="15" name="任意多边形 1082"/>
                <wp:cNvGraphicFramePr/>
                <a:graphic xmlns:a="http://schemas.openxmlformats.org/drawingml/2006/main">
                  <a:graphicData uri="http://schemas.microsoft.com/office/word/2010/wordprocessingShape">
                    <wps:wsp>
                      <wps:cNvSpPr/>
                      <wps:spPr>
                        <a:xfrm>
                          <a:off x="0" y="0"/>
                          <a:ext cx="1521460" cy="1191260"/>
                        </a:xfrm>
                        <a:custGeom>
                          <a:avLst/>
                          <a:gdLst/>
                          <a:ahLst/>
                          <a:cxnLst/>
                          <a:pathLst>
                            <a:path w="2396" h="1876">
                              <a:moveTo>
                                <a:pt x="69" y="0"/>
                              </a:moveTo>
                              <a:lnTo>
                                <a:pt x="0" y="878"/>
                              </a:lnTo>
                              <a:lnTo>
                                <a:pt x="251" y="1032"/>
                              </a:lnTo>
                              <a:lnTo>
                                <a:pt x="171" y="1426"/>
                              </a:lnTo>
                              <a:lnTo>
                                <a:pt x="622" y="1562"/>
                              </a:lnTo>
                              <a:lnTo>
                                <a:pt x="627" y="1369"/>
                              </a:lnTo>
                              <a:lnTo>
                                <a:pt x="867" y="1420"/>
                              </a:lnTo>
                              <a:lnTo>
                                <a:pt x="1209" y="1386"/>
                              </a:lnTo>
                              <a:lnTo>
                                <a:pt x="1432" y="1471"/>
                              </a:lnTo>
                              <a:lnTo>
                                <a:pt x="1415" y="1859"/>
                              </a:lnTo>
                              <a:lnTo>
                                <a:pt x="1494" y="1876"/>
                              </a:lnTo>
                              <a:lnTo>
                                <a:pt x="1677" y="1802"/>
                              </a:lnTo>
                              <a:lnTo>
                                <a:pt x="1762" y="1734"/>
                              </a:lnTo>
                              <a:lnTo>
                                <a:pt x="1780" y="1483"/>
                              </a:lnTo>
                              <a:lnTo>
                                <a:pt x="1506" y="1397"/>
                              </a:lnTo>
                              <a:lnTo>
                                <a:pt x="1506" y="1283"/>
                              </a:lnTo>
                              <a:lnTo>
                                <a:pt x="1865" y="1192"/>
                              </a:lnTo>
                              <a:lnTo>
                                <a:pt x="1865" y="1374"/>
                              </a:lnTo>
                              <a:lnTo>
                                <a:pt x="1939" y="1357"/>
                              </a:lnTo>
                              <a:lnTo>
                                <a:pt x="1951" y="1140"/>
                              </a:lnTo>
                              <a:lnTo>
                                <a:pt x="2390" y="1066"/>
                              </a:lnTo>
                              <a:lnTo>
                                <a:pt x="2396" y="998"/>
                              </a:lnTo>
                              <a:lnTo>
                                <a:pt x="2219" y="998"/>
                              </a:lnTo>
                              <a:lnTo>
                                <a:pt x="2190" y="730"/>
                              </a:lnTo>
                              <a:lnTo>
                                <a:pt x="2002" y="707"/>
                              </a:lnTo>
                              <a:lnTo>
                                <a:pt x="1905" y="547"/>
                              </a:lnTo>
                              <a:lnTo>
                                <a:pt x="1660" y="513"/>
                              </a:lnTo>
                              <a:lnTo>
                                <a:pt x="1660" y="410"/>
                              </a:lnTo>
                              <a:lnTo>
                                <a:pt x="1608" y="410"/>
                              </a:lnTo>
                              <a:lnTo>
                                <a:pt x="1705" y="5"/>
                              </a:lnTo>
                              <a:lnTo>
                                <a:pt x="69" y="0"/>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2" o:spid="_x0000_s1026" o:spt="100" style="position:absolute;left:0pt;margin-left:140.5pt;margin-top:4.7pt;height:93.8pt;width:119.8pt;z-index:251670528;mso-width-relative:page;mso-height-relative:page;" filled="f" stroked="t" coordsize="2396,1876" o:gfxdata="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DHbSbp2QAAAAkBAAAPAAAAAAAAAAEAIAAA&#10;ACIAAABkcnMvZG93bnJldi54bWxQSwECFAAUAAAACACHTuJAKI2vwmEDAAB/CQAADgAAAAAAAAAB&#10;ACAAAAAoAQAAZHJzL2Uyb0RvYy54bWxQSwUGAAAAAAYABgBZAQAA+wYAAAAA&#10;" path="m69,0l0,878,251,1032,171,1426,622,1562,627,1369,867,1420,1209,1386,1432,1471,1415,1859,1494,1876,1677,1802,1762,1734,1780,1483,1506,1397,1506,1283,1865,1192,1865,1374,1939,1357,1951,1140,2390,1066,2396,998,2219,998,2190,730,2002,707,1905,547,1660,513,1660,410,1608,410,1705,5,69,0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69504" behindDoc="0" locked="0" layoutInCell="1" allowOverlap="1">
                <wp:simplePos x="0" y="0"/>
                <wp:positionH relativeFrom="column">
                  <wp:posOffset>908050</wp:posOffset>
                </wp:positionH>
                <wp:positionV relativeFrom="paragraph">
                  <wp:posOffset>454025</wp:posOffset>
                </wp:positionV>
                <wp:extent cx="876300" cy="572770"/>
                <wp:effectExtent l="4445" t="4445" r="14605" b="13335"/>
                <wp:wrapNone/>
                <wp:docPr id="14" name="任意多边形 1081"/>
                <wp:cNvGraphicFramePr/>
                <a:graphic xmlns:a="http://schemas.openxmlformats.org/drawingml/2006/main">
                  <a:graphicData uri="http://schemas.microsoft.com/office/word/2010/wordprocessingShape">
                    <wps:wsp>
                      <wps:cNvSpPr/>
                      <wps:spPr>
                        <a:xfrm>
                          <a:off x="0" y="0"/>
                          <a:ext cx="876300" cy="572770"/>
                        </a:xfrm>
                        <a:custGeom>
                          <a:avLst/>
                          <a:gdLst/>
                          <a:ahLst/>
                          <a:cxnLst/>
                          <a:pathLst>
                            <a:path w="1380" h="902">
                              <a:moveTo>
                                <a:pt x="0" y="0"/>
                              </a:moveTo>
                              <a:lnTo>
                                <a:pt x="547" y="57"/>
                              </a:lnTo>
                              <a:lnTo>
                                <a:pt x="547" y="246"/>
                              </a:lnTo>
                              <a:lnTo>
                                <a:pt x="667" y="274"/>
                              </a:lnTo>
                              <a:lnTo>
                                <a:pt x="656" y="383"/>
                              </a:lnTo>
                              <a:lnTo>
                                <a:pt x="815" y="388"/>
                              </a:lnTo>
                              <a:lnTo>
                                <a:pt x="815" y="234"/>
                              </a:lnTo>
                              <a:lnTo>
                                <a:pt x="964" y="183"/>
                              </a:lnTo>
                              <a:lnTo>
                                <a:pt x="1180" y="200"/>
                              </a:lnTo>
                              <a:lnTo>
                                <a:pt x="1175" y="331"/>
                              </a:lnTo>
                              <a:lnTo>
                                <a:pt x="1329" y="377"/>
                              </a:lnTo>
                              <a:lnTo>
                                <a:pt x="1283" y="457"/>
                              </a:lnTo>
                              <a:lnTo>
                                <a:pt x="1380" y="485"/>
                              </a:lnTo>
                              <a:lnTo>
                                <a:pt x="1352" y="605"/>
                              </a:lnTo>
                              <a:lnTo>
                                <a:pt x="1243" y="565"/>
                              </a:lnTo>
                              <a:lnTo>
                                <a:pt x="1346" y="599"/>
                              </a:lnTo>
                              <a:lnTo>
                                <a:pt x="1283" y="845"/>
                              </a:lnTo>
                              <a:lnTo>
                                <a:pt x="707" y="799"/>
                              </a:lnTo>
                              <a:lnTo>
                                <a:pt x="673" y="902"/>
                              </a:lnTo>
                              <a:lnTo>
                                <a:pt x="291" y="816"/>
                              </a:lnTo>
                              <a:lnTo>
                                <a:pt x="365" y="616"/>
                              </a:lnTo>
                              <a:lnTo>
                                <a:pt x="314" y="525"/>
                              </a:lnTo>
                              <a:lnTo>
                                <a:pt x="353" y="337"/>
                              </a:lnTo>
                              <a:lnTo>
                                <a:pt x="28" y="268"/>
                              </a:lnTo>
                              <a:lnTo>
                                <a:pt x="0" y="0"/>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1" o:spid="_x0000_s1026" o:spt="100" style="position:absolute;left:0pt;margin-left:71.5pt;margin-top:35.75pt;height:45.1pt;width:69pt;z-index:251669504;mso-width-relative:page;mso-height-relative:page;" filled="f" stroked="t" coordsize="1380,902" o:gfxdata="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NLTvWHXAAAACgEAAA8AAAAAAAAAAQAgAAAAIgAAAGRycy9kb3ducmV2Lnht&#10;bFBLAQIUABQAAAAIAIdO4kCE/qn7FwMAAGsIAAAOAAAAAAAAAAEAIAAAACYBAABkcnMvZTJvRG9j&#10;LnhtbFBLBQYAAAAABgAGAFkBAACvBgAAAAA=&#10;" path="m0,0l547,57,547,246,667,274,656,383,815,388,815,234,964,183,1180,200,1175,331,1329,377,1283,457,1380,485,1352,605,1243,565,1346,599,1283,845,707,799,673,902,291,816,365,616,314,525,353,337,28,268,0,0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68480" behindDoc="0" locked="0" layoutInCell="1" allowOverlap="1">
                <wp:simplePos x="0" y="0"/>
                <wp:positionH relativeFrom="column">
                  <wp:posOffset>165735</wp:posOffset>
                </wp:positionH>
                <wp:positionV relativeFrom="paragraph">
                  <wp:posOffset>2235200</wp:posOffset>
                </wp:positionV>
                <wp:extent cx="1263650" cy="746125"/>
                <wp:effectExtent l="4445" t="4445" r="8255" b="11430"/>
                <wp:wrapNone/>
                <wp:docPr id="13" name="任意多边形 1080"/>
                <wp:cNvGraphicFramePr/>
                <a:graphic xmlns:a="http://schemas.openxmlformats.org/drawingml/2006/main">
                  <a:graphicData uri="http://schemas.microsoft.com/office/word/2010/wordprocessingShape">
                    <wps:wsp>
                      <wps:cNvSpPr/>
                      <wps:spPr>
                        <a:xfrm>
                          <a:off x="0" y="0"/>
                          <a:ext cx="1263650" cy="746125"/>
                        </a:xfrm>
                        <a:custGeom>
                          <a:avLst/>
                          <a:gdLst/>
                          <a:ahLst/>
                          <a:cxnLst/>
                          <a:pathLst>
                            <a:path w="1990" h="1175">
                              <a:moveTo>
                                <a:pt x="496" y="0"/>
                              </a:moveTo>
                              <a:lnTo>
                                <a:pt x="1038" y="11"/>
                              </a:lnTo>
                              <a:lnTo>
                                <a:pt x="1055" y="68"/>
                              </a:lnTo>
                              <a:lnTo>
                                <a:pt x="1340" y="97"/>
                              </a:lnTo>
                              <a:lnTo>
                                <a:pt x="1391" y="376"/>
                              </a:lnTo>
                              <a:lnTo>
                                <a:pt x="1842" y="393"/>
                              </a:lnTo>
                              <a:lnTo>
                                <a:pt x="1859" y="958"/>
                              </a:lnTo>
                              <a:lnTo>
                                <a:pt x="1990" y="952"/>
                              </a:lnTo>
                              <a:lnTo>
                                <a:pt x="1984" y="1055"/>
                              </a:lnTo>
                              <a:lnTo>
                                <a:pt x="1870" y="1055"/>
                              </a:lnTo>
                              <a:lnTo>
                                <a:pt x="1922" y="1175"/>
                              </a:lnTo>
                              <a:lnTo>
                                <a:pt x="40" y="1112"/>
                              </a:lnTo>
                              <a:lnTo>
                                <a:pt x="0" y="890"/>
                              </a:lnTo>
                              <a:lnTo>
                                <a:pt x="382" y="895"/>
                              </a:lnTo>
                              <a:lnTo>
                                <a:pt x="365" y="838"/>
                              </a:lnTo>
                              <a:lnTo>
                                <a:pt x="496" y="0"/>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80" o:spid="_x0000_s1026" o:spt="100" style="position:absolute;left:0pt;margin-left:13.05pt;margin-top:176pt;height:58.75pt;width:99.5pt;z-index:251668480;mso-width-relative:page;mso-height-relative:page;" filled="f" stroked="t" coordsize="1990,1175" o:gfxdata="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MhIzuNoAAAAKAQAADwAAAAAAAAABACAAAAAiAAAAZHJzL2Rv&#10;d25yZXYueG1sUEsBAhQAFAAAAAgAh07iQF4BB8TjAgAACgcAAA4AAAAAAAAAAQAgAAAAKQEAAGRy&#10;cy9lMm9Eb2MueG1sUEsFBgAAAAAGAAYAWQEAAH4GAAAAAA==&#10;" path="m496,0l1038,11,1055,68,1340,97,1391,376,1842,393,1859,958,1990,952,1984,1055,1870,1055,1922,1175,40,1112,0,890,382,895,365,838,496,0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67456" behindDoc="0" locked="0" layoutInCell="1" allowOverlap="1">
                <wp:simplePos x="0" y="0"/>
                <wp:positionH relativeFrom="column">
                  <wp:posOffset>143510</wp:posOffset>
                </wp:positionH>
                <wp:positionV relativeFrom="paragraph">
                  <wp:posOffset>1789430</wp:posOffset>
                </wp:positionV>
                <wp:extent cx="992505" cy="449580"/>
                <wp:effectExtent l="4445" t="4445" r="12700" b="22225"/>
                <wp:wrapNone/>
                <wp:docPr id="12" name="任意多边形 1079"/>
                <wp:cNvGraphicFramePr/>
                <a:graphic xmlns:a="http://schemas.openxmlformats.org/drawingml/2006/main">
                  <a:graphicData uri="http://schemas.microsoft.com/office/word/2010/wordprocessingShape">
                    <wps:wsp>
                      <wps:cNvSpPr/>
                      <wps:spPr>
                        <a:xfrm>
                          <a:off x="0" y="0"/>
                          <a:ext cx="992505" cy="449580"/>
                        </a:xfrm>
                        <a:custGeom>
                          <a:avLst/>
                          <a:gdLst/>
                          <a:ahLst/>
                          <a:cxnLst/>
                          <a:pathLst>
                            <a:path w="1563" h="708">
                              <a:moveTo>
                                <a:pt x="160" y="109"/>
                              </a:moveTo>
                              <a:lnTo>
                                <a:pt x="354" y="0"/>
                              </a:lnTo>
                              <a:lnTo>
                                <a:pt x="1261" y="80"/>
                              </a:lnTo>
                              <a:lnTo>
                                <a:pt x="1563" y="263"/>
                              </a:lnTo>
                              <a:lnTo>
                                <a:pt x="1432" y="308"/>
                              </a:lnTo>
                              <a:lnTo>
                                <a:pt x="1398" y="708"/>
                              </a:lnTo>
                              <a:lnTo>
                                <a:pt x="1056" y="662"/>
                              </a:lnTo>
                              <a:lnTo>
                                <a:pt x="987" y="548"/>
                              </a:lnTo>
                              <a:lnTo>
                                <a:pt x="554" y="542"/>
                              </a:lnTo>
                              <a:lnTo>
                                <a:pt x="377" y="633"/>
                              </a:lnTo>
                              <a:lnTo>
                                <a:pt x="320" y="502"/>
                              </a:lnTo>
                              <a:lnTo>
                                <a:pt x="194" y="548"/>
                              </a:lnTo>
                              <a:lnTo>
                                <a:pt x="160" y="360"/>
                              </a:lnTo>
                              <a:lnTo>
                                <a:pt x="0" y="360"/>
                              </a:lnTo>
                              <a:lnTo>
                                <a:pt x="23" y="217"/>
                              </a:lnTo>
                              <a:lnTo>
                                <a:pt x="160" y="109"/>
                              </a:lnTo>
                              <a:close/>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079" o:spid="_x0000_s1026" o:spt="100" style="position:absolute;left:0pt;margin-left:11.3pt;margin-top:140.9pt;height:35.4pt;width:78.15pt;z-index:251667456;mso-width-relative:page;mso-height-relative:page;" filled="f" stroked="t" coordsize="1563,708" o:gfxdata="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E8DnRXaAAAACgEAAA8AAAAAAAAAAQAgAAAAIgAAAGRycy9kb3du&#10;cmV2LnhtbFBLAQIUABQAAAAIAIdO4kCFLqaD4QIAAAMHAAAOAAAAAAAAAAEAIAAAACkBAABkcnMv&#10;ZTJvRG9jLnhtbFBLBQYAAAAABgAGAFkBAAB8BgAAAAA=&#10;" path="m160,109l354,0,1261,80,1563,263,1432,308,1398,708,1056,662,987,548,554,542,377,633,320,502,194,548,160,360,0,360,23,217,160,109xe">
                <v:fill on="f" focussize="0,0"/>
                <v:stroke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66432" behindDoc="0" locked="0" layoutInCell="1" allowOverlap="1">
                <wp:simplePos x="0" y="0"/>
                <wp:positionH relativeFrom="column">
                  <wp:posOffset>3041015</wp:posOffset>
                </wp:positionH>
                <wp:positionV relativeFrom="paragraph">
                  <wp:posOffset>1992630</wp:posOffset>
                </wp:positionV>
                <wp:extent cx="163195" cy="173990"/>
                <wp:effectExtent l="4445" t="4445" r="22860" b="12065"/>
                <wp:wrapNone/>
                <wp:docPr id="11" name="任意多边形 1078"/>
                <wp:cNvGraphicFramePr/>
                <a:graphic xmlns:a="http://schemas.openxmlformats.org/drawingml/2006/main">
                  <a:graphicData uri="http://schemas.microsoft.com/office/word/2010/wordprocessingShape">
                    <wps:wsp>
                      <wps:cNvSpPr/>
                      <wps:spPr>
                        <a:xfrm>
                          <a:off x="0" y="0"/>
                          <a:ext cx="163195" cy="173990"/>
                        </a:xfrm>
                        <a:custGeom>
                          <a:avLst/>
                          <a:gdLst/>
                          <a:ahLst/>
                          <a:cxnLst/>
                          <a:pathLst>
                            <a:path w="257" h="274">
                              <a:moveTo>
                                <a:pt x="6" y="0"/>
                              </a:moveTo>
                              <a:lnTo>
                                <a:pt x="0" y="274"/>
                              </a:lnTo>
                              <a:lnTo>
                                <a:pt x="166" y="245"/>
                              </a:lnTo>
                              <a:lnTo>
                                <a:pt x="257" y="40"/>
                              </a:lnTo>
                              <a:lnTo>
                                <a:pt x="6" y="0"/>
                              </a:lnTo>
                              <a:close/>
                            </a:path>
                          </a:pathLst>
                        </a:custGeom>
                        <a:noFill/>
                        <a:ln w="9525" cap="flat" cmpd="sng">
                          <a:solidFill>
                            <a:srgbClr val="FF0000"/>
                          </a:solidFill>
                          <a:prstDash val="solid"/>
                          <a:headEnd type="none" w="med" len="med"/>
                          <a:tailEnd type="none" w="med" len="med"/>
                        </a:ln>
                      </wps:spPr>
                      <wps:bodyPr vert="horz" wrap="square" anchor="t" anchorCtr="0" upright="1"/>
                    </wps:wsp>
                  </a:graphicData>
                </a:graphic>
              </wp:anchor>
            </w:drawing>
          </mc:Choice>
          <mc:Fallback>
            <w:pict>
              <v:shape id="任意多边形 1078" o:spid="_x0000_s1026" o:spt="100" style="position:absolute;left:0pt;margin-left:239.45pt;margin-top:156.9pt;height:13.7pt;width:12.85pt;z-index:251666432;mso-width-relative:page;mso-height-relative:page;" filled="f" stroked="t" coordsize="257,274" o:gfxdata="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uK9Q32gAAAAsBAAAPAAAAAAAAAAEA&#10;IAAAACIAAABkcnMvZG93bnJldi54bWxQSwECFAAUAAAACACHTuJAdDqMAX8CAABABQAADgAAAAAA&#10;AAABACAAAAApAQAAZHJzL2Uyb0RvYy54bWxQSwUGAAAAAAYABgBZAQAAGgYAAAAA&#10;" path="m6,0l0,274,166,245,257,40,6,0xe">
                <v:fill on="f" focussize="0,0"/>
                <v:stroke color="#FF0000" joinstyle="round"/>
                <v:imagedata o:title=""/>
                <o:lock v:ext="edit" aspectratio="f"/>
              </v:shape>
            </w:pict>
          </mc:Fallback>
        </mc:AlternateContent>
      </w:r>
      <w:r>
        <w:rPr>
          <w:rFonts w:hint="default" w:ascii="Times New Roman" w:hAnsi="Times New Roman" w:eastAsia="宋体" w:cs="Times New Roman"/>
        </w:rPr>
        <w:drawing>
          <wp:inline distT="0" distB="0" distL="114300" distR="114300">
            <wp:extent cx="5267960" cy="4051935"/>
            <wp:effectExtent l="9525" t="9525" r="18415" b="15240"/>
            <wp:docPr id="5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0"/>
                    <pic:cNvPicPr>
                      <a:picLocks noChangeAspect="1"/>
                    </pic:cNvPicPr>
                  </pic:nvPicPr>
                  <pic:blipFill>
                    <a:blip r:embed="rId16"/>
                    <a:stretch>
                      <a:fillRect/>
                    </a:stretch>
                  </pic:blipFill>
                  <pic:spPr>
                    <a:xfrm>
                      <a:off x="0" y="0"/>
                      <a:ext cx="5267960" cy="4051935"/>
                    </a:xfrm>
                    <a:prstGeom prst="rect">
                      <a:avLst/>
                    </a:prstGeom>
                    <a:noFill/>
                    <a:ln>
                      <a:solidFill>
                        <a:schemeClr val="tx1"/>
                      </a:solidFill>
                    </a:ln>
                  </pic:spPr>
                </pic:pic>
              </a:graphicData>
            </a:graphic>
          </wp:inline>
        </w:drawing>
      </w:r>
    </w:p>
    <w:p>
      <w:pPr>
        <w:pStyle w:val="3"/>
        <w:keepNext w:val="0"/>
        <w:keepLines w:val="0"/>
        <w:pageBreakBefore w:val="0"/>
        <w:widowControl w:val="0"/>
        <w:kinsoku/>
        <w:wordWrap/>
        <w:overflowPunct/>
        <w:topLinePunct w:val="0"/>
        <w:autoSpaceDE/>
        <w:autoSpaceDN/>
        <w:bidi w:val="0"/>
        <w:adjustRightInd/>
        <w:snapToGrid/>
        <w:spacing w:after="0" w:line="360" w:lineRule="auto"/>
        <w:ind w:left="0"/>
        <w:jc w:val="center"/>
        <w:textAlignment w:val="auto"/>
        <w:rPr>
          <w:rFonts w:hint="default" w:ascii="Times New Roman" w:hAnsi="Times New Roman" w:eastAsia="宋体" w:cs="Times New Roman"/>
          <w:b/>
          <w:sz w:val="24"/>
          <w:szCs w:val="24"/>
          <w:lang w:eastAsia="zh-CN"/>
        </w:rPr>
      </w:pPr>
      <w:r>
        <w:rPr>
          <w:rFonts w:hint="default" w:ascii="Times New Roman" w:hAnsi="Times New Roman" w:eastAsia="宋体" w:cs="Times New Roman"/>
          <w:b/>
          <w:sz w:val="24"/>
          <w:szCs w:val="24"/>
        </w:rPr>
        <w:t>图3-3  项目周边敏感目标分布图</w:t>
      </w:r>
      <w:r>
        <w:rPr>
          <w:rFonts w:hint="default" w:ascii="Times New Roman" w:hAnsi="Times New Roman" w:eastAsia="宋体" w:cs="Times New Roman"/>
          <w:b/>
          <w:sz w:val="24"/>
          <w:szCs w:val="24"/>
          <w:lang w:eastAsia="zh-CN"/>
        </w:rPr>
        <w:t>（</w:t>
      </w:r>
      <w:r>
        <w:rPr>
          <w:rFonts w:hint="default" w:ascii="Times New Roman" w:hAnsi="Times New Roman" w:eastAsia="宋体" w:cs="Times New Roman"/>
          <w:b/>
          <w:sz w:val="24"/>
          <w:szCs w:val="24"/>
          <w:lang w:val="en-US" w:eastAsia="zh-CN"/>
        </w:rPr>
        <w:t>1:20000</w:t>
      </w:r>
      <w:r>
        <w:rPr>
          <w:rFonts w:hint="default" w:ascii="Times New Roman" w:hAnsi="Times New Roman" w:eastAsia="宋体" w:cs="Times New Roman"/>
          <w:b/>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该项目环境保护目标与环评阶段相比无变化。</w:t>
      </w:r>
      <w:r>
        <w:rPr>
          <w:rFonts w:hint="default" w:ascii="Times New Roman" w:hAnsi="Times New Roman" w:eastAsia="宋体" w:cs="Times New Roman"/>
          <w:sz w:val="24"/>
          <w:szCs w:val="24"/>
          <w:highlight w:val="none"/>
        </w:rPr>
        <w:t>根据《</w:t>
      </w:r>
      <w:r>
        <w:rPr>
          <w:rFonts w:hint="default" w:ascii="Times New Roman" w:hAnsi="Times New Roman" w:eastAsia="宋体" w:cs="Times New Roman"/>
          <w:color w:val="000000"/>
          <w:sz w:val="24"/>
          <w:szCs w:val="24"/>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4"/>
          <w:highlight w:val="none"/>
        </w:rPr>
        <w:t>环境影响报告表》可知，</w:t>
      </w:r>
      <w:r>
        <w:rPr>
          <w:rFonts w:hint="default" w:ascii="Times New Roman" w:hAnsi="Times New Roman" w:eastAsia="宋体" w:cs="Times New Roman"/>
          <w:color w:val="000000"/>
          <w:sz w:val="24"/>
          <w:szCs w:val="24"/>
          <w:highlight w:val="none"/>
        </w:rPr>
        <w:t>该项目无需设置大气环境防护距离</w:t>
      </w:r>
      <w:r>
        <w:rPr>
          <w:rFonts w:hint="default" w:ascii="Times New Roman" w:hAnsi="Times New Roman" w:eastAsia="宋体" w:cs="Times New Roman"/>
          <w:kern w:val="0"/>
          <w:sz w:val="24"/>
          <w:szCs w:val="24"/>
          <w:highlight w:val="none"/>
        </w:rPr>
        <w:t>。</w:t>
      </w:r>
    </w:p>
    <w:p>
      <w:pPr>
        <w:pStyle w:val="47"/>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outlineLvl w:val="1"/>
        <w:rPr>
          <w:rFonts w:hint="default" w:ascii="Times New Roman" w:hAnsi="Times New Roman" w:eastAsia="宋体" w:cs="Times New Roman"/>
          <w:b/>
          <w:sz w:val="28"/>
          <w:szCs w:val="32"/>
        </w:rPr>
      </w:pPr>
      <w:bookmarkStart w:id="22" w:name="_Toc24624"/>
      <w:r>
        <w:rPr>
          <w:rFonts w:hint="default" w:ascii="Times New Roman" w:hAnsi="Times New Roman" w:eastAsia="宋体" w:cs="Times New Roman"/>
          <w:b/>
          <w:sz w:val="28"/>
          <w:szCs w:val="32"/>
        </w:rPr>
        <w:t>3.2建设内容</w:t>
      </w:r>
      <w:bookmarkEnd w:id="2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rPr>
        <w:t>项目名称：</w:t>
      </w:r>
      <w:r>
        <w:rPr>
          <w:rFonts w:hint="default" w:ascii="Times New Roman" w:hAnsi="Times New Roman" w:eastAsia="宋体" w:cs="Times New Roman"/>
          <w:color w:val="000000"/>
          <w:sz w:val="24"/>
          <w:szCs w:val="28"/>
          <w:highlight w:val="none"/>
          <w:lang w:val="en-US" w:eastAsia="zh-CN"/>
        </w:rPr>
        <w:t>中国石化销售股份有限公司山东菏泽石油分公司成武六一七加油站新建项目</w:t>
      </w:r>
      <w:r>
        <w:rPr>
          <w:rFonts w:hint="default" w:ascii="Times New Roman" w:hAnsi="Times New Roman" w:eastAsia="宋体" w:cs="Times New Roman"/>
          <w:sz w:val="24"/>
          <w:szCs w:val="28"/>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生产规模：</w:t>
      </w:r>
      <w:r>
        <w:rPr>
          <w:rFonts w:hint="default" w:ascii="Times New Roman" w:hAnsi="Times New Roman" w:eastAsia="宋体" w:cs="Times New Roman"/>
          <w:kern w:val="0"/>
          <w:sz w:val="24"/>
          <w:szCs w:val="24"/>
        </w:rPr>
        <w:t>项目总投资</w:t>
      </w:r>
      <w:r>
        <w:rPr>
          <w:rFonts w:hint="default" w:ascii="Times New Roman" w:hAnsi="Times New Roman" w:eastAsia="宋体" w:cs="Times New Roman"/>
          <w:kern w:val="0"/>
          <w:sz w:val="24"/>
          <w:szCs w:val="24"/>
          <w:lang w:val="en-US" w:eastAsia="zh-CN"/>
        </w:rPr>
        <w:t>1451</w:t>
      </w:r>
      <w:r>
        <w:rPr>
          <w:rFonts w:hint="default" w:ascii="Times New Roman" w:hAnsi="Times New Roman" w:eastAsia="宋体" w:cs="Times New Roman"/>
          <w:kern w:val="0"/>
          <w:sz w:val="24"/>
          <w:szCs w:val="24"/>
          <w:lang w:eastAsia="zh-CN"/>
        </w:rPr>
        <w:t>万</w:t>
      </w:r>
      <w:r>
        <w:rPr>
          <w:rFonts w:hint="default" w:ascii="Times New Roman" w:hAnsi="Times New Roman" w:eastAsia="宋体" w:cs="Times New Roman"/>
          <w:kern w:val="0"/>
          <w:sz w:val="24"/>
          <w:szCs w:val="24"/>
        </w:rPr>
        <w:t>元，可实现</w:t>
      </w:r>
      <w:r>
        <w:rPr>
          <w:rFonts w:hint="default" w:ascii="Times New Roman" w:hAnsi="Times New Roman" w:eastAsia="宋体" w:cs="Times New Roman"/>
          <w:sz w:val="24"/>
          <w:szCs w:val="28"/>
          <w:lang w:val="en-US" w:eastAsia="zh-CN"/>
        </w:rPr>
        <w:t>年周转汽油1600t，柴油1000t</w:t>
      </w:r>
      <w:r>
        <w:rPr>
          <w:rFonts w:hint="default" w:ascii="Times New Roman" w:hAnsi="Times New Roman" w:eastAsia="宋体" w:cs="Times New Roman"/>
          <w:kern w:val="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建设地点：</w:t>
      </w:r>
      <w:r>
        <w:rPr>
          <w:rFonts w:hint="default" w:ascii="Times New Roman" w:hAnsi="Times New Roman" w:eastAsia="宋体" w:cs="Times New Roman"/>
          <w:sz w:val="24"/>
          <w:lang w:eastAsia="zh-CN"/>
        </w:rPr>
        <w:t>山东省</w:t>
      </w:r>
      <w:r>
        <w:rPr>
          <w:rFonts w:hint="default" w:ascii="Times New Roman" w:hAnsi="Times New Roman" w:eastAsia="宋体" w:cs="Times New Roman"/>
          <w:sz w:val="24"/>
        </w:rPr>
        <w:t>菏泽市成武县</w:t>
      </w:r>
      <w:r>
        <w:rPr>
          <w:rFonts w:hint="default" w:ascii="Times New Roman" w:hAnsi="Times New Roman" w:eastAsia="宋体" w:cs="Times New Roman"/>
          <w:sz w:val="24"/>
          <w:lang w:eastAsia="zh-CN"/>
        </w:rPr>
        <w:t>伯乐集镇康楼村。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劳动定员及工作制度：本项目劳动定员6人，均不在站区住宿，休息室只用于临时休息，营业时间为 00:00~24:00，年工作365天，实行三班工作制，每班8小时。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项目投资：</w:t>
      </w:r>
      <w:r>
        <w:rPr>
          <w:rFonts w:hint="default" w:ascii="Times New Roman" w:hAnsi="Times New Roman" w:eastAsia="宋体" w:cs="Times New Roman"/>
          <w:sz w:val="24"/>
          <w:szCs w:val="28"/>
        </w:rPr>
        <w:t>项目</w:t>
      </w:r>
      <w:r>
        <w:rPr>
          <w:rFonts w:hint="default" w:ascii="Times New Roman" w:hAnsi="Times New Roman" w:eastAsia="宋体" w:cs="Times New Roman"/>
          <w:sz w:val="24"/>
          <w:szCs w:val="28"/>
          <w:lang w:val="en-US" w:eastAsia="zh-CN"/>
        </w:rPr>
        <w:t>实际</w:t>
      </w:r>
      <w:r>
        <w:rPr>
          <w:rFonts w:hint="default" w:ascii="Times New Roman" w:hAnsi="Times New Roman" w:eastAsia="宋体" w:cs="Times New Roman"/>
          <w:sz w:val="24"/>
          <w:szCs w:val="28"/>
        </w:rPr>
        <w:t>总投资</w:t>
      </w:r>
      <w:r>
        <w:rPr>
          <w:rFonts w:hint="default" w:ascii="Times New Roman" w:hAnsi="Times New Roman" w:eastAsia="宋体" w:cs="Times New Roman"/>
          <w:sz w:val="24"/>
          <w:szCs w:val="28"/>
          <w:lang w:val="en-US" w:eastAsia="zh-CN"/>
        </w:rPr>
        <w:t>1451</w:t>
      </w:r>
      <w:r>
        <w:rPr>
          <w:rFonts w:hint="default" w:ascii="Times New Roman" w:hAnsi="Times New Roman" w:eastAsia="宋体" w:cs="Times New Roman"/>
          <w:sz w:val="24"/>
          <w:szCs w:val="28"/>
          <w:lang w:eastAsia="zh-CN"/>
        </w:rPr>
        <w:t>万</w:t>
      </w:r>
      <w:r>
        <w:rPr>
          <w:rFonts w:hint="default" w:ascii="Times New Roman" w:hAnsi="Times New Roman" w:eastAsia="宋体" w:cs="Times New Roman"/>
          <w:sz w:val="24"/>
          <w:szCs w:val="28"/>
        </w:rPr>
        <w:t>元，其中环保投资</w:t>
      </w:r>
      <w:r>
        <w:rPr>
          <w:rFonts w:hint="default" w:ascii="Times New Roman" w:hAnsi="Times New Roman" w:eastAsia="宋体" w:cs="Times New Roman"/>
          <w:sz w:val="24"/>
          <w:szCs w:val="28"/>
          <w:lang w:val="en-US" w:eastAsia="zh-CN"/>
        </w:rPr>
        <w:t>15</w:t>
      </w:r>
      <w:r>
        <w:rPr>
          <w:rFonts w:hint="default" w:ascii="Times New Roman" w:hAnsi="Times New Roman" w:eastAsia="宋体" w:cs="Times New Roman"/>
          <w:sz w:val="24"/>
          <w:szCs w:val="28"/>
          <w:lang w:eastAsia="zh-CN"/>
        </w:rPr>
        <w:t>万</w:t>
      </w:r>
      <w:r>
        <w:rPr>
          <w:rFonts w:hint="default" w:ascii="Times New Roman" w:hAnsi="Times New Roman" w:eastAsia="宋体" w:cs="Times New Roman"/>
          <w:sz w:val="24"/>
          <w:szCs w:val="28"/>
        </w:rPr>
        <w:t>元</w:t>
      </w:r>
      <w:r>
        <w:rPr>
          <w:rFonts w:hint="default" w:ascii="Times New Roman" w:hAnsi="Times New Roman" w:eastAsia="宋体" w:cs="Times New Roman"/>
          <w:sz w:val="24"/>
        </w:rPr>
        <w:t>，占总投资的</w:t>
      </w:r>
      <w:r>
        <w:rPr>
          <w:rFonts w:hint="default" w:ascii="Times New Roman" w:hAnsi="Times New Roman" w:eastAsia="宋体" w:cs="Times New Roman"/>
          <w:sz w:val="24"/>
          <w:lang w:val="en-US" w:eastAsia="zh-CN"/>
        </w:rPr>
        <w:t>1.03</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rPr>
        <w:t>该</w:t>
      </w:r>
      <w:r>
        <w:rPr>
          <w:rFonts w:hint="default" w:ascii="Times New Roman" w:hAnsi="Times New Roman" w:eastAsia="宋体" w:cs="Times New Roman"/>
          <w:sz w:val="24"/>
          <w:szCs w:val="24"/>
        </w:rPr>
        <w:t>项目主要包括主体工程、供辅工程、环保工程。项目组成见表3-2。</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yellow"/>
        </w:rPr>
      </w:pPr>
      <w:r>
        <w:rPr>
          <w:rFonts w:hint="default" w:ascii="Times New Roman" w:hAnsi="Times New Roman" w:eastAsia="宋体" w:cs="Times New Roman"/>
          <w:b/>
          <w:sz w:val="24"/>
          <w:szCs w:val="24"/>
        </w:rPr>
        <w:t xml:space="preserve">表3-2 </w:t>
      </w:r>
      <w:r>
        <w:rPr>
          <w:rFonts w:hint="default" w:ascii="Times New Roman" w:hAnsi="Times New Roman" w:eastAsia="宋体" w:cs="Times New Roman"/>
          <w:b/>
          <w:sz w:val="24"/>
          <w:szCs w:val="24"/>
          <w:highlight w:val="none"/>
        </w:rPr>
        <w:t xml:space="preserve"> 项目组成一览表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469"/>
        <w:gridCol w:w="6178"/>
        <w:gridCol w:w="1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25" w:type="pct"/>
            <w:noWrap w:val="0"/>
            <w:vAlign w:val="center"/>
          </w:tcPr>
          <w:p>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工程类别</w:t>
            </w:r>
          </w:p>
        </w:tc>
        <w:tc>
          <w:tcPr>
            <w:tcW w:w="275" w:type="pct"/>
            <w:noWrap w:val="0"/>
            <w:vAlign w:val="center"/>
          </w:tcPr>
          <w:p>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工程名称</w:t>
            </w:r>
          </w:p>
        </w:tc>
        <w:tc>
          <w:tcPr>
            <w:tcW w:w="3625" w:type="pct"/>
            <w:noWrap w:val="0"/>
            <w:vAlign w:val="center"/>
          </w:tcPr>
          <w:p>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建设内容</w:t>
            </w:r>
          </w:p>
        </w:tc>
        <w:tc>
          <w:tcPr>
            <w:tcW w:w="773" w:type="pct"/>
            <w:noWrap w:val="0"/>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325"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主体工程</w:t>
            </w: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Style w:val="68"/>
                <w:rFonts w:hint="default" w:ascii="Times New Roman" w:hAnsi="Times New Roman" w:eastAsia="宋体" w:cs="Times New Roman"/>
                <w:b w:val="0"/>
                <w:i w:val="0"/>
                <w:color w:val="auto"/>
                <w:sz w:val="21"/>
                <w:lang w:eastAsia="zh-CN"/>
              </w:rPr>
              <w:t>储</w:t>
            </w:r>
            <w:r>
              <w:rPr>
                <w:rStyle w:val="68"/>
                <w:rFonts w:hint="default" w:ascii="Times New Roman" w:hAnsi="Times New Roman" w:eastAsia="宋体" w:cs="Times New Roman"/>
                <w:b w:val="0"/>
                <w:i w:val="0"/>
                <w:color w:val="auto"/>
                <w:sz w:val="21"/>
              </w:rPr>
              <w:t>罐区</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sz w:val="21"/>
              </w:rPr>
              <w:t>埋设汽油罐</w:t>
            </w:r>
            <w:r>
              <w:rPr>
                <w:rFonts w:hint="default" w:ascii="Times New Roman" w:hAnsi="Times New Roman" w:eastAsia="宋体" w:cs="Times New Roman"/>
                <w:b w:val="0"/>
                <w:sz w:val="21"/>
                <w:lang w:val="en-US" w:eastAsia="zh-CN"/>
              </w:rPr>
              <w:t>2</w:t>
            </w:r>
            <w:r>
              <w:rPr>
                <w:rFonts w:hint="default" w:ascii="Times New Roman" w:hAnsi="Times New Roman" w:eastAsia="宋体" w:cs="Times New Roman"/>
                <w:b w:val="0"/>
                <w:sz w:val="21"/>
              </w:rPr>
              <w:t>个30m</w:t>
            </w:r>
            <w:r>
              <w:rPr>
                <w:rFonts w:hint="default" w:ascii="Times New Roman" w:hAnsi="Times New Roman" w:eastAsia="宋体" w:cs="Times New Roman"/>
                <w:b w:val="0"/>
                <w:sz w:val="21"/>
                <w:vertAlign w:val="superscript"/>
              </w:rPr>
              <w:t>3</w:t>
            </w:r>
            <w:r>
              <w:rPr>
                <w:rFonts w:hint="default" w:ascii="Times New Roman" w:hAnsi="Times New Roman" w:eastAsia="宋体" w:cs="Times New Roman"/>
                <w:b w:val="0"/>
                <w:sz w:val="21"/>
              </w:rPr>
              <w:t>，</w:t>
            </w:r>
            <w:r>
              <w:rPr>
                <w:rFonts w:hint="default" w:ascii="Times New Roman" w:hAnsi="Times New Roman" w:eastAsia="宋体" w:cs="Times New Roman"/>
                <w:b w:val="0"/>
                <w:sz w:val="21"/>
                <w:lang w:eastAsia="zh-CN"/>
              </w:rPr>
              <w:t>柴</w:t>
            </w:r>
            <w:r>
              <w:rPr>
                <w:rFonts w:hint="default" w:ascii="Times New Roman" w:hAnsi="Times New Roman" w:eastAsia="宋体" w:cs="Times New Roman"/>
                <w:b w:val="0"/>
                <w:sz w:val="21"/>
              </w:rPr>
              <w:t>油罐</w:t>
            </w:r>
            <w:r>
              <w:rPr>
                <w:rFonts w:hint="default" w:ascii="Times New Roman" w:hAnsi="Times New Roman" w:eastAsia="宋体" w:cs="Times New Roman"/>
                <w:b w:val="0"/>
                <w:sz w:val="21"/>
                <w:lang w:val="en-US" w:eastAsia="zh-CN"/>
              </w:rPr>
              <w:t>2</w:t>
            </w:r>
            <w:r>
              <w:rPr>
                <w:rFonts w:hint="default" w:ascii="Times New Roman" w:hAnsi="Times New Roman" w:eastAsia="宋体" w:cs="Times New Roman"/>
                <w:b w:val="0"/>
                <w:sz w:val="21"/>
              </w:rPr>
              <w:t>个30m</w:t>
            </w:r>
            <w:r>
              <w:rPr>
                <w:rFonts w:hint="default" w:ascii="Times New Roman" w:hAnsi="Times New Roman" w:eastAsia="宋体" w:cs="Times New Roman"/>
                <w:b w:val="0"/>
                <w:sz w:val="21"/>
                <w:vertAlign w:val="superscript"/>
              </w:rPr>
              <w:t>3</w:t>
            </w:r>
            <w:r>
              <w:rPr>
                <w:rFonts w:hint="default" w:ascii="Times New Roman" w:hAnsi="Times New Roman" w:eastAsia="宋体" w:cs="Times New Roman"/>
                <w:b w:val="0"/>
                <w:sz w:val="21"/>
              </w:rPr>
              <w:t>，油罐总容积</w:t>
            </w:r>
            <w:r>
              <w:rPr>
                <w:rFonts w:hint="default" w:ascii="Times New Roman" w:hAnsi="Times New Roman" w:eastAsia="宋体" w:cs="Times New Roman"/>
                <w:b w:val="0"/>
                <w:sz w:val="21"/>
                <w:lang w:val="en-US" w:eastAsia="zh-CN"/>
              </w:rPr>
              <w:t>12</w:t>
            </w:r>
            <w:r>
              <w:rPr>
                <w:rFonts w:hint="default" w:ascii="Times New Roman" w:hAnsi="Times New Roman" w:eastAsia="宋体" w:cs="Times New Roman"/>
                <w:b w:val="0"/>
                <w:sz w:val="21"/>
              </w:rPr>
              <w:t>0m</w:t>
            </w:r>
            <w:r>
              <w:rPr>
                <w:rFonts w:hint="default" w:ascii="Times New Roman" w:hAnsi="Times New Roman" w:eastAsia="宋体" w:cs="Times New Roman"/>
                <w:b w:val="0"/>
                <w:sz w:val="21"/>
                <w:vertAlign w:val="superscript"/>
              </w:rPr>
              <w:t>3</w:t>
            </w:r>
            <w:r>
              <w:rPr>
                <w:rFonts w:hint="default" w:ascii="Times New Roman" w:hAnsi="Times New Roman" w:eastAsia="宋体" w:cs="Times New Roman"/>
                <w:b w:val="0"/>
                <w:sz w:val="21"/>
              </w:rPr>
              <w:t>；</w:t>
            </w:r>
            <w:r>
              <w:rPr>
                <w:rStyle w:val="68"/>
                <w:rFonts w:hint="default" w:ascii="Times New Roman" w:hAnsi="Times New Roman" w:eastAsia="宋体" w:cs="Times New Roman"/>
                <w:b w:val="0"/>
                <w:i w:val="0"/>
                <w:color w:val="auto"/>
                <w:sz w:val="21"/>
              </w:rPr>
              <w:t>油罐为SF双层</w:t>
            </w:r>
            <w:r>
              <w:rPr>
                <w:rStyle w:val="68"/>
                <w:rFonts w:hint="default" w:ascii="Times New Roman" w:hAnsi="Times New Roman" w:eastAsia="宋体" w:cs="Times New Roman"/>
                <w:b w:val="0"/>
                <w:i w:val="0"/>
                <w:color w:val="auto"/>
                <w:sz w:val="21"/>
                <w:lang w:eastAsia="zh-CN"/>
              </w:rPr>
              <w:t>非承重</w:t>
            </w:r>
            <w:r>
              <w:rPr>
                <w:rStyle w:val="68"/>
                <w:rFonts w:hint="default" w:ascii="Times New Roman" w:hAnsi="Times New Roman" w:eastAsia="宋体" w:cs="Times New Roman"/>
                <w:b w:val="0"/>
                <w:i w:val="0"/>
                <w:color w:val="auto"/>
                <w:sz w:val="21"/>
                <w:lang w:val="en-US" w:eastAsia="zh-CN"/>
              </w:rPr>
              <w:t>储</w:t>
            </w:r>
            <w:r>
              <w:rPr>
                <w:rStyle w:val="68"/>
                <w:rFonts w:hint="default" w:ascii="Times New Roman" w:hAnsi="Times New Roman" w:eastAsia="宋体" w:cs="Times New Roman"/>
                <w:b w:val="0"/>
                <w:i w:val="0"/>
                <w:color w:val="auto"/>
                <w:sz w:val="21"/>
              </w:rPr>
              <w:t>罐，储罐位于加油</w:t>
            </w:r>
            <w:r>
              <w:rPr>
                <w:rStyle w:val="68"/>
                <w:rFonts w:hint="default" w:ascii="Times New Roman" w:hAnsi="Times New Roman" w:eastAsia="宋体" w:cs="Times New Roman"/>
                <w:b w:val="0"/>
                <w:i w:val="0"/>
                <w:color w:val="auto"/>
                <w:sz w:val="21"/>
                <w:lang w:eastAsia="zh-CN"/>
              </w:rPr>
              <w:t>站南侧</w:t>
            </w:r>
            <w:r>
              <w:rPr>
                <w:rStyle w:val="68"/>
                <w:rFonts w:hint="default" w:ascii="Times New Roman" w:hAnsi="Times New Roman" w:eastAsia="宋体" w:cs="Times New Roman"/>
                <w:b w:val="0"/>
                <w:i w:val="0"/>
                <w:color w:val="auto"/>
                <w:sz w:val="21"/>
              </w:rPr>
              <w:t>，设置</w:t>
            </w:r>
            <w:r>
              <w:rPr>
                <w:rStyle w:val="68"/>
                <w:rFonts w:hint="default" w:ascii="Times New Roman" w:hAnsi="Times New Roman" w:eastAsia="宋体" w:cs="Times New Roman"/>
                <w:b w:val="0"/>
                <w:i w:val="0"/>
                <w:color w:val="auto"/>
                <w:sz w:val="21"/>
                <w:lang w:val="en-US" w:eastAsia="zh-CN"/>
              </w:rPr>
              <w:t>4</w:t>
            </w:r>
            <w:r>
              <w:rPr>
                <w:rStyle w:val="68"/>
                <w:rFonts w:hint="default" w:ascii="Times New Roman" w:hAnsi="Times New Roman" w:eastAsia="宋体" w:cs="Times New Roman"/>
                <w:b w:val="0"/>
                <w:i w:val="0"/>
                <w:color w:val="auto"/>
                <w:sz w:val="21"/>
              </w:rPr>
              <w:t>台防爆型潜油泵</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val="0"/>
                <w:bCs/>
                <w:sz w:val="21"/>
                <w:szCs w:val="21"/>
                <w:lang w:eastAsia="zh-CN"/>
              </w:rPr>
              <w:t>加油区</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sz w:val="21"/>
                <w:szCs w:val="21"/>
              </w:rPr>
              <w:t>4座加油岛，</w:t>
            </w:r>
            <w:r>
              <w:rPr>
                <w:rFonts w:hint="default" w:ascii="Times New Roman" w:hAnsi="Times New Roman" w:eastAsia="宋体" w:cs="Times New Roman"/>
                <w:b w:val="0"/>
                <w:bCs/>
                <w:sz w:val="21"/>
                <w:szCs w:val="21"/>
                <w:lang w:eastAsia="zh-CN"/>
              </w:rPr>
              <w:t>新建</w:t>
            </w:r>
            <w:r>
              <w:rPr>
                <w:rFonts w:hint="default" w:ascii="Times New Roman" w:hAnsi="Times New Roman" w:eastAsia="宋体" w:cs="Times New Roman"/>
                <w:b w:val="0"/>
                <w:bCs/>
                <w:sz w:val="21"/>
                <w:szCs w:val="21"/>
                <w:lang w:val="en-US" w:eastAsia="zh-CN"/>
              </w:rPr>
              <w:t>4</w:t>
            </w:r>
            <w:r>
              <w:rPr>
                <w:rFonts w:hint="default" w:ascii="Times New Roman" w:hAnsi="Times New Roman" w:eastAsia="宋体" w:cs="Times New Roman"/>
                <w:b w:val="0"/>
                <w:sz w:val="21"/>
                <w:lang w:val="en-US" w:eastAsia="zh-CN"/>
              </w:rPr>
              <w:t>台双枪双油品潜油泵型加油机（汽油枪带油气回收），加油岛高出加油区地面0.2m</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val="0"/>
                <w:bCs/>
                <w:sz w:val="21"/>
                <w:szCs w:val="21"/>
                <w:lang w:eastAsia="zh-CN"/>
              </w:rPr>
              <w:t>罩棚</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color w:val="000000"/>
                <w:sz w:val="21"/>
                <w:szCs w:val="21"/>
                <w:lang w:val="en-US" w:eastAsia="zh-CN"/>
              </w:rPr>
            </w:pPr>
            <w:r>
              <w:rPr>
                <w:rStyle w:val="68"/>
                <w:rFonts w:hint="default" w:ascii="Times New Roman" w:hAnsi="Times New Roman" w:eastAsia="宋体" w:cs="Times New Roman"/>
                <w:b w:val="0"/>
                <w:i w:val="0"/>
                <w:color w:val="auto"/>
                <w:sz w:val="21"/>
                <w:lang w:eastAsia="zh-CN"/>
              </w:rPr>
              <w:t>水平投影</w:t>
            </w:r>
            <w:r>
              <w:rPr>
                <w:rStyle w:val="68"/>
                <w:rFonts w:hint="default" w:ascii="Times New Roman" w:hAnsi="Times New Roman" w:eastAsia="宋体" w:cs="Times New Roman"/>
                <w:b w:val="0"/>
                <w:i w:val="0"/>
                <w:color w:val="auto"/>
                <w:sz w:val="21"/>
              </w:rPr>
              <w:t>面积</w:t>
            </w:r>
            <w:r>
              <w:rPr>
                <w:rStyle w:val="68"/>
                <w:rFonts w:hint="default" w:ascii="Times New Roman" w:hAnsi="Times New Roman" w:eastAsia="宋体" w:cs="Times New Roman"/>
                <w:b w:val="0"/>
                <w:i w:val="0"/>
                <w:color w:val="auto"/>
                <w:sz w:val="21"/>
                <w:lang w:eastAsia="zh-CN"/>
              </w:rPr>
              <w:t>为</w:t>
            </w:r>
            <w:r>
              <w:rPr>
                <w:rStyle w:val="68"/>
                <w:rFonts w:hint="default" w:ascii="Times New Roman" w:hAnsi="Times New Roman" w:eastAsia="宋体" w:cs="Times New Roman"/>
                <w:b w:val="0"/>
                <w:i w:val="0"/>
                <w:color w:val="auto"/>
                <w:sz w:val="21"/>
                <w:lang w:val="en-US" w:eastAsia="zh-CN"/>
              </w:rPr>
              <w:t>556.5</w:t>
            </w:r>
            <w:r>
              <w:rPr>
                <w:rStyle w:val="68"/>
                <w:rFonts w:hint="default" w:ascii="Times New Roman" w:hAnsi="Times New Roman" w:eastAsia="宋体" w:cs="Times New Roman"/>
                <w:b w:val="0"/>
                <w:i w:val="0"/>
                <w:color w:val="auto"/>
                <w:sz w:val="21"/>
              </w:rPr>
              <w:t>m</w:t>
            </w:r>
            <w:r>
              <w:rPr>
                <w:rStyle w:val="68"/>
                <w:rFonts w:hint="default" w:ascii="Times New Roman" w:hAnsi="Times New Roman" w:eastAsia="宋体" w:cs="Times New Roman"/>
                <w:b w:val="0"/>
                <w:i w:val="0"/>
                <w:color w:val="auto"/>
                <w:sz w:val="21"/>
                <w:vertAlign w:val="superscript"/>
              </w:rPr>
              <w:t>2</w:t>
            </w:r>
            <w:r>
              <w:rPr>
                <w:rStyle w:val="68"/>
                <w:rFonts w:hint="default" w:ascii="Times New Roman" w:hAnsi="Times New Roman" w:eastAsia="宋体" w:cs="Times New Roman"/>
                <w:b w:val="0"/>
                <w:i w:val="0"/>
                <w:color w:val="auto"/>
                <w:sz w:val="21"/>
              </w:rPr>
              <w:t>，采用</w:t>
            </w:r>
            <w:r>
              <w:rPr>
                <w:rStyle w:val="68"/>
                <w:rFonts w:hint="default" w:ascii="Times New Roman" w:hAnsi="Times New Roman" w:eastAsia="宋体" w:cs="Times New Roman"/>
                <w:b w:val="0"/>
                <w:i w:val="0"/>
                <w:color w:val="auto"/>
                <w:sz w:val="21"/>
                <w:lang w:eastAsia="zh-CN"/>
              </w:rPr>
              <w:t>型钢</w:t>
            </w:r>
            <w:r>
              <w:rPr>
                <w:rStyle w:val="68"/>
                <w:rFonts w:hint="default" w:ascii="Times New Roman" w:hAnsi="Times New Roman" w:eastAsia="宋体" w:cs="Times New Roman"/>
                <w:b w:val="0"/>
                <w:i w:val="0"/>
                <w:color w:val="auto"/>
                <w:sz w:val="21"/>
              </w:rPr>
              <w:t>结构，</w:t>
            </w:r>
            <w:r>
              <w:rPr>
                <w:rFonts w:hint="default" w:ascii="Times New Roman" w:hAnsi="Times New Roman" w:eastAsia="宋体" w:cs="Times New Roman"/>
                <w:b w:val="0"/>
                <w:bCs/>
                <w:sz w:val="21"/>
                <w:szCs w:val="21"/>
              </w:rPr>
              <w:t>罩棚下</w:t>
            </w:r>
            <w:r>
              <w:rPr>
                <w:rFonts w:hint="default" w:ascii="Times New Roman" w:hAnsi="Times New Roman" w:eastAsia="宋体" w:cs="Times New Roman"/>
                <w:b w:val="0"/>
                <w:bCs/>
                <w:sz w:val="21"/>
                <w:szCs w:val="21"/>
                <w:lang w:eastAsia="zh-CN"/>
              </w:rPr>
              <w:t>至加油区地坪净距</w:t>
            </w:r>
            <w:r>
              <w:rPr>
                <w:rFonts w:hint="default" w:ascii="Times New Roman" w:hAnsi="Times New Roman" w:eastAsia="宋体" w:cs="Times New Roman"/>
                <w:b w:val="0"/>
                <w:bCs/>
                <w:sz w:val="21"/>
                <w:szCs w:val="21"/>
                <w:lang w:val="en-US" w:eastAsia="zh-CN"/>
              </w:rPr>
              <w:t>6.5m，</w:t>
            </w:r>
            <w:r>
              <w:rPr>
                <w:rFonts w:hint="default" w:ascii="Times New Roman" w:hAnsi="Times New Roman" w:eastAsia="宋体" w:cs="Times New Roman"/>
                <w:b w:val="0"/>
                <w:bCs/>
                <w:sz w:val="21"/>
                <w:szCs w:val="21"/>
              </w:rPr>
              <w:t>罩棚下为加油机</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val="0"/>
                <w:bCs/>
                <w:sz w:val="21"/>
                <w:szCs w:val="21"/>
                <w:lang w:eastAsia="zh-CN"/>
              </w:rPr>
              <w:t>充电车位</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color w:val="000000"/>
                <w:sz w:val="21"/>
                <w:szCs w:val="21"/>
                <w:lang w:val="en-US" w:eastAsia="zh-CN"/>
              </w:rPr>
            </w:pPr>
            <w:r>
              <w:rPr>
                <w:rStyle w:val="68"/>
                <w:rFonts w:hint="default" w:ascii="Times New Roman" w:hAnsi="Times New Roman" w:eastAsia="宋体" w:cs="Times New Roman"/>
                <w:b w:val="0"/>
                <w:i w:val="0"/>
                <w:color w:val="auto"/>
                <w:sz w:val="21"/>
                <w:lang w:eastAsia="zh-CN"/>
              </w:rPr>
              <w:t>在加油站东侧预留1组充电桩</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25"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辅助工程</w:t>
            </w: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Style w:val="68"/>
                <w:rFonts w:hint="default" w:ascii="Times New Roman" w:hAnsi="Times New Roman" w:eastAsia="宋体" w:cs="Times New Roman"/>
                <w:b w:val="0"/>
                <w:i w:val="0"/>
                <w:color w:val="auto"/>
                <w:sz w:val="21"/>
                <w:lang w:eastAsia="zh-CN"/>
              </w:rPr>
              <w:t>站房</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Style w:val="68"/>
                <w:rFonts w:hint="default" w:ascii="Times New Roman" w:hAnsi="Times New Roman" w:eastAsia="宋体" w:cs="Times New Roman"/>
                <w:b w:val="0"/>
                <w:i w:val="0"/>
                <w:color w:val="auto"/>
                <w:sz w:val="21"/>
                <w:lang w:eastAsia="zh-CN"/>
              </w:rPr>
              <w:t>新建一层站房</w:t>
            </w:r>
            <w:r>
              <w:rPr>
                <w:rStyle w:val="68"/>
                <w:rFonts w:hint="default" w:ascii="Times New Roman" w:hAnsi="Times New Roman" w:eastAsia="宋体" w:cs="Times New Roman"/>
                <w:b w:val="0"/>
                <w:i w:val="0"/>
                <w:color w:val="auto"/>
                <w:sz w:val="21"/>
                <w:lang w:val="en-US" w:eastAsia="zh-CN"/>
              </w:rPr>
              <w:t>1</w:t>
            </w:r>
            <w:r>
              <w:rPr>
                <w:rStyle w:val="68"/>
                <w:rFonts w:hint="default" w:ascii="Times New Roman" w:hAnsi="Times New Roman" w:eastAsia="宋体" w:cs="Times New Roman"/>
                <w:b w:val="0"/>
                <w:i w:val="0"/>
                <w:color w:val="auto"/>
                <w:sz w:val="21"/>
                <w:lang w:eastAsia="zh-CN"/>
              </w:rPr>
              <w:t>座，建筑</w:t>
            </w:r>
            <w:r>
              <w:rPr>
                <w:rStyle w:val="68"/>
                <w:rFonts w:hint="default" w:ascii="Times New Roman" w:hAnsi="Times New Roman" w:eastAsia="宋体" w:cs="Times New Roman"/>
                <w:b w:val="0"/>
                <w:i w:val="0"/>
                <w:color w:val="auto"/>
                <w:sz w:val="21"/>
              </w:rPr>
              <w:t>面积</w:t>
            </w:r>
            <w:r>
              <w:rPr>
                <w:rStyle w:val="68"/>
                <w:rFonts w:hint="default" w:ascii="Times New Roman" w:hAnsi="Times New Roman" w:eastAsia="宋体" w:cs="Times New Roman"/>
                <w:b w:val="0"/>
                <w:i w:val="0"/>
                <w:color w:val="auto"/>
                <w:sz w:val="21"/>
                <w:lang w:val="en-US" w:eastAsia="zh-CN"/>
              </w:rPr>
              <w:t>205.54</w:t>
            </w:r>
            <w:r>
              <w:rPr>
                <w:rStyle w:val="68"/>
                <w:rFonts w:hint="default" w:ascii="Times New Roman" w:hAnsi="Times New Roman" w:eastAsia="宋体" w:cs="Times New Roman"/>
                <w:b w:val="0"/>
                <w:i w:val="0"/>
                <w:color w:val="auto"/>
                <w:sz w:val="21"/>
              </w:rPr>
              <w:t>m</w:t>
            </w:r>
            <w:r>
              <w:rPr>
                <w:rStyle w:val="68"/>
                <w:rFonts w:hint="default" w:ascii="Times New Roman" w:hAnsi="Times New Roman" w:eastAsia="宋体" w:cs="Times New Roman"/>
                <w:b w:val="0"/>
                <w:i w:val="0"/>
                <w:color w:val="auto"/>
                <w:sz w:val="21"/>
                <w:vertAlign w:val="superscript"/>
              </w:rPr>
              <w:t>2</w:t>
            </w:r>
            <w:r>
              <w:rPr>
                <w:rStyle w:val="68"/>
                <w:rFonts w:hint="default" w:ascii="Times New Roman" w:hAnsi="Times New Roman" w:eastAsia="宋体" w:cs="Times New Roman"/>
                <w:b w:val="0"/>
                <w:i w:val="0"/>
                <w:color w:val="auto"/>
                <w:sz w:val="21"/>
              </w:rPr>
              <w:t>，砖混结构，</w:t>
            </w:r>
            <w:r>
              <w:rPr>
                <w:rStyle w:val="68"/>
                <w:rFonts w:hint="default" w:ascii="Times New Roman" w:hAnsi="Times New Roman" w:eastAsia="宋体" w:cs="Times New Roman"/>
                <w:b w:val="0"/>
                <w:i w:val="0"/>
                <w:color w:val="auto"/>
                <w:sz w:val="21"/>
                <w:lang w:eastAsia="zh-CN"/>
              </w:rPr>
              <w:t>站房设置</w:t>
            </w:r>
            <w:r>
              <w:rPr>
                <w:rStyle w:val="68"/>
                <w:rFonts w:hint="default" w:ascii="Times New Roman" w:hAnsi="Times New Roman" w:eastAsia="宋体" w:cs="Times New Roman"/>
                <w:b w:val="0"/>
                <w:i w:val="0"/>
                <w:color w:val="auto"/>
                <w:sz w:val="21"/>
              </w:rPr>
              <w:t>便利店、</w:t>
            </w:r>
            <w:r>
              <w:rPr>
                <w:rStyle w:val="68"/>
                <w:rFonts w:hint="default" w:ascii="Times New Roman" w:hAnsi="Times New Roman" w:eastAsia="宋体" w:cs="Times New Roman"/>
                <w:b w:val="0"/>
                <w:i w:val="0"/>
                <w:color w:val="auto"/>
                <w:sz w:val="21"/>
                <w:lang w:eastAsia="zh-CN"/>
              </w:rPr>
              <w:t>站财室、舆洗室、</w:t>
            </w:r>
            <w:r>
              <w:rPr>
                <w:rStyle w:val="68"/>
                <w:rFonts w:hint="default" w:ascii="Times New Roman" w:hAnsi="Times New Roman" w:eastAsia="宋体" w:cs="Times New Roman"/>
                <w:b w:val="0"/>
                <w:i w:val="0"/>
                <w:color w:val="auto"/>
                <w:sz w:val="21"/>
              </w:rPr>
              <w:t>配电间</w:t>
            </w:r>
            <w:r>
              <w:rPr>
                <w:rStyle w:val="68"/>
                <w:rFonts w:hint="default" w:ascii="Times New Roman" w:hAnsi="Times New Roman" w:eastAsia="宋体" w:cs="Times New Roman"/>
                <w:b w:val="0"/>
                <w:i w:val="0"/>
                <w:color w:val="auto"/>
                <w:sz w:val="21"/>
                <w:lang w:eastAsia="zh-CN"/>
              </w:rPr>
              <w:t>、</w:t>
            </w:r>
            <w:r>
              <w:rPr>
                <w:rStyle w:val="68"/>
                <w:rFonts w:hint="default" w:ascii="Times New Roman" w:hAnsi="Times New Roman" w:eastAsia="宋体" w:cs="Times New Roman"/>
                <w:b w:val="0"/>
                <w:i w:val="0"/>
                <w:color w:val="auto"/>
                <w:sz w:val="21"/>
              </w:rPr>
              <w:t>储藏室</w:t>
            </w:r>
            <w:r>
              <w:rPr>
                <w:rStyle w:val="68"/>
                <w:rFonts w:hint="default" w:ascii="Times New Roman" w:hAnsi="Times New Roman" w:eastAsia="宋体" w:cs="Times New Roman"/>
                <w:b w:val="0"/>
                <w:i w:val="0"/>
                <w:color w:val="auto"/>
                <w:sz w:val="21"/>
                <w:lang w:eastAsia="zh-CN"/>
              </w:rPr>
              <w:t>、备餐间、男卫、女卫、卫浴室和值班室</w:t>
            </w:r>
            <w:r>
              <w:rPr>
                <w:rStyle w:val="68"/>
                <w:rFonts w:hint="default" w:ascii="Times New Roman" w:hAnsi="Times New Roman" w:eastAsia="宋体" w:cs="Times New Roman"/>
                <w:b w:val="0"/>
                <w:i w:val="0"/>
                <w:color w:val="auto"/>
                <w:sz w:val="21"/>
              </w:rPr>
              <w:t>等</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25" w:type="pct"/>
            <w:vMerge w:val="continue"/>
            <w:noWrap w:val="0"/>
            <w:vAlign w:val="center"/>
          </w:tcPr>
          <w:p>
            <w:pPr>
              <w:jc w:val="center"/>
              <w:rPr>
                <w:rFonts w:hint="default" w:ascii="Times New Roman" w:hAnsi="Times New Roman" w:eastAsia="宋体" w:cs="Times New Roman"/>
                <w:sz w:val="21"/>
                <w:szCs w:val="21"/>
                <w:lang w:eastAsia="zh-CN"/>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Style w:val="68"/>
                <w:rFonts w:hint="default" w:ascii="Times New Roman" w:hAnsi="Times New Roman" w:eastAsia="宋体" w:cs="Times New Roman"/>
                <w:b w:val="0"/>
                <w:i w:val="0"/>
                <w:color w:val="auto"/>
                <w:sz w:val="21"/>
                <w:lang w:eastAsia="zh-CN"/>
              </w:rPr>
              <w:t>自行车棚</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lang w:val="en-US" w:eastAsia="zh-CN"/>
              </w:rPr>
              <w:t>车棚1座，</w:t>
            </w:r>
            <w:r>
              <w:rPr>
                <w:rStyle w:val="68"/>
                <w:rFonts w:hint="default" w:ascii="Times New Roman" w:hAnsi="Times New Roman" w:eastAsia="宋体" w:cs="Times New Roman"/>
                <w:b w:val="0"/>
                <w:i w:val="0"/>
                <w:color w:val="auto"/>
                <w:sz w:val="21"/>
                <w:lang w:eastAsia="zh-CN"/>
              </w:rPr>
              <w:t>位于站房东南侧，</w:t>
            </w:r>
            <w:r>
              <w:rPr>
                <w:rStyle w:val="68"/>
                <w:rFonts w:hint="default" w:ascii="Times New Roman" w:hAnsi="Times New Roman" w:eastAsia="宋体" w:cs="Times New Roman"/>
                <w:b w:val="0"/>
                <w:i w:val="0"/>
                <w:color w:val="auto"/>
                <w:sz w:val="21"/>
                <w:lang w:val="en-US" w:eastAsia="zh-CN"/>
              </w:rPr>
              <w:t>投影面积为10m</w:t>
            </w:r>
            <w:r>
              <w:rPr>
                <w:rStyle w:val="68"/>
                <w:rFonts w:hint="default" w:ascii="Times New Roman" w:hAnsi="Times New Roman" w:eastAsia="宋体" w:cs="Times New Roman"/>
                <w:b w:val="0"/>
                <w:i w:val="0"/>
                <w:color w:val="auto"/>
                <w:sz w:val="21"/>
                <w:vertAlign w:val="superscript"/>
                <w:lang w:val="en-US" w:eastAsia="zh-CN"/>
              </w:rPr>
              <w:t>2</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25"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公用工程</w:t>
            </w:r>
          </w:p>
        </w:tc>
        <w:tc>
          <w:tcPr>
            <w:tcW w:w="275"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给排水</w:t>
            </w:r>
          </w:p>
        </w:tc>
        <w:tc>
          <w:tcPr>
            <w:tcW w:w="3625" w:type="pct"/>
            <w:noWrap w:val="0"/>
            <w:vAlign w:val="center"/>
          </w:tcPr>
          <w:p>
            <w:pPr>
              <w:jc w:val="center"/>
              <w:rPr>
                <w:rFonts w:hint="default" w:ascii="Times New Roman" w:hAnsi="Times New Roman" w:eastAsia="宋体" w:cs="Times New Roman"/>
                <w:spacing w:val="-4"/>
                <w:sz w:val="21"/>
                <w:szCs w:val="21"/>
              </w:rPr>
            </w:pPr>
            <w:r>
              <w:rPr>
                <w:rFonts w:hint="default" w:ascii="Times New Roman" w:hAnsi="Times New Roman" w:eastAsia="宋体" w:cs="Times New Roman"/>
                <w:sz w:val="21"/>
                <w:szCs w:val="21"/>
              </w:rPr>
              <w:t>供水水源</w:t>
            </w:r>
            <w:r>
              <w:rPr>
                <w:rStyle w:val="68"/>
                <w:rFonts w:hint="default" w:ascii="Times New Roman" w:hAnsi="Times New Roman" w:eastAsia="宋体" w:cs="Times New Roman"/>
                <w:b w:val="0"/>
                <w:i w:val="0"/>
                <w:color w:val="auto"/>
                <w:sz w:val="21"/>
              </w:rPr>
              <w:t>由市政供水管网提供</w:t>
            </w:r>
            <w:r>
              <w:rPr>
                <w:rFonts w:hint="default" w:ascii="Times New Roman" w:hAnsi="Times New Roman" w:eastAsia="宋体" w:cs="Times New Roman"/>
                <w:sz w:val="21"/>
                <w:szCs w:val="21"/>
              </w:rPr>
              <w:t>，排水采用雨污分流制</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供暖</w:t>
            </w:r>
          </w:p>
        </w:tc>
        <w:tc>
          <w:tcPr>
            <w:tcW w:w="3625" w:type="pc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办公室取暖采用空调</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供电</w:t>
            </w:r>
          </w:p>
        </w:tc>
        <w:tc>
          <w:tcPr>
            <w:tcW w:w="3625" w:type="pct"/>
            <w:noWrap w:val="0"/>
            <w:vAlign w:val="center"/>
          </w:tcPr>
          <w:p>
            <w:pPr>
              <w:jc w:val="center"/>
              <w:rPr>
                <w:rFonts w:hint="default" w:ascii="Times New Roman" w:hAnsi="Times New Roman" w:eastAsia="宋体" w:cs="Times New Roman"/>
                <w:color w:val="000000"/>
                <w:sz w:val="21"/>
                <w:szCs w:val="21"/>
              </w:rPr>
            </w:pPr>
            <w:r>
              <w:rPr>
                <w:rStyle w:val="68"/>
                <w:rFonts w:hint="default" w:ascii="Times New Roman" w:hAnsi="Times New Roman" w:eastAsia="宋体" w:cs="Times New Roman"/>
                <w:b w:val="0"/>
                <w:i w:val="0"/>
                <w:color w:val="auto"/>
                <w:sz w:val="21"/>
              </w:rPr>
              <w:t>由供电电网提供</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325"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环保工程</w:t>
            </w: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rPr>
              <w:t>废气</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rPr>
              <w:t>拟建项目废气包括卸油废气、油罐储油废气、加油废气以及车辆尾气。废气经三级</w:t>
            </w:r>
            <w:r>
              <w:rPr>
                <w:rFonts w:hint="default" w:ascii="Times New Roman" w:hAnsi="Times New Roman" w:eastAsia="宋体" w:cs="Times New Roman"/>
                <w:b w:val="0"/>
                <w:sz w:val="21"/>
                <w:lang w:eastAsia="zh-CN"/>
              </w:rPr>
              <w:t>油气回收处理系统</w:t>
            </w:r>
            <w:r>
              <w:rPr>
                <w:rFonts w:hint="default" w:ascii="Times New Roman" w:hAnsi="Times New Roman" w:eastAsia="宋体" w:cs="Times New Roman"/>
                <w:b w:val="0"/>
                <w:sz w:val="21"/>
              </w:rPr>
              <w:t>回收无组织排放（三级</w:t>
            </w:r>
            <w:r>
              <w:rPr>
                <w:rFonts w:hint="default" w:ascii="Times New Roman" w:hAnsi="Times New Roman" w:eastAsia="宋体" w:cs="Times New Roman"/>
                <w:b w:val="0"/>
                <w:sz w:val="21"/>
                <w:lang w:eastAsia="zh-CN"/>
              </w:rPr>
              <w:t>油气回收处理系统</w:t>
            </w:r>
            <w:r>
              <w:rPr>
                <w:rFonts w:hint="default" w:ascii="Times New Roman" w:hAnsi="Times New Roman" w:eastAsia="宋体" w:cs="Times New Roman"/>
                <w:b w:val="0"/>
                <w:sz w:val="21"/>
              </w:rPr>
              <w:t>：卸油油气回收、加油机</w:t>
            </w:r>
            <w:r>
              <w:rPr>
                <w:rFonts w:hint="default" w:ascii="Times New Roman" w:hAnsi="Times New Roman" w:eastAsia="宋体" w:cs="Times New Roman"/>
                <w:b w:val="0"/>
                <w:sz w:val="21"/>
                <w:lang w:eastAsia="zh-CN"/>
              </w:rPr>
              <w:t>油气回收处理系统</w:t>
            </w:r>
            <w:r>
              <w:rPr>
                <w:rFonts w:hint="default" w:ascii="Times New Roman" w:hAnsi="Times New Roman" w:eastAsia="宋体" w:cs="Times New Roman"/>
                <w:b w:val="0"/>
                <w:sz w:val="21"/>
              </w:rPr>
              <w:t>，储油罐呼吸阀</w:t>
            </w:r>
            <w:r>
              <w:rPr>
                <w:rFonts w:hint="default" w:ascii="Times New Roman" w:hAnsi="Times New Roman" w:eastAsia="宋体" w:cs="Times New Roman"/>
                <w:b w:val="0"/>
                <w:sz w:val="21"/>
                <w:lang w:eastAsia="zh-CN"/>
              </w:rPr>
              <w:t>油气回收处理系统</w:t>
            </w:r>
            <w:r>
              <w:rPr>
                <w:rFonts w:hint="default" w:ascii="Times New Roman" w:hAnsi="Times New Roman" w:eastAsia="宋体" w:cs="Times New Roman"/>
                <w:b w:val="0"/>
                <w:sz w:val="21"/>
              </w:rPr>
              <w:t>）</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rPr>
              <w:t>废水</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bCs/>
                <w:sz w:val="21"/>
                <w:szCs w:val="21"/>
                <w:lang w:eastAsia="zh-CN"/>
              </w:rPr>
            </w:pPr>
            <w:r>
              <w:rPr>
                <w:rStyle w:val="68"/>
                <w:rFonts w:hint="default" w:ascii="Times New Roman" w:hAnsi="Times New Roman" w:eastAsia="宋体" w:cs="Times New Roman"/>
                <w:b w:val="0"/>
                <w:i w:val="0"/>
                <w:color w:val="auto"/>
                <w:sz w:val="21"/>
              </w:rPr>
              <w:t>生活污水经化粪池预处理后</w:t>
            </w:r>
            <w:r>
              <w:rPr>
                <w:rStyle w:val="68"/>
                <w:rFonts w:hint="default" w:ascii="Times New Roman" w:hAnsi="Times New Roman" w:eastAsia="宋体" w:cs="Times New Roman"/>
                <w:b w:val="0"/>
                <w:i w:val="0"/>
                <w:color w:val="auto"/>
                <w:sz w:val="21"/>
                <w:lang w:eastAsia="zh-CN"/>
              </w:rPr>
              <w:t>由环卫部门定期清运，不外排</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rPr>
              <w:t>噪声</w:t>
            </w:r>
          </w:p>
        </w:tc>
        <w:tc>
          <w:tcPr>
            <w:tcW w:w="3625" w:type="pct"/>
            <w:noWrap w:val="0"/>
            <w:vAlign w:val="center"/>
          </w:tcPr>
          <w:p>
            <w:pPr>
              <w:autoSpaceDE w:val="0"/>
              <w:autoSpaceDN w:val="0"/>
              <w:adjustRightInd w:val="0"/>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选用低噪声设备，对加油泵等设备采用减振措施，设置减速标识，规范站内交通组织及管理</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rPr>
              <w:t>固废</w:t>
            </w:r>
          </w:p>
        </w:tc>
        <w:tc>
          <w:tcPr>
            <w:tcW w:w="3625" w:type="pct"/>
            <w:noWrap w:val="0"/>
            <w:vAlign w:val="center"/>
          </w:tcPr>
          <w:p>
            <w:pPr>
              <w:autoSpaceDE w:val="0"/>
              <w:autoSpaceDN w:val="0"/>
              <w:adjustRightInd w:val="0"/>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rPr>
              <w:t>生活垃圾设垃圾桶，分类收集后由环卫部门统一收集清运，危险废物交有资质单位处置，加油站设置符合《危险废物贮存污染控制标准》（GB18597-2001）的危险废物暂存间</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25" w:type="pct"/>
            <w:vMerge w:val="continue"/>
            <w:noWrap w:val="0"/>
            <w:vAlign w:val="center"/>
          </w:tcPr>
          <w:p>
            <w:pPr>
              <w:jc w:val="center"/>
              <w:rPr>
                <w:rFonts w:hint="default" w:ascii="Times New Roman" w:hAnsi="Times New Roman" w:eastAsia="宋体" w:cs="Times New Roman"/>
                <w:sz w:val="21"/>
                <w:szCs w:val="21"/>
              </w:rPr>
            </w:pPr>
          </w:p>
        </w:tc>
        <w:tc>
          <w:tcPr>
            <w:tcW w:w="275" w:type="pct"/>
            <w:noWrap w:val="0"/>
            <w:vAlign w:val="center"/>
          </w:tcPr>
          <w:p>
            <w:pPr>
              <w:pStyle w:val="67"/>
              <w:spacing w:beforeLines="0"/>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b w:val="0"/>
                <w:i w:val="0"/>
                <w:color w:val="auto"/>
                <w:sz w:val="21"/>
              </w:rPr>
              <w:t>防渗</w:t>
            </w:r>
          </w:p>
        </w:tc>
        <w:tc>
          <w:tcPr>
            <w:tcW w:w="3625" w:type="pct"/>
            <w:noWrap w:val="0"/>
            <w:vAlign w:val="center"/>
          </w:tcPr>
          <w:p>
            <w:pPr>
              <w:pStyle w:val="67"/>
              <w:spacing w:beforeLines="0"/>
              <w:ind w:firstLine="0" w:firstLineChars="0"/>
              <w:jc w:val="center"/>
              <w:rPr>
                <w:rFonts w:hint="default" w:ascii="Times New Roman" w:hAnsi="Times New Roman" w:eastAsia="宋体" w:cs="Times New Roman"/>
                <w:sz w:val="21"/>
                <w:szCs w:val="21"/>
                <w:lang w:eastAsia="zh-CN"/>
              </w:rPr>
            </w:pPr>
            <w:r>
              <w:rPr>
                <w:rStyle w:val="68"/>
                <w:rFonts w:hint="default" w:ascii="Times New Roman" w:hAnsi="Times New Roman" w:eastAsia="宋体" w:cs="Times New Roman"/>
                <w:b w:val="0"/>
                <w:i w:val="0"/>
                <w:color w:val="auto"/>
                <w:sz w:val="21"/>
              </w:rPr>
              <w:t>采用符合标准的内钢外玻璃纤维增强塑料双层油罐，双层油路管线；罐池、化粪池、沉淀池、危险废物暂存间等重点防渗；卸油区、加油区、设备区一般防渗</w:t>
            </w:r>
          </w:p>
        </w:tc>
        <w:tc>
          <w:tcPr>
            <w:tcW w:w="773"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bl>
    <w:p>
      <w:pPr>
        <w:pStyle w:val="47"/>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outlineLvl w:val="1"/>
        <w:rPr>
          <w:rFonts w:hint="default" w:ascii="Times New Roman" w:hAnsi="Times New Roman" w:eastAsia="宋体" w:cs="Times New Roman"/>
          <w:b/>
          <w:sz w:val="28"/>
          <w:szCs w:val="32"/>
          <w:highlight w:val="none"/>
        </w:rPr>
      </w:pPr>
      <w:bookmarkStart w:id="23" w:name="_Toc504031145"/>
      <w:bookmarkStart w:id="24" w:name="_Toc6244"/>
      <w:r>
        <w:rPr>
          <w:rFonts w:hint="default" w:ascii="Times New Roman" w:hAnsi="Times New Roman" w:eastAsia="宋体" w:cs="Times New Roman"/>
          <w:b/>
          <w:sz w:val="28"/>
          <w:szCs w:val="32"/>
          <w:highlight w:val="none"/>
        </w:rPr>
        <w:t>3.3主要原辅材料</w:t>
      </w:r>
      <w:bookmarkEnd w:id="23"/>
      <w:r>
        <w:rPr>
          <w:rFonts w:hint="default" w:ascii="Times New Roman" w:hAnsi="Times New Roman" w:eastAsia="宋体" w:cs="Times New Roman"/>
          <w:b/>
          <w:sz w:val="28"/>
          <w:szCs w:val="32"/>
          <w:highlight w:val="none"/>
        </w:rPr>
        <w:t>及生产设备</w:t>
      </w:r>
      <w:bookmarkEnd w:id="24"/>
    </w:p>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8"/>
        </w:rPr>
        <w:t>该项目原辅</w:t>
      </w:r>
      <w:r>
        <w:rPr>
          <w:rFonts w:hint="default" w:ascii="Times New Roman" w:hAnsi="Times New Roman" w:eastAsia="宋体" w:cs="Times New Roman"/>
          <w:color w:val="000000"/>
          <w:sz w:val="24"/>
          <w:szCs w:val="24"/>
        </w:rPr>
        <w:t>材料及产品详见表3-3。</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表3-3  项目主要原辅料及产品一览表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127"/>
        <w:gridCol w:w="1375"/>
        <w:gridCol w:w="1626"/>
        <w:gridCol w:w="1626"/>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6" w:type="pct"/>
            <w:noWrap w:val="0"/>
            <w:vAlign w:val="center"/>
          </w:tcPr>
          <w:p>
            <w:pPr>
              <w:spacing w:line="32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661" w:type="pct"/>
            <w:noWrap w:val="0"/>
            <w:vAlign w:val="center"/>
          </w:tcPr>
          <w:p>
            <w:pPr>
              <w:spacing w:line="32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名称</w:t>
            </w:r>
          </w:p>
        </w:tc>
        <w:tc>
          <w:tcPr>
            <w:tcW w:w="807" w:type="pct"/>
            <w:noWrap w:val="0"/>
            <w:vAlign w:val="center"/>
          </w:tcPr>
          <w:p>
            <w:pPr>
              <w:spacing w:line="32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lang w:eastAsia="zh-CN"/>
              </w:rPr>
              <w:t>消耗</w:t>
            </w:r>
            <w:r>
              <w:rPr>
                <w:rFonts w:hint="default" w:ascii="Times New Roman" w:hAnsi="Times New Roman" w:eastAsia="宋体" w:cs="Times New Roman"/>
                <w:b/>
                <w:sz w:val="21"/>
                <w:szCs w:val="21"/>
              </w:rPr>
              <w:t>量</w:t>
            </w:r>
          </w:p>
        </w:tc>
        <w:tc>
          <w:tcPr>
            <w:tcW w:w="954" w:type="pct"/>
            <w:noWrap w:val="0"/>
            <w:vAlign w:val="center"/>
          </w:tcPr>
          <w:p>
            <w:pPr>
              <w:spacing w:line="32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单位</w:t>
            </w:r>
          </w:p>
        </w:tc>
        <w:tc>
          <w:tcPr>
            <w:tcW w:w="1910" w:type="pct"/>
            <w:gridSpan w:val="2"/>
            <w:noWrap w:val="0"/>
            <w:vAlign w:val="center"/>
          </w:tcPr>
          <w:p>
            <w:pPr>
              <w:spacing w:line="32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666" w:type="pct"/>
            <w:noWrap w:val="0"/>
            <w:vAlign w:val="center"/>
          </w:tcPr>
          <w:p>
            <w:pPr>
              <w:spacing w:line="3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661"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汽油</w:t>
            </w:r>
          </w:p>
        </w:tc>
        <w:tc>
          <w:tcPr>
            <w:tcW w:w="807" w:type="pct"/>
            <w:noWrap w:val="0"/>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1600</w:t>
            </w:r>
          </w:p>
        </w:tc>
        <w:tc>
          <w:tcPr>
            <w:tcW w:w="954"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t/a</w:t>
            </w:r>
          </w:p>
        </w:tc>
        <w:tc>
          <w:tcPr>
            <w:tcW w:w="954"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92#、95#、98#</w:t>
            </w:r>
          </w:p>
        </w:tc>
        <w:tc>
          <w:tcPr>
            <w:tcW w:w="956"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666" w:type="pct"/>
            <w:noWrap w:val="0"/>
            <w:vAlign w:val="center"/>
          </w:tcPr>
          <w:p>
            <w:pPr>
              <w:spacing w:line="3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p>
        </w:tc>
        <w:tc>
          <w:tcPr>
            <w:tcW w:w="661" w:type="pct"/>
            <w:noWrap w:val="0"/>
            <w:vAlign w:val="center"/>
          </w:tcPr>
          <w:p>
            <w:pPr>
              <w:spacing w:line="320" w:lineRule="exact"/>
              <w:jc w:val="center"/>
              <w:rPr>
                <w:rFonts w:hint="default" w:ascii="Times New Roman" w:hAnsi="Times New Roman" w:eastAsia="宋体" w:cs="Times New Roman"/>
                <w:sz w:val="21"/>
                <w:szCs w:val="20"/>
                <w:lang w:eastAsia="zh-CN"/>
              </w:rPr>
            </w:pPr>
            <w:r>
              <w:rPr>
                <w:rFonts w:hint="default" w:ascii="Times New Roman" w:hAnsi="Times New Roman" w:eastAsia="宋体" w:cs="Times New Roman"/>
                <w:sz w:val="21"/>
                <w:szCs w:val="20"/>
                <w:lang w:eastAsia="zh-CN"/>
              </w:rPr>
              <w:t>柴油</w:t>
            </w:r>
          </w:p>
        </w:tc>
        <w:tc>
          <w:tcPr>
            <w:tcW w:w="807" w:type="pct"/>
            <w:noWrap w:val="0"/>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1000</w:t>
            </w:r>
          </w:p>
        </w:tc>
        <w:tc>
          <w:tcPr>
            <w:tcW w:w="954"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t/a</w:t>
            </w:r>
          </w:p>
        </w:tc>
        <w:tc>
          <w:tcPr>
            <w:tcW w:w="954"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0#</w:t>
            </w:r>
          </w:p>
        </w:tc>
        <w:tc>
          <w:tcPr>
            <w:tcW w:w="956"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6" w:type="pct"/>
            <w:noWrap w:val="0"/>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661" w:type="pct"/>
            <w:noWrap w:val="0"/>
            <w:vAlign w:val="center"/>
          </w:tcPr>
          <w:p>
            <w:pPr>
              <w:spacing w:line="320" w:lineRule="exact"/>
              <w:jc w:val="center"/>
              <w:rPr>
                <w:rFonts w:hint="default" w:ascii="Times New Roman" w:hAnsi="Times New Roman" w:eastAsia="宋体" w:cs="Times New Roman"/>
                <w:sz w:val="21"/>
                <w:szCs w:val="20"/>
                <w:lang w:eastAsia="zh-CN"/>
              </w:rPr>
            </w:pPr>
            <w:r>
              <w:rPr>
                <w:rFonts w:hint="default" w:ascii="Times New Roman" w:hAnsi="Times New Roman" w:eastAsia="宋体" w:cs="Times New Roman"/>
                <w:sz w:val="21"/>
                <w:szCs w:val="20"/>
                <w:lang w:eastAsia="zh-CN"/>
              </w:rPr>
              <w:t>电</w:t>
            </w:r>
          </w:p>
        </w:tc>
        <w:tc>
          <w:tcPr>
            <w:tcW w:w="807" w:type="pct"/>
            <w:noWrap w:val="0"/>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3000</w:t>
            </w:r>
          </w:p>
        </w:tc>
        <w:tc>
          <w:tcPr>
            <w:tcW w:w="954" w:type="pct"/>
            <w:noWrap w:val="0"/>
            <w:vAlign w:val="center"/>
          </w:tcPr>
          <w:p>
            <w:pPr>
              <w:spacing w:line="320" w:lineRule="exact"/>
              <w:jc w:val="center"/>
              <w:rPr>
                <w:rFonts w:hint="default" w:ascii="Times New Roman" w:hAnsi="Times New Roman" w:eastAsia="宋体" w:cs="Times New Roman"/>
                <w:sz w:val="21"/>
                <w:szCs w:val="20"/>
              </w:rPr>
            </w:pPr>
            <w:r>
              <w:rPr>
                <w:rFonts w:hint="default" w:ascii="Times New Roman" w:hAnsi="Times New Roman" w:eastAsia="宋体" w:cs="Times New Roman"/>
                <w:sz w:val="21"/>
                <w:szCs w:val="20"/>
              </w:rPr>
              <w:t xml:space="preserve">kW·h/a </w:t>
            </w:r>
          </w:p>
        </w:tc>
        <w:tc>
          <w:tcPr>
            <w:tcW w:w="954" w:type="pct"/>
            <w:noWrap w:val="0"/>
            <w:vAlign w:val="center"/>
          </w:tcPr>
          <w:p>
            <w:pPr>
              <w:spacing w:line="320" w:lineRule="exact"/>
              <w:jc w:val="center"/>
              <w:rPr>
                <w:rFonts w:hint="default" w:ascii="Times New Roman" w:hAnsi="Times New Roman" w:eastAsia="宋体" w:cs="Times New Roman"/>
                <w:sz w:val="21"/>
                <w:szCs w:val="20"/>
                <w:lang w:val="en-US" w:eastAsia="zh-CN"/>
              </w:rPr>
            </w:pPr>
            <w:r>
              <w:rPr>
                <w:rFonts w:hint="default" w:ascii="Times New Roman" w:hAnsi="Times New Roman" w:eastAsia="宋体" w:cs="Times New Roman"/>
                <w:sz w:val="21"/>
                <w:szCs w:val="20"/>
                <w:lang w:val="en-US" w:eastAsia="zh-CN"/>
              </w:rPr>
              <w:t>/</w:t>
            </w:r>
          </w:p>
        </w:tc>
        <w:tc>
          <w:tcPr>
            <w:tcW w:w="956"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bl>
    <w:p>
      <w:pPr>
        <w:spacing w:line="360" w:lineRule="auto"/>
        <w:ind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8"/>
        </w:rPr>
        <w:t>该项目主</w:t>
      </w:r>
      <w:r>
        <w:rPr>
          <w:rFonts w:hint="default" w:ascii="Times New Roman" w:hAnsi="Times New Roman" w:eastAsia="宋体" w:cs="Times New Roman"/>
          <w:color w:val="000000"/>
          <w:sz w:val="24"/>
          <w:szCs w:val="24"/>
        </w:rPr>
        <w:t>要生产设备及环保设施详见表3-4。</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bookmarkStart w:id="25" w:name="_Toc1336"/>
      <w:r>
        <w:rPr>
          <w:rFonts w:hint="default" w:ascii="Times New Roman" w:hAnsi="Times New Roman" w:eastAsia="宋体" w:cs="Times New Roman"/>
          <w:b/>
          <w:sz w:val="24"/>
          <w:szCs w:val="24"/>
        </w:rPr>
        <w:t>表3-4  项目主要生产设备及环保设施一览表</w:t>
      </w:r>
      <w:bookmarkEnd w:id="25"/>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2735"/>
        <w:gridCol w:w="2355"/>
        <w:gridCol w:w="788"/>
        <w:gridCol w:w="1115"/>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1604" w:type="pct"/>
            <w:noWrap w:val="0"/>
            <w:vAlign w:val="center"/>
          </w:tcPr>
          <w:p>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lang w:eastAsia="zh-CN"/>
              </w:rPr>
              <w:t>设备</w:t>
            </w:r>
            <w:r>
              <w:rPr>
                <w:rFonts w:hint="default" w:ascii="Times New Roman" w:hAnsi="Times New Roman" w:eastAsia="宋体" w:cs="Times New Roman"/>
                <w:b/>
                <w:sz w:val="21"/>
                <w:szCs w:val="21"/>
              </w:rPr>
              <w:t>名称</w:t>
            </w:r>
          </w:p>
        </w:tc>
        <w:tc>
          <w:tcPr>
            <w:tcW w:w="1381" w:type="pct"/>
            <w:noWrap w:val="0"/>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rPr>
              <w:t>型号</w:t>
            </w:r>
            <w:r>
              <w:rPr>
                <w:rFonts w:hint="default" w:ascii="Times New Roman" w:hAnsi="Times New Roman" w:eastAsia="宋体" w:cs="Times New Roman"/>
                <w:b/>
                <w:sz w:val="21"/>
                <w:szCs w:val="21"/>
                <w:lang w:eastAsia="zh-CN"/>
              </w:rPr>
              <w:t>规格</w:t>
            </w:r>
          </w:p>
        </w:tc>
        <w:tc>
          <w:tcPr>
            <w:tcW w:w="462" w:type="pct"/>
            <w:tcBorders>
              <w:bottom w:val="single" w:color="auto" w:sz="4" w:space="0"/>
            </w:tcBorders>
            <w:noWrap w:val="0"/>
            <w:vAlign w:val="center"/>
          </w:tcPr>
          <w:p>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数量</w:t>
            </w:r>
          </w:p>
        </w:tc>
        <w:tc>
          <w:tcPr>
            <w:tcW w:w="654" w:type="pct"/>
            <w:noWrap w:val="0"/>
            <w:vAlign w:val="center"/>
          </w:tcPr>
          <w:p>
            <w:pPr>
              <w:jc w:val="center"/>
              <w:rPr>
                <w:rFonts w:hint="eastAsia" w:ascii="Times New Roman" w:hAnsi="Times New Roman" w:eastAsia="宋体" w:cs="Times New Roman"/>
                <w:b/>
                <w:kern w:val="2"/>
                <w:sz w:val="21"/>
                <w:szCs w:val="21"/>
                <w:lang w:val="en-US" w:eastAsia="zh-CN" w:bidi="ar-SA"/>
              </w:rPr>
            </w:pPr>
            <w:r>
              <w:rPr>
                <w:rFonts w:hint="eastAsia" w:ascii="Times New Roman" w:hAnsi="Times New Roman" w:cs="Times New Roman"/>
                <w:b/>
                <w:sz w:val="21"/>
                <w:szCs w:val="21"/>
                <w:lang w:val="en-US" w:eastAsia="zh-CN"/>
              </w:rPr>
              <w:t>实际</w:t>
            </w:r>
            <w:r>
              <w:rPr>
                <w:rFonts w:hint="default" w:ascii="Times New Roman" w:hAnsi="Times New Roman" w:eastAsia="宋体" w:cs="Times New Roman"/>
                <w:b/>
                <w:sz w:val="21"/>
                <w:szCs w:val="21"/>
              </w:rPr>
              <w:t>数量</w:t>
            </w:r>
          </w:p>
        </w:tc>
        <w:tc>
          <w:tcPr>
            <w:tcW w:w="544" w:type="pct"/>
            <w:noWrap w:val="0"/>
            <w:vAlign w:val="center"/>
          </w:tcPr>
          <w:p>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val="0"/>
                <w:sz w:val="21"/>
                <w:szCs w:val="21"/>
                <w:lang w:val="en-US" w:eastAsia="zh-CN"/>
              </w:rPr>
              <w:t>潜油泵型</w:t>
            </w:r>
            <w:r>
              <w:rPr>
                <w:rFonts w:hint="default" w:ascii="Times New Roman" w:hAnsi="Times New Roman" w:eastAsia="宋体" w:cs="Times New Roman"/>
                <w:sz w:val="21"/>
                <w:szCs w:val="21"/>
              </w:rPr>
              <w:t>加油机</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lang w:val="en-US" w:eastAsia="zh-CN"/>
              </w:rPr>
              <w:t>双枪双油品</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92#汽油储罐</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SF复合双层罐30m</w:t>
            </w:r>
            <w:r>
              <w:rPr>
                <w:rFonts w:hint="default" w:ascii="Times New Roman" w:hAnsi="Times New Roman" w:eastAsia="宋体" w:cs="Times New Roman"/>
                <w:sz w:val="21"/>
                <w:szCs w:val="21"/>
                <w:vertAlign w:val="superscript"/>
              </w:rPr>
              <w:t>3</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1个</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1个</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95#汽油储罐</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SF复合双层罐30m</w:t>
            </w:r>
            <w:r>
              <w:rPr>
                <w:rFonts w:hint="default" w:ascii="Times New Roman" w:hAnsi="Times New Roman" w:eastAsia="宋体" w:cs="Times New Roman"/>
                <w:sz w:val="21"/>
                <w:szCs w:val="21"/>
                <w:vertAlign w:val="superscript"/>
              </w:rPr>
              <w:t>3</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个</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val="en-US" w:eastAsia="zh-CN"/>
              </w:rPr>
              <w:t>个</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eastAsia="zh-CN"/>
              </w:rPr>
              <w:t>柴</w:t>
            </w:r>
            <w:r>
              <w:rPr>
                <w:rFonts w:hint="default" w:ascii="Times New Roman" w:hAnsi="Times New Roman" w:eastAsia="宋体" w:cs="Times New Roman"/>
                <w:sz w:val="21"/>
                <w:szCs w:val="21"/>
              </w:rPr>
              <w:t>油储罐</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SF复合双层罐30m</w:t>
            </w:r>
            <w:r>
              <w:rPr>
                <w:rFonts w:hint="default" w:ascii="Times New Roman" w:hAnsi="Times New Roman" w:eastAsia="宋体" w:cs="Times New Roman"/>
                <w:sz w:val="21"/>
                <w:szCs w:val="21"/>
                <w:vertAlign w:val="superscript"/>
              </w:rPr>
              <w:t>3</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2个</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2个</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液位计</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lang w:eastAsia="zh-CN"/>
              </w:rPr>
              <w:t>个</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lang w:eastAsia="zh-CN"/>
              </w:rPr>
              <w:t>个</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潜油泵</w:t>
            </w:r>
          </w:p>
        </w:tc>
        <w:tc>
          <w:tcPr>
            <w:tcW w:w="1381" w:type="pct"/>
            <w:noWrap w:val="0"/>
            <w:vAlign w:val="top"/>
          </w:tcPr>
          <w:p>
            <w:pPr>
              <w:spacing w:line="240" w:lineRule="auto"/>
              <w:ind w:firstLine="0" w:firstLineChars="0"/>
              <w:jc w:val="center"/>
              <w:rPr>
                <w:rFonts w:hint="default" w:ascii="Times New Roman" w:hAnsi="Times New Roman" w:eastAsia="宋体" w:cs="Times New Roman"/>
                <w:sz w:val="21"/>
                <w:szCs w:val="21"/>
              </w:rPr>
            </w:pPr>
            <w:r>
              <w:rPr>
                <w:rStyle w:val="68"/>
                <w:rFonts w:hint="default" w:ascii="Times New Roman" w:hAnsi="Times New Roman" w:eastAsia="宋体" w:cs="Times New Roman"/>
                <w:i w:val="0"/>
                <w:color w:val="auto"/>
                <w:sz w:val="21"/>
                <w:szCs w:val="21"/>
              </w:rPr>
              <w:t>Q=200L/min、</w:t>
            </w:r>
            <w:r>
              <w:rPr>
                <w:rStyle w:val="68"/>
                <w:rFonts w:hint="default" w:ascii="Times New Roman" w:hAnsi="Times New Roman" w:eastAsia="宋体" w:cs="Times New Roman"/>
                <w:i w:val="0"/>
                <w:color w:val="auto"/>
                <w:sz w:val="21"/>
                <w:szCs w:val="21"/>
                <w:lang w:eastAsia="zh-CN"/>
              </w:rPr>
              <w:t>功率</w:t>
            </w:r>
            <w:r>
              <w:rPr>
                <w:rStyle w:val="68"/>
                <w:rFonts w:hint="default" w:ascii="Times New Roman" w:hAnsi="Times New Roman" w:eastAsia="宋体" w:cs="Times New Roman"/>
                <w:i w:val="0"/>
                <w:color w:val="auto"/>
                <w:sz w:val="21"/>
                <w:szCs w:val="21"/>
              </w:rPr>
              <w:t>1.12kw</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卸油</w:t>
            </w:r>
            <w:r>
              <w:rPr>
                <w:rFonts w:hint="default" w:ascii="Times New Roman" w:hAnsi="Times New Roman" w:eastAsia="宋体" w:cs="Times New Roman"/>
                <w:sz w:val="21"/>
                <w:szCs w:val="21"/>
                <w:lang w:eastAsia="zh-CN"/>
              </w:rPr>
              <w:t>油气回收处理系统</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1台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储油罐呼吸阀</w:t>
            </w:r>
            <w:r>
              <w:rPr>
                <w:rFonts w:hint="default" w:ascii="Times New Roman" w:hAnsi="Times New Roman" w:eastAsia="宋体" w:cs="Times New Roman"/>
                <w:sz w:val="21"/>
                <w:szCs w:val="21"/>
                <w:lang w:eastAsia="zh-CN"/>
              </w:rPr>
              <w:t>油气回收处理系统</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1台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加油机</w:t>
            </w:r>
            <w:r>
              <w:rPr>
                <w:rFonts w:hint="default" w:ascii="Times New Roman" w:hAnsi="Times New Roman" w:eastAsia="宋体" w:cs="Times New Roman"/>
                <w:sz w:val="21"/>
                <w:szCs w:val="21"/>
                <w:lang w:eastAsia="zh-CN"/>
              </w:rPr>
              <w:t>油气回收处理系统</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1台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箱式变压器</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1台</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1台</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消防沙箱</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座</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座</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出入口指示灯箱</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2处</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2处</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主标识立牌</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w:t>
            </w:r>
          </w:p>
        </w:tc>
        <w:tc>
          <w:tcPr>
            <w:tcW w:w="462"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lang w:val="en-US" w:eastAsia="zh-CN"/>
              </w:rPr>
              <w:t>1处</w:t>
            </w:r>
          </w:p>
        </w:tc>
        <w:tc>
          <w:tcPr>
            <w:tcW w:w="65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lang w:val="en-US" w:eastAsia="zh-CN"/>
              </w:rPr>
              <w:t>1处</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52" w:type="pct"/>
            <w:noWrap w:val="0"/>
            <w:vAlign w:val="center"/>
          </w:tcPr>
          <w:p>
            <w:pPr>
              <w:autoSpaceDE w:val="0"/>
              <w:autoSpaceDN w:val="0"/>
              <w:adjustRightIn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1604" w:type="pc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防滑减速带</w:t>
            </w:r>
          </w:p>
        </w:tc>
        <w:tc>
          <w:tcPr>
            <w:tcW w:w="1381" w:type="pct"/>
            <w:noWrap w:val="0"/>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46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30m</w:t>
            </w:r>
          </w:p>
        </w:tc>
        <w:tc>
          <w:tcPr>
            <w:tcW w:w="65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30m</w:t>
            </w:r>
          </w:p>
        </w:tc>
        <w:tc>
          <w:tcPr>
            <w:tcW w:w="544" w:type="pct"/>
            <w:noWrap w:val="0"/>
            <w:vAlign w:val="center"/>
          </w:tcPr>
          <w:p>
            <w:pPr>
              <w:pStyle w:val="67"/>
              <w:spacing w:beforeLines="0"/>
              <w:ind w:firstLine="0" w:firstLineChars="0"/>
              <w:jc w:val="center"/>
              <w:rPr>
                <w:rFonts w:hint="default" w:ascii="Times New Roman" w:hAnsi="Times New Roman" w:eastAsia="宋体" w:cs="Times New Roman"/>
                <w:b w:val="0"/>
                <w:bCs/>
                <w:sz w:val="21"/>
                <w:szCs w:val="21"/>
                <w:lang w:val="en-US" w:eastAsia="zh-CN" w:bidi="ar-SA"/>
              </w:rPr>
            </w:pPr>
            <w:r>
              <w:rPr>
                <w:rFonts w:hint="default" w:ascii="Times New Roman" w:hAnsi="Times New Roman" w:eastAsia="宋体" w:cs="Times New Roman"/>
                <w:b w:val="0"/>
                <w:bCs/>
                <w:color w:val="auto"/>
                <w:sz w:val="21"/>
                <w:szCs w:val="21"/>
                <w:lang w:val="en-US" w:eastAsia="zh-CN"/>
              </w:rPr>
              <w:t>同环评一致</w:t>
            </w:r>
          </w:p>
        </w:tc>
      </w:tr>
    </w:tbl>
    <w:p>
      <w:pPr>
        <w:keepNext w:val="0"/>
        <w:keepLines w:val="0"/>
        <w:pageBreakBefore w:val="0"/>
        <w:widowControl w:val="0"/>
        <w:kinsoku/>
        <w:wordWrap/>
        <w:overflowPunct/>
        <w:topLinePunct w:val="0"/>
        <w:autoSpaceDE/>
        <w:autoSpaceDN/>
        <w:bidi w:val="0"/>
        <w:adjustRightInd/>
        <w:snapToGrid w:val="0"/>
        <w:spacing w:line="360" w:lineRule="auto"/>
        <w:ind w:firstLine="562" w:firstLineChars="200"/>
        <w:textAlignment w:val="auto"/>
        <w:rPr>
          <w:rFonts w:hint="default" w:ascii="Times New Roman" w:hAnsi="Times New Roman" w:eastAsia="宋体" w:cs="Times New Roman"/>
          <w:b/>
          <w:sz w:val="28"/>
          <w:szCs w:val="32"/>
          <w:highlight w:val="none"/>
        </w:rPr>
      </w:pPr>
      <w:r>
        <w:rPr>
          <w:rFonts w:hint="default" w:ascii="Times New Roman" w:hAnsi="Times New Roman" w:eastAsia="宋体" w:cs="Times New Roman"/>
          <w:b/>
          <w:sz w:val="28"/>
          <w:szCs w:val="32"/>
          <w:highlight w:val="none"/>
        </w:rPr>
        <w:t>3.4水源及水平衡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s="Times New Roman"/>
          <w:color w:val="000000"/>
          <w:sz w:val="24"/>
        </w:rPr>
      </w:pPr>
      <w:r>
        <w:rPr>
          <w:rFonts w:hint="eastAsia" w:ascii="Times New Roman" w:hAnsi="Times New Roman" w:eastAsia="宋体" w:cs="Times New Roman"/>
          <w:color w:val="000000"/>
          <w:sz w:val="24"/>
        </w:rPr>
        <w:t>（1）给水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s="Times New Roman"/>
          <w:b/>
          <w:color w:val="000000"/>
          <w:sz w:val="24"/>
        </w:rPr>
      </w:pPr>
      <w:r>
        <w:rPr>
          <w:rFonts w:hint="eastAsia" w:ascii="Times New Roman" w:hAnsi="Times New Roman" w:eastAsia="宋体" w:cs="Times New Roman"/>
          <w:sz w:val="24"/>
        </w:rPr>
        <w:t>本项目</w:t>
      </w:r>
      <w:r>
        <w:rPr>
          <w:rFonts w:ascii="Times New Roman" w:hAnsi="Times New Roman" w:eastAsia="宋体" w:cs="Times New Roman"/>
          <w:color w:val="000000"/>
          <w:sz w:val="24"/>
        </w:rPr>
        <w:t>水源</w:t>
      </w:r>
      <w:r>
        <w:rPr>
          <w:rFonts w:hint="eastAsia" w:ascii="Times New Roman" w:hAnsi="Times New Roman" w:eastAsia="宋体" w:cs="Times New Roman"/>
          <w:sz w:val="24"/>
        </w:rPr>
        <w:t>由市政供水管网提供</w:t>
      </w:r>
      <w:r>
        <w:rPr>
          <w:rFonts w:ascii="Times New Roman" w:hAnsi="Times New Roman" w:eastAsia="宋体" w:cs="Times New Roman"/>
          <w:sz w:val="24"/>
        </w:rPr>
        <w:t>，</w:t>
      </w:r>
      <w:r>
        <w:rPr>
          <w:rFonts w:hint="eastAsia" w:ascii="Times New Roman" w:hAnsi="Times New Roman" w:eastAsia="宋体" w:cs="Times New Roman"/>
          <w:sz w:val="24"/>
        </w:rPr>
        <w:t>本项目油罐清洗周期一般为三至五年，交由专业公司清洗，故本次评价不再考虑油罐清洗用水。</w:t>
      </w:r>
      <w:r>
        <w:rPr>
          <w:rFonts w:hint="eastAsia" w:ascii="Times New Roman" w:hAnsi="Times New Roman" w:eastAsia="宋体" w:cs="Times New Roman"/>
          <w:sz w:val="24"/>
          <w:lang w:eastAsia="zh-CN"/>
        </w:rPr>
        <w:t>拟建项目</w:t>
      </w:r>
      <w:r>
        <w:rPr>
          <w:rFonts w:hint="eastAsia" w:ascii="Times New Roman" w:hAnsi="Times New Roman" w:eastAsia="宋体" w:cs="Times New Roman"/>
          <w:color w:val="000000"/>
          <w:sz w:val="24"/>
        </w:rPr>
        <w:t>用水主要为职工</w:t>
      </w:r>
      <w:r>
        <w:rPr>
          <w:rFonts w:ascii="Times New Roman" w:hAnsi="Times New Roman" w:eastAsia="宋体" w:cs="Times New Roman"/>
          <w:color w:val="000000"/>
          <w:sz w:val="24"/>
        </w:rPr>
        <w:t>生活用水</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bCs/>
          <w:sz w:val="24"/>
        </w:rPr>
        <w:t>外来加油人员用水</w:t>
      </w:r>
      <w:r>
        <w:rPr>
          <w:rFonts w:hint="eastAsia" w:ascii="Times New Roman" w:hAnsi="Times New Roman" w:eastAsia="宋体" w:cs="Times New Roman"/>
          <w:bCs/>
          <w:sz w:val="24"/>
          <w:lang w:eastAsia="zh-CN"/>
        </w:rPr>
        <w:t>和</w:t>
      </w:r>
      <w:r>
        <w:rPr>
          <w:rFonts w:ascii="Times New Roman" w:hAnsi="Times New Roman" w:eastAsia="宋体" w:cs="Times New Roman"/>
          <w:kern w:val="0"/>
          <w:sz w:val="24"/>
        </w:rPr>
        <w:t>洗车用水</w:t>
      </w:r>
      <w:r>
        <w:rPr>
          <w:rFonts w:ascii="Times New Roman" w:hAnsi="Times New Roman" w:eastAsia="宋体" w:cs="Times New Roman"/>
          <w:color w:val="000000"/>
          <w:sz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s="Times New Roman"/>
          <w:color w:val="000000"/>
          <w:sz w:val="24"/>
        </w:rPr>
      </w:pPr>
      <w:r>
        <w:rPr>
          <w:rFonts w:hint="default" w:ascii="Times New Roman" w:hAnsi="Times New Roman" w:eastAsia="MS UI Gothic" w:cs="Times New Roman"/>
          <w:sz w:val="24"/>
          <w:szCs w:val="24"/>
        </w:rPr>
        <w:t>①</w:t>
      </w:r>
      <w:r>
        <w:rPr>
          <w:rFonts w:hint="default" w:ascii="Times New Roman" w:hAnsi="Times New Roman" w:eastAsia="宋体" w:cs="Times New Roman"/>
          <w:sz w:val="24"/>
          <w:szCs w:val="24"/>
        </w:rPr>
        <w:t>职工</w:t>
      </w:r>
      <w:r>
        <w:rPr>
          <w:rFonts w:hint="default" w:ascii="Times New Roman" w:hAnsi="Times New Roman" w:eastAsia="宋体" w:cs="Times New Roman"/>
          <w:color w:val="000000"/>
          <w:sz w:val="24"/>
          <w:szCs w:val="24"/>
        </w:rPr>
        <w:t>生活用水：</w:t>
      </w:r>
      <w:r>
        <w:rPr>
          <w:rFonts w:hint="eastAsia" w:ascii="Times New Roman" w:hAnsi="Times New Roman" w:eastAsia="宋体" w:cs="Times New Roman"/>
          <w:color w:val="000000"/>
          <w:sz w:val="24"/>
        </w:rPr>
        <w:t>拟建项目</w:t>
      </w:r>
      <w:r>
        <w:rPr>
          <w:rFonts w:ascii="Times New Roman" w:hAnsi="Times New Roman" w:eastAsia="宋体" w:cs="Times New Roman"/>
          <w:color w:val="000000"/>
          <w:sz w:val="24"/>
        </w:rPr>
        <w:t>劳动定员</w:t>
      </w:r>
      <w:r>
        <w:rPr>
          <w:rFonts w:hint="eastAsia" w:ascii="Times New Roman" w:hAnsi="Times New Roman" w:eastAsia="宋体" w:cs="Times New Roman"/>
          <w:color w:val="000000"/>
          <w:sz w:val="24"/>
          <w:lang w:val="en-US" w:eastAsia="zh-CN"/>
        </w:rPr>
        <w:t>6</w:t>
      </w:r>
      <w:r>
        <w:rPr>
          <w:rFonts w:ascii="Times New Roman" w:hAnsi="Times New Roman" w:eastAsia="宋体" w:cs="Times New Roman"/>
          <w:color w:val="000000"/>
          <w:sz w:val="24"/>
        </w:rPr>
        <w:t>人，</w:t>
      </w:r>
      <w:r>
        <w:rPr>
          <w:rFonts w:hint="default" w:ascii="Times New Roman" w:hAnsi="Times New Roman" w:eastAsia="宋体" w:cs="Times New Roman"/>
          <w:color w:val="000000"/>
          <w:sz w:val="24"/>
        </w:rPr>
        <w:t>厂区内不设置食宿，员工用餐为统一外购，生活用水定额取50L/人•d计，则生活用水量为</w:t>
      </w:r>
      <w:r>
        <w:rPr>
          <w:rFonts w:hint="eastAsia" w:ascii="Times New Roman" w:hAnsi="Times New Roman" w:eastAsia="宋体" w:cs="Times New Roman"/>
          <w:color w:val="000000"/>
          <w:sz w:val="24"/>
          <w:lang w:val="en-US" w:eastAsia="zh-CN"/>
        </w:rPr>
        <w:t>109.5</w:t>
      </w:r>
      <w:r>
        <w:rPr>
          <w:rFonts w:hint="default" w:ascii="Times New Roman" w:hAnsi="Times New Roman" w:eastAsia="宋体" w:cs="Times New Roman"/>
          <w:color w:val="000000"/>
          <w:sz w:val="24"/>
        </w:rPr>
        <w:t>m</w:t>
      </w:r>
      <w:r>
        <w:rPr>
          <w:rFonts w:hint="default" w:ascii="Times New Roman" w:hAnsi="Times New Roman" w:eastAsia="宋体" w:cs="Times New Roman"/>
          <w:color w:val="000000"/>
          <w:sz w:val="24"/>
          <w:vertAlign w:val="superscript"/>
        </w:rPr>
        <w:t>3</w:t>
      </w:r>
      <w:r>
        <w:rPr>
          <w:rFonts w:hint="default" w:ascii="Times New Roman" w:hAnsi="Times New Roman" w:eastAsia="宋体" w:cs="Times New Roman"/>
          <w:color w:val="000000"/>
          <w:sz w:val="24"/>
        </w:rPr>
        <w:t>/a。</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Cs/>
          <w:sz w:val="24"/>
        </w:rPr>
      </w:pPr>
      <w:r>
        <w:rPr>
          <w:rFonts w:hint="eastAsia" w:ascii="Times New Roman" w:hAnsi="Times New Roman" w:eastAsia="宋体" w:cs="Times New Roman"/>
          <w:bCs/>
          <w:sz w:val="24"/>
        </w:rPr>
        <w:t>②外来加油人员用水：根据建设单位提供资料，加油站卫生间对外开放，预计来往如厕人数按150人/天（估算实际用水人数），根据《行业用水定额》（DB61/T943-2014）（</w:t>
      </w:r>
      <w:r>
        <w:rPr>
          <w:rFonts w:hint="eastAsia" w:ascii="Times New Roman" w:hAnsi="Times New Roman" w:eastAsia="宋体" w:cs="Times New Roman"/>
          <w:bCs/>
          <w:sz w:val="24"/>
          <w:lang w:eastAsia="zh-CN"/>
        </w:rPr>
        <w:t>山东</w:t>
      </w:r>
      <w:r>
        <w:rPr>
          <w:rFonts w:hint="eastAsia" w:ascii="Times New Roman" w:hAnsi="Times New Roman" w:eastAsia="宋体" w:cs="Times New Roman"/>
          <w:bCs/>
          <w:sz w:val="24"/>
        </w:rPr>
        <w:t>省）的相关规定，平均用水量按5L/人•次•天计算，则用水量为0.75m</w:t>
      </w:r>
      <w:r>
        <w:rPr>
          <w:rFonts w:hint="eastAsia" w:ascii="Times New Roman" w:hAnsi="Times New Roman" w:eastAsia="宋体" w:cs="Times New Roman"/>
          <w:bCs/>
          <w:sz w:val="24"/>
          <w:vertAlign w:val="superscript"/>
        </w:rPr>
        <w:t>3</w:t>
      </w:r>
      <w:r>
        <w:rPr>
          <w:rFonts w:hint="eastAsia" w:ascii="Times New Roman" w:hAnsi="Times New Roman" w:eastAsia="宋体" w:cs="Times New Roman"/>
          <w:bCs/>
          <w:sz w:val="24"/>
        </w:rPr>
        <w:t>/d，27</w:t>
      </w:r>
      <w:r>
        <w:rPr>
          <w:rFonts w:hint="eastAsia" w:ascii="Times New Roman" w:hAnsi="Times New Roman" w:cs="Times New Roman"/>
          <w:bCs/>
          <w:sz w:val="24"/>
          <w:lang w:val="en-US" w:eastAsia="zh-CN"/>
        </w:rPr>
        <w:t>3.75</w:t>
      </w:r>
      <w:r>
        <w:rPr>
          <w:rFonts w:hint="eastAsia" w:ascii="Times New Roman" w:hAnsi="Times New Roman" w:eastAsia="宋体" w:cs="Times New Roman"/>
          <w:bCs/>
          <w:sz w:val="24"/>
        </w:rPr>
        <w:t>m</w:t>
      </w:r>
      <w:r>
        <w:rPr>
          <w:rFonts w:hint="eastAsia" w:ascii="Times New Roman" w:hAnsi="Times New Roman" w:eastAsia="宋体" w:cs="Times New Roman"/>
          <w:bCs/>
          <w:sz w:val="24"/>
          <w:vertAlign w:val="superscript"/>
        </w:rPr>
        <w:t>3</w:t>
      </w:r>
      <w:r>
        <w:rPr>
          <w:rFonts w:hint="eastAsia" w:ascii="Times New Roman" w:hAnsi="Times New Roman" w:eastAsia="宋体" w:cs="Times New Roman"/>
          <w:bCs/>
          <w:sz w:val="24"/>
        </w:rPr>
        <w:t>/a。</w:t>
      </w:r>
    </w:p>
    <w:p>
      <w:pPr>
        <w:pStyle w:val="2"/>
        <w:spacing w:after="0" w:afterAutospacing="0" w:line="360" w:lineRule="auto"/>
        <w:ind w:left="0" w:leftChars="0" w:firstLine="480" w:firstLineChars="0"/>
        <w:rPr>
          <w:rFonts w:hint="default" w:eastAsia="宋体"/>
          <w:lang w:val="en-US" w:eastAsia="zh-CN"/>
        </w:rPr>
      </w:pPr>
      <w:r>
        <w:rPr>
          <w:rFonts w:hint="eastAsia" w:ascii="Times New Roman" w:hAnsi="Times New Roman" w:cs="Times New Roman"/>
          <w:bCs/>
          <w:sz w:val="24"/>
          <w:lang w:val="en-US" w:eastAsia="zh-CN"/>
        </w:rPr>
        <w:t>③加油罩棚地面冲洗用水：根据企业提供资料地面冲洗用水地面冲洗平均4次/月，每次用水量1m³，则冲洗地面用水量为48m³/a，冲洗废水统一引至隔油池处理后，循环使用，只需定期补充损耗，损耗量按用水量的20%计算，则用水量为9.6m³/a。</w:t>
      </w:r>
    </w:p>
    <w:p>
      <w:pPr>
        <w:keepNext w:val="0"/>
        <w:keepLines w:val="0"/>
        <w:pageBreakBefore w:val="0"/>
        <w:widowControl w:val="0"/>
        <w:kinsoku/>
        <w:wordWrap/>
        <w:overflowPunct/>
        <w:topLinePunct w:val="0"/>
        <w:autoSpaceDE/>
        <w:autoSpaceDN/>
        <w:bidi w:val="0"/>
        <w:adjustRightInd/>
        <w:snapToGrid w:val="0"/>
        <w:spacing w:beforeAutospacing="0" w:line="360" w:lineRule="auto"/>
        <w:ind w:firstLine="480" w:firstLineChars="200"/>
        <w:textAlignment w:val="auto"/>
        <w:rPr>
          <w:rFonts w:ascii="Times New Roman" w:hAnsi="Times New Roman" w:eastAsia="宋体" w:cs="Times New Roman"/>
          <w:color w:val="000000"/>
          <w:sz w:val="24"/>
        </w:rPr>
      </w:pPr>
      <w:r>
        <w:rPr>
          <w:rFonts w:hint="eastAsia" w:ascii="Times New Roman" w:hAnsi="Times New Roman" w:eastAsia="宋体" w:cs="Times New Roman"/>
          <w:bCs/>
          <w:sz w:val="24"/>
        </w:rPr>
        <w:t>综上所述，本项目新鲜水用量为</w:t>
      </w:r>
      <w:r>
        <w:rPr>
          <w:rFonts w:hint="eastAsia" w:ascii="Times New Roman" w:hAnsi="Times New Roman" w:cs="Times New Roman"/>
          <w:bCs/>
          <w:sz w:val="24"/>
          <w:lang w:val="en-US" w:eastAsia="zh-CN"/>
        </w:rPr>
        <w:t>392.85</w:t>
      </w:r>
      <w:r>
        <w:rPr>
          <w:rFonts w:ascii="Times New Roman" w:hAnsi="Times New Roman" w:eastAsia="宋体" w:cs="Times New Roman"/>
          <w:bCs/>
          <w:sz w:val="24"/>
        </w:rPr>
        <w:t>m</w:t>
      </w:r>
      <w:r>
        <w:rPr>
          <w:rFonts w:ascii="Times New Roman" w:hAnsi="Times New Roman" w:eastAsia="宋体" w:cs="Times New Roman"/>
          <w:bCs/>
          <w:sz w:val="24"/>
          <w:vertAlign w:val="superscript"/>
        </w:rPr>
        <w:t>3</w:t>
      </w:r>
      <w:r>
        <w:rPr>
          <w:rFonts w:ascii="Times New Roman" w:hAnsi="Times New Roman" w:eastAsia="宋体" w:cs="Times New Roman"/>
          <w:bCs/>
          <w:sz w:val="24"/>
        </w:rPr>
        <w:t>/a。</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s="Times New Roman"/>
          <w:color w:val="000000"/>
          <w:sz w:val="24"/>
        </w:rPr>
      </w:pPr>
      <w:r>
        <w:rPr>
          <w:rFonts w:hint="eastAsia" w:ascii="Times New Roman" w:hAnsi="Times New Roman" w:eastAsia="宋体" w:cs="Times New Roman"/>
          <w:color w:val="000000"/>
          <w:sz w:val="24"/>
        </w:rPr>
        <w:t>（2）排水</w:t>
      </w:r>
    </w:p>
    <w:p>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eastAsia" w:ascii="Times New Roman" w:hAnsi="Times New Roman" w:eastAsia="宋体" w:cs="Times New Roman"/>
          <w:color w:val="000000"/>
          <w:kern w:val="24"/>
          <w:sz w:val="24"/>
          <w:szCs w:val="20"/>
          <w:lang w:val="en-US" w:eastAsia="zh-CN" w:bidi="ar-SA"/>
        </w:rPr>
      </w:pPr>
      <w:r>
        <w:rPr>
          <w:rFonts w:hint="eastAsia" w:ascii="Times New Roman" w:hAnsi="Times New Roman" w:eastAsia="宋体" w:cs="Times New Roman"/>
          <w:color w:val="000000"/>
          <w:kern w:val="24"/>
          <w:sz w:val="24"/>
          <w:szCs w:val="20"/>
          <w:lang w:val="en-US" w:eastAsia="zh-CN" w:bidi="ar-SA"/>
        </w:rPr>
        <w:t>本项目加油站采用雨污分流制，雨水经厂内排水管道收集后外排市政雨水管网。本</w:t>
      </w:r>
      <w:r>
        <w:rPr>
          <w:rFonts w:ascii="Times New Roman" w:hAnsi="Times New Roman" w:eastAsia="宋体" w:cs="Times New Roman"/>
          <w:bCs/>
          <w:kern w:val="24"/>
          <w:sz w:val="24"/>
          <w:szCs w:val="20"/>
          <w:lang w:val="en-US" w:eastAsia="zh-CN" w:bidi="ar-SA"/>
        </w:rPr>
        <w:t>项目生活污水</w:t>
      </w:r>
      <w:r>
        <w:rPr>
          <w:rFonts w:hint="eastAsia" w:ascii="Times New Roman" w:hAnsi="Times New Roman" w:eastAsia="宋体" w:cs="Times New Roman"/>
          <w:bCs/>
          <w:kern w:val="24"/>
          <w:sz w:val="24"/>
          <w:szCs w:val="20"/>
          <w:lang w:val="en-US" w:eastAsia="zh-CN" w:bidi="ar-SA"/>
        </w:rPr>
        <w:t>、外来加油人员废水</w:t>
      </w:r>
      <w:r>
        <w:rPr>
          <w:rFonts w:ascii="Times New Roman" w:hAnsi="Times New Roman" w:eastAsia="宋体" w:cs="Times New Roman"/>
          <w:bCs/>
          <w:kern w:val="24"/>
          <w:sz w:val="24"/>
          <w:szCs w:val="20"/>
          <w:lang w:val="en-US" w:eastAsia="zh-CN" w:bidi="ar-SA"/>
        </w:rPr>
        <w:t>产污系数按0.8计</w:t>
      </w:r>
      <w:r>
        <w:rPr>
          <w:rFonts w:hint="eastAsia" w:ascii="Times New Roman" w:hAnsi="Times New Roman" w:eastAsia="宋体" w:cs="Times New Roman"/>
          <w:color w:val="000000"/>
          <w:kern w:val="24"/>
          <w:sz w:val="24"/>
          <w:szCs w:val="20"/>
          <w:lang w:val="en-US" w:eastAsia="zh-CN" w:bidi="ar-SA"/>
        </w:rPr>
        <w:t>，则生活污水</w:t>
      </w:r>
      <w:r>
        <w:rPr>
          <w:rFonts w:hint="eastAsia" w:ascii="Times New Roman" w:hAnsi="Times New Roman" w:eastAsia="宋体" w:cs="Times New Roman"/>
          <w:bCs/>
          <w:kern w:val="24"/>
          <w:sz w:val="24"/>
          <w:szCs w:val="20"/>
          <w:lang w:val="en-US" w:eastAsia="zh-CN" w:bidi="ar-SA"/>
        </w:rPr>
        <w:t>、外来加油人员废水</w:t>
      </w:r>
      <w:r>
        <w:rPr>
          <w:rFonts w:hint="eastAsia" w:ascii="Times New Roman" w:hAnsi="Times New Roman" w:eastAsia="宋体" w:cs="Times New Roman"/>
          <w:color w:val="000000"/>
          <w:kern w:val="24"/>
          <w:sz w:val="24"/>
          <w:szCs w:val="20"/>
          <w:lang w:val="en-US" w:eastAsia="zh-CN" w:bidi="ar-SA"/>
        </w:rPr>
        <w:t>产生量分别为</w:t>
      </w:r>
      <w:r>
        <w:rPr>
          <w:rFonts w:hint="eastAsia" w:ascii="Times New Roman" w:hAnsi="Times New Roman" w:cs="Times New Roman"/>
          <w:color w:val="000000"/>
          <w:kern w:val="24"/>
          <w:sz w:val="24"/>
          <w:szCs w:val="20"/>
          <w:lang w:val="en-US" w:eastAsia="zh-CN" w:bidi="ar-SA"/>
        </w:rPr>
        <w:t>87.6</w:t>
      </w:r>
      <w:r>
        <w:rPr>
          <w:rFonts w:ascii="Times New Roman" w:hAnsi="Times New Roman" w:eastAsia="宋体" w:cs="Times New Roman"/>
          <w:color w:val="000000"/>
          <w:kern w:val="24"/>
          <w:sz w:val="24"/>
          <w:szCs w:val="20"/>
          <w:lang w:val="en-US" w:eastAsia="zh-CN" w:bidi="ar-SA"/>
        </w:rPr>
        <w:t>m</w:t>
      </w:r>
      <w:r>
        <w:rPr>
          <w:rFonts w:ascii="Times New Roman" w:hAnsi="Times New Roman" w:eastAsia="宋体" w:cs="Times New Roman"/>
          <w:color w:val="000000"/>
          <w:kern w:val="24"/>
          <w:sz w:val="24"/>
          <w:szCs w:val="20"/>
          <w:vertAlign w:val="superscript"/>
          <w:lang w:val="en-US" w:eastAsia="zh-CN" w:bidi="ar-SA"/>
        </w:rPr>
        <w:t>3</w:t>
      </w:r>
      <w:r>
        <w:rPr>
          <w:rFonts w:ascii="Times New Roman" w:hAnsi="Times New Roman" w:eastAsia="宋体" w:cs="Times New Roman"/>
          <w:color w:val="000000"/>
          <w:kern w:val="24"/>
          <w:sz w:val="24"/>
          <w:szCs w:val="20"/>
          <w:lang w:val="en-US" w:eastAsia="zh-CN" w:bidi="ar-SA"/>
        </w:rPr>
        <w:t>/a</w:t>
      </w:r>
      <w:r>
        <w:rPr>
          <w:rFonts w:hint="eastAsia" w:ascii="Times New Roman" w:hAnsi="Times New Roman" w:eastAsia="宋体" w:cs="Times New Roman"/>
          <w:color w:val="000000"/>
          <w:kern w:val="24"/>
          <w:sz w:val="24"/>
          <w:szCs w:val="20"/>
          <w:lang w:val="en-US" w:eastAsia="zh-CN" w:bidi="ar-SA"/>
        </w:rPr>
        <w:t>、21</w:t>
      </w:r>
      <w:r>
        <w:rPr>
          <w:rFonts w:hint="eastAsia" w:ascii="Times New Roman" w:hAnsi="Times New Roman" w:cs="Times New Roman"/>
          <w:color w:val="000000"/>
          <w:kern w:val="24"/>
          <w:sz w:val="24"/>
          <w:szCs w:val="20"/>
          <w:lang w:val="en-US" w:eastAsia="zh-CN" w:bidi="ar-SA"/>
        </w:rPr>
        <w:t>9</w:t>
      </w:r>
      <w:r>
        <w:rPr>
          <w:rFonts w:ascii="Times New Roman" w:hAnsi="Times New Roman" w:eastAsia="宋体" w:cs="Times New Roman"/>
          <w:color w:val="000000"/>
          <w:kern w:val="24"/>
          <w:sz w:val="24"/>
          <w:szCs w:val="20"/>
          <w:lang w:val="en-US" w:eastAsia="zh-CN" w:bidi="ar-SA"/>
        </w:rPr>
        <w:t>m</w:t>
      </w:r>
      <w:r>
        <w:rPr>
          <w:rFonts w:ascii="Times New Roman" w:hAnsi="Times New Roman" w:eastAsia="宋体" w:cs="Times New Roman"/>
          <w:color w:val="000000"/>
          <w:kern w:val="24"/>
          <w:sz w:val="24"/>
          <w:szCs w:val="20"/>
          <w:vertAlign w:val="superscript"/>
          <w:lang w:val="en-US" w:eastAsia="zh-CN" w:bidi="ar-SA"/>
        </w:rPr>
        <w:t>3</w:t>
      </w:r>
      <w:r>
        <w:rPr>
          <w:rFonts w:ascii="Times New Roman" w:hAnsi="Times New Roman" w:eastAsia="宋体" w:cs="Times New Roman"/>
          <w:color w:val="000000"/>
          <w:kern w:val="24"/>
          <w:sz w:val="24"/>
          <w:szCs w:val="20"/>
          <w:lang w:val="en-US" w:eastAsia="zh-CN" w:bidi="ar-SA"/>
        </w:rPr>
        <w:t>/a</w:t>
      </w:r>
      <w:r>
        <w:rPr>
          <w:rFonts w:hint="eastAsia" w:ascii="Times New Roman" w:hAnsi="Times New Roman" w:eastAsia="宋体" w:cs="Times New Roman"/>
          <w:color w:val="000000"/>
          <w:kern w:val="24"/>
          <w:sz w:val="24"/>
          <w:szCs w:val="20"/>
          <w:lang w:val="en-US" w:eastAsia="zh-CN" w:bidi="ar-SA"/>
        </w:rPr>
        <w:t>，生活污水经化粪池预处理后由环卫部门定期清运，不外排。</w:t>
      </w:r>
    </w:p>
    <w:p>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mc:AlternateContent>
          <mc:Choice Requires="wps">
            <w:drawing>
              <wp:anchor distT="0" distB="0" distL="114300" distR="114300" simplePos="0" relativeHeight="251691008" behindDoc="0" locked="0" layoutInCell="1" allowOverlap="1">
                <wp:simplePos x="0" y="0"/>
                <wp:positionH relativeFrom="column">
                  <wp:posOffset>3815715</wp:posOffset>
                </wp:positionH>
                <wp:positionV relativeFrom="paragraph">
                  <wp:posOffset>-60325</wp:posOffset>
                </wp:positionV>
                <wp:extent cx="0" cy="57150"/>
                <wp:effectExtent l="0" t="0" r="0" b="0"/>
                <wp:wrapNone/>
                <wp:docPr id="35" name="自选图形 5366"/>
                <wp:cNvGraphicFramePr/>
                <a:graphic xmlns:a="http://schemas.openxmlformats.org/drawingml/2006/main">
                  <a:graphicData uri="http://schemas.microsoft.com/office/word/2010/wordprocessingShape">
                    <wps:wsp>
                      <wps:cNvCnPr/>
                      <wps:spPr>
                        <a:xfrm flipV="1">
                          <a:off x="0" y="0"/>
                          <a:ext cx="0" cy="57150"/>
                        </a:xfrm>
                        <a:prstGeom prst="straightConnector1">
                          <a:avLst/>
                        </a:prstGeom>
                        <a:ln>
                          <a:noFill/>
                        </a:ln>
                      </wps:spPr>
                      <wps:bodyPr/>
                    </wps:wsp>
                  </a:graphicData>
                </a:graphic>
              </wp:anchor>
            </w:drawing>
          </mc:Choice>
          <mc:Fallback>
            <w:pict>
              <v:shape id="自选图形 5366" o:spid="_x0000_s1026" o:spt="32" type="#_x0000_t32" style="position:absolute;left:0pt;flip:y;margin-left:300.45pt;margin-top:-4.75pt;height:4.5pt;width:0pt;z-index:251691008;mso-width-relative:page;mso-height-relative:page;" filled="f" stroked="f" coordsize="21600,21600" o:gfxdata="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j3dJg1AAAAAgBAAAP&#10;AAAAAAAAAAEAIAAAACIAAABkcnMvZG93bnJldi54bWxQSwECFAAUAAAACACHTuJAYdWYhKoBAAA6&#10;AwAADgAAAAAAAAABACAAAAAjAQAAZHJzL2Uyb0RvYy54bWxQSwUGAAAAAAYABgBZAQAAPwUAAAAA&#10;">
                <v:fill on="f" focussize="0,0"/>
                <v:stroke on="f"/>
                <v:imagedata o:title=""/>
                <o:lock v:ext="edit" aspectratio="f"/>
              </v:shape>
            </w:pict>
          </mc:Fallback>
        </mc:AlternateContent>
      </w:r>
      <w:r>
        <w:rPr>
          <w:rFonts w:hint="default" w:ascii="Times New Roman" w:hAnsi="Times New Roman" w:eastAsia="宋体" w:cs="Times New Roman"/>
          <w:sz w:val="24"/>
          <w:szCs w:val="24"/>
          <w:lang w:val="en-US" w:eastAsia="zh-CN"/>
        </w:rPr>
        <w:t>本</w:t>
      </w:r>
      <w:r>
        <w:rPr>
          <w:rFonts w:hint="default" w:ascii="Times New Roman" w:hAnsi="Times New Roman" w:eastAsia="宋体" w:cs="Times New Roman"/>
          <w:sz w:val="24"/>
          <w:szCs w:val="24"/>
        </w:rPr>
        <w:t>项目水平衡见下图：</w:t>
      </w:r>
    </w:p>
    <w:p>
      <w:pPr>
        <w:pStyle w:val="2"/>
        <w:ind w:left="0" w:leftChars="0" w:firstLine="0" w:firstLineChars="0"/>
        <w:rPr>
          <w:rFonts w:hint="default" w:ascii="Times New Roman" w:hAnsi="Times New Roman" w:eastAsia="宋体" w:cs="Times New Roman"/>
          <w:lang w:eastAsia="zh-CN"/>
        </w:rPr>
      </w:pPr>
      <w:r>
        <w:drawing>
          <wp:inline distT="0" distB="0" distL="114300" distR="114300">
            <wp:extent cx="5269865" cy="2350770"/>
            <wp:effectExtent l="0" t="0" r="6985" b="1143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7"/>
                    <a:stretch>
                      <a:fillRect/>
                    </a:stretch>
                  </pic:blipFill>
                  <pic:spPr>
                    <a:xfrm>
                      <a:off x="0" y="0"/>
                      <a:ext cx="5269865" cy="23507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lang w:val="en-US" w:eastAsia="zh-CN"/>
        </w:rPr>
        <w:t>图3-4</w:t>
      </w:r>
      <w:r>
        <w:rPr>
          <w:rFonts w:hint="default" w:ascii="Times New Roman" w:hAnsi="Times New Roman" w:eastAsia="宋体" w:cs="Times New Roman"/>
          <w:b/>
          <w:color w:val="000000"/>
          <w:sz w:val="24"/>
          <w:szCs w:val="24"/>
        </w:rPr>
        <w:t>项目用水平衡图（单位：m</w:t>
      </w:r>
      <w:r>
        <w:rPr>
          <w:rFonts w:hint="default" w:ascii="Times New Roman" w:hAnsi="Times New Roman" w:eastAsia="宋体" w:cs="Times New Roman"/>
          <w:b/>
          <w:color w:val="000000"/>
          <w:sz w:val="24"/>
          <w:szCs w:val="24"/>
          <w:vertAlign w:val="superscript"/>
        </w:rPr>
        <w:t>3</w:t>
      </w:r>
      <w:r>
        <w:rPr>
          <w:rFonts w:hint="default" w:ascii="Times New Roman" w:hAnsi="Times New Roman" w:eastAsia="宋体" w:cs="Times New Roman"/>
          <w:b/>
          <w:color w:val="000000"/>
          <w:sz w:val="24"/>
          <w:szCs w:val="24"/>
        </w:rPr>
        <w:t>/a）</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26" w:name="_Toc7983"/>
      <w:r>
        <w:rPr>
          <w:rFonts w:hint="default" w:ascii="Times New Roman" w:hAnsi="Times New Roman" w:eastAsia="宋体" w:cs="Times New Roman"/>
          <w:b/>
          <w:sz w:val="28"/>
          <w:szCs w:val="32"/>
        </w:rPr>
        <w:t>3.5生产工艺</w:t>
      </w:r>
      <w:bookmarkEnd w:id="26"/>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color w:val="000000"/>
          <w:sz w:val="24"/>
          <w:szCs w:val="24"/>
          <w:lang w:val="en-US" w:eastAsia="zh-CN"/>
        </w:rPr>
      </w:pPr>
      <w:r>
        <w:rPr>
          <w:rFonts w:hint="default" w:ascii="Times New Roman" w:hAnsi="Times New Roman" w:eastAsia="宋体" w:cs="Times New Roman"/>
        </w:rPr>
        <w:drawing>
          <wp:anchor distT="0" distB="0" distL="114300" distR="114300" simplePos="0" relativeHeight="251693056" behindDoc="0" locked="0" layoutInCell="1" allowOverlap="1">
            <wp:simplePos x="0" y="0"/>
            <wp:positionH relativeFrom="column">
              <wp:posOffset>-219710</wp:posOffset>
            </wp:positionH>
            <wp:positionV relativeFrom="paragraph">
              <wp:posOffset>205105</wp:posOffset>
            </wp:positionV>
            <wp:extent cx="5269230" cy="2326005"/>
            <wp:effectExtent l="0" t="0" r="7620" b="17145"/>
            <wp:wrapTopAndBottom/>
            <wp:docPr id="37" name="图片 11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18" descr="图片1"/>
                    <pic:cNvPicPr>
                      <a:picLocks noChangeAspect="1"/>
                    </pic:cNvPicPr>
                  </pic:nvPicPr>
                  <pic:blipFill>
                    <a:blip r:embed="rId18"/>
                    <a:stretch>
                      <a:fillRect/>
                    </a:stretch>
                  </pic:blipFill>
                  <pic:spPr>
                    <a:xfrm>
                      <a:off x="0" y="0"/>
                      <a:ext cx="5269230" cy="2326005"/>
                    </a:xfrm>
                    <a:prstGeom prst="rect">
                      <a:avLst/>
                    </a:prstGeom>
                    <a:noFill/>
                    <a:ln>
                      <a:noFill/>
                    </a:ln>
                  </pic:spPr>
                </pic:pic>
              </a:graphicData>
            </a:graphic>
          </wp:anchor>
        </w:drawing>
      </w:r>
      <w:r>
        <w:rPr>
          <w:rFonts w:hint="default" w:ascii="Times New Roman" w:hAnsi="Times New Roman" w:eastAsia="宋体" w:cs="Times New Roman"/>
          <w:b/>
          <w:color w:val="000000"/>
          <w:sz w:val="24"/>
          <w:szCs w:val="24"/>
          <w:lang w:val="en-US" w:eastAsia="zh-CN"/>
        </w:rPr>
        <w:t>图3-5  加油工艺流程及产污环节图</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rPr>
      </w:pPr>
      <w:r>
        <w:rPr>
          <w:rFonts w:hint="default" w:ascii="Times New Roman" w:hAnsi="Times New Roman" w:eastAsia="宋体" w:cs="Times New Roman"/>
          <w:color w:val="000000"/>
          <w:sz w:val="24"/>
          <w:szCs w:val="28"/>
        </w:rPr>
        <w:t>本项目为加油站项目，主要为过往车辆加油。主要分为油罐车卸油过程和给过往车辆加油过程，一般对油罐车运送的油品在相应的油罐内进行储存，从而保证加油站不会岀现脱销现象。主要工艺流程如下：</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rPr>
      </w:pPr>
      <w:bookmarkStart w:id="27" w:name="_Toc497001470"/>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卸油过程：油罐车将成品油运进站后，在卸油区用油泵由卸油口经进油管线将油输入储油罐，此过程中停留在罐内的烃类气体被液体置换，汽油卸油时经过进油口的油气回收装置从储油罐进入槽罐车。由于汽油挥发性较强，本项目安装卸</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，即一次</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，把汽油在卸油过程中产生的油气进行回收。卸油</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主要工作为:在油罐车卸油过程中，油罐车内压力减少，地下油罐内压力増加，油罐车与地下油罐内产生压力差，使卸油过程中地下油罐内产生的油气通过管线密闭回到油罐车内，运回储油库进行处理，从而达到油气收集的目的，加油站和油罐车均安装卸油回气快速接头，油罐车同时配备带快速接头的软管。卸油过程罐车与埋地油罐内油气气压基本平衡，气液等体积置换，卸油过程管道密闭，卸油油气回收率可达95%。</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加油过程</w:t>
      </w:r>
      <w:r>
        <w:rPr>
          <w:rFonts w:hint="default" w:ascii="Times New Roman" w:hAnsi="Times New Roman" w:eastAsia="宋体" w:cs="Times New Roman"/>
          <w:color w:val="000000"/>
          <w:sz w:val="24"/>
          <w:szCs w:val="28"/>
          <w:lang w:eastAsia="zh-CN"/>
        </w:rPr>
        <w:t>：机动车加油时，开启加油机和潜油泵，油罐中的油经潜油泵抽出，经加油机计量，为机动车加油，本过程采用带回气管的加油枪，在给汽车加油的同时，用真空泵将汽车油箱中的油气经回收装置回收至储油罐内，定期泵入至储油罐内，少部分烃类气体会被液体置换排入大气。</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lang w:eastAsia="zh-CN"/>
        </w:rPr>
        <w:t>）储油过程：油品储存过程中油罐内压力在昼夜温差的作用下会呈现周期性变化，为调节罐内压力，油罐均设有呼吸管，油罐的呼吸作用会造成油气排放。汽油储油罐三次油气回收处理系统将油气转化为液态回到储油罐中。</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油气回收</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在加油枪为汽车加油过程中，通过真空泵产生一定真空度，经过油气回收油枪和同轴皮管、油气回收管等油气回收设备对汽车油箱油气进行回收。加油</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主要针对汽油进行回收，加油机回收的汽油全部回收至油罐内。加油油气经1.2:1的气液比进行回收，回收后使油罐内平衡后，多余油气和平时呼吸排气经通气立管进入冷凝回收装置进一步回收油气，未凝气通过立管外排，加油油气回收率可达95%。</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rPr>
        <w:t>油罐清理工艺如下</w:t>
      </w:r>
      <w:r>
        <w:rPr>
          <w:rFonts w:hint="default" w:ascii="Times New Roman" w:hAnsi="Times New Roman" w:eastAsia="宋体" w:cs="Times New Roman"/>
          <w:color w:val="000000"/>
          <w:sz w:val="24"/>
          <w:szCs w:val="28"/>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油罐使用一段时间后，油罐底部会积聚杂质和水分，油罐壁将附着一定的油污垢，必须进行清洗。为减少油罐淸洗油污水排放，加油站釆用干洗法，清洗前首先将油罐内的余油抽入油罐车内，釆用防爆抽油泵将油水废液抽吸至回收车内，无法抽吸的油泥、油污垢人工入罐作业清除至铝桶内，待油罐油污杂质淸除干净后，再进行清理擦拭，达到无杂质、无水分、无油污。根据建设单位提供资料，加油站油罐清洗工序委托具有清洗资质单位操作，清洗油渣等委托具有废矿物油无害化处置资质的单位进行处理。</w:t>
      </w:r>
    </w:p>
    <w:p>
      <w:pPr>
        <w:keepNext w:val="0"/>
        <w:keepLines w:val="0"/>
        <w:pageBreakBefore w:val="0"/>
        <w:widowControl w:val="0"/>
        <w:kinsoku/>
        <w:wordWrap/>
        <w:overflowPunct/>
        <w:topLinePunct w:val="0"/>
        <w:autoSpaceDE/>
        <w:autoSpaceDN/>
        <w:bidi w:val="0"/>
        <w:adjustRightInd/>
        <w:snapToGrid/>
        <w:spacing w:line="360" w:lineRule="auto"/>
        <w:ind w:firstLine="472" w:firstLineChars="196"/>
        <w:textAlignment w:val="auto"/>
        <w:rPr>
          <w:rFonts w:hint="default" w:ascii="Times New Roman" w:hAnsi="Times New Roman" w:eastAsia="宋体" w:cs="Times New Roman"/>
          <w:b/>
          <w:color w:val="000000"/>
          <w:sz w:val="24"/>
          <w:szCs w:val="28"/>
        </w:rPr>
      </w:pPr>
      <w:r>
        <w:rPr>
          <w:rFonts w:hint="default" w:ascii="Times New Roman" w:hAnsi="Times New Roman" w:eastAsia="宋体" w:cs="Times New Roman"/>
          <w:b/>
          <w:color w:val="000000"/>
          <w:sz w:val="24"/>
          <w:szCs w:val="28"/>
        </w:rPr>
        <w:t>2、冷凝吸附复合式油气回收装置工艺流程：</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冷凝吸附复合式油气回收装置示意图，见图</w:t>
      </w:r>
      <w:r>
        <w:rPr>
          <w:rFonts w:hint="default" w:ascii="Times New Roman" w:hAnsi="Times New Roman" w:eastAsia="宋体" w:cs="Times New Roman"/>
          <w:color w:val="000000"/>
          <w:sz w:val="24"/>
          <w:szCs w:val="28"/>
          <w:lang w:val="en-US" w:eastAsia="zh-CN"/>
        </w:rPr>
        <w:t>3-6</w:t>
      </w:r>
      <w:r>
        <w:rPr>
          <w:rFonts w:hint="default" w:ascii="Times New Roman" w:hAnsi="Times New Roman" w:eastAsia="宋体" w:cs="Times New Roman"/>
          <w:color w:val="000000"/>
          <w:sz w:val="24"/>
          <w:szCs w:val="28"/>
        </w:rPr>
        <w:t>。</w:t>
      </w:r>
    </w:p>
    <w:p>
      <w:pPr>
        <w:spacing w:line="360" w:lineRule="auto"/>
        <w:ind w:firstLine="470" w:firstLineChars="196"/>
        <w:jc w:val="center"/>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color w:val="000000"/>
          <w:sz w:val="24"/>
          <w:szCs w:val="28"/>
        </w:rPr>
        <w:drawing>
          <wp:anchor distT="0" distB="0" distL="114300" distR="114300" simplePos="0" relativeHeight="251694080" behindDoc="0" locked="0" layoutInCell="1" allowOverlap="1">
            <wp:simplePos x="0" y="0"/>
            <wp:positionH relativeFrom="column">
              <wp:posOffset>665480</wp:posOffset>
            </wp:positionH>
            <wp:positionV relativeFrom="paragraph">
              <wp:posOffset>33655</wp:posOffset>
            </wp:positionV>
            <wp:extent cx="4241165" cy="2705735"/>
            <wp:effectExtent l="0" t="0" r="6985" b="18415"/>
            <wp:wrapTopAndBottom/>
            <wp:docPr id="38" name="图片 2" descr="2018011315564801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descr="20180113155648014801"/>
                    <pic:cNvPicPr>
                      <a:picLocks noChangeAspect="1"/>
                    </pic:cNvPicPr>
                  </pic:nvPicPr>
                  <pic:blipFill>
                    <a:blip r:embed="rId19"/>
                    <a:stretch>
                      <a:fillRect/>
                    </a:stretch>
                  </pic:blipFill>
                  <pic:spPr>
                    <a:xfrm>
                      <a:off x="0" y="0"/>
                      <a:ext cx="4241165" cy="2705735"/>
                    </a:xfrm>
                    <a:prstGeom prst="rect">
                      <a:avLst/>
                    </a:prstGeom>
                    <a:noFill/>
                    <a:ln>
                      <a:noFill/>
                    </a:ln>
                  </pic:spPr>
                </pic:pic>
              </a:graphicData>
            </a:graphic>
          </wp:anchor>
        </w:drawing>
      </w:r>
      <w:r>
        <w:rPr>
          <w:rFonts w:hint="default" w:ascii="Times New Roman" w:hAnsi="Times New Roman" w:eastAsia="宋体" w:cs="Times New Roman"/>
          <w:b/>
          <w:bCs/>
          <w:color w:val="000000"/>
          <w:sz w:val="24"/>
          <w:szCs w:val="24"/>
        </w:rPr>
        <w:t>图</w:t>
      </w:r>
      <w:r>
        <w:rPr>
          <w:rFonts w:hint="default" w:ascii="Times New Roman" w:hAnsi="Times New Roman" w:eastAsia="宋体" w:cs="Times New Roman"/>
          <w:b/>
          <w:bCs/>
          <w:color w:val="000000"/>
          <w:sz w:val="24"/>
          <w:szCs w:val="24"/>
          <w:lang w:val="en-US" w:eastAsia="zh-CN"/>
        </w:rPr>
        <w:t xml:space="preserve">3-6 </w:t>
      </w:r>
      <w:r>
        <w:rPr>
          <w:rFonts w:hint="default" w:ascii="Times New Roman" w:hAnsi="Times New Roman" w:eastAsia="宋体" w:cs="Times New Roman"/>
          <w:b/>
          <w:bCs/>
          <w:color w:val="000000"/>
          <w:sz w:val="24"/>
          <w:szCs w:val="24"/>
        </w:rPr>
        <w:t>冷凝吸附复合式油气回收装置示意图</w:t>
      </w:r>
    </w:p>
    <w:p>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lang w:eastAsia="zh-CN"/>
        </w:rPr>
        <w:t>油气回收处理系统</w:t>
      </w:r>
      <w:r>
        <w:rPr>
          <w:rFonts w:hint="default" w:ascii="Times New Roman" w:hAnsi="Times New Roman" w:eastAsia="宋体" w:cs="Times New Roman"/>
          <w:b/>
          <w:bCs w:val="0"/>
          <w:color w:val="000000"/>
          <w:sz w:val="24"/>
          <w:szCs w:val="24"/>
        </w:rPr>
        <w:t>简述：</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项目设置汽油三级</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，主要包括一次</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（卸油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）、二次</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（加油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）、三次</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（油气回收处理系统），作用是通过相关油气回收工艺，将加油站在卸油、储油和加油过程中产生的油气进行密闭收集、储存和回收处理，抑制油气无控逸散挥发。各油气回收回收系统简述如下：</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（1）一次油气回收阶段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即卸油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油罐汽车采取密闭卸油工艺，用一根软管将加油站油罐上的呼吸阀和油罐汽车相连接，形成一个回气管路。卸油时控制卸油速度，卸油完成后按规定顺序卸除输油管线以及油气回收管线，回收到油罐车内的油气由油罐车带回油库，经冷凝、吸附或燃烧等方式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油罐区设置油气回收阀：槽车油罐充装时，油气回收阀开启，上升的液面将油气向上推，通过一系列的</w:t>
      </w:r>
      <w:r>
        <w:rPr>
          <w:rFonts w:hint="default" w:ascii="Times New Roman" w:hAnsi="Times New Roman" w:eastAsia="宋体" w:cs="Times New Roman"/>
          <w:sz w:val="24"/>
          <w:szCs w:val="24"/>
          <w:lang w:eastAsia="zh-CN"/>
        </w:rPr>
        <w:t>油气回收处理系统</w:t>
      </w:r>
      <w:r>
        <w:rPr>
          <w:rFonts w:hint="default" w:ascii="Times New Roman" w:hAnsi="Times New Roman" w:eastAsia="宋体" w:cs="Times New Roman"/>
          <w:sz w:val="24"/>
          <w:szCs w:val="24"/>
        </w:rPr>
        <w:t>，回到库区油罐；油气回收阀的高密封性，确保了槽车运输的安全；槽车卸油时，回收阀允许回收的气体进入槽车油罐。一次</w:t>
      </w:r>
      <w:r>
        <w:rPr>
          <w:rFonts w:hint="default" w:ascii="Times New Roman" w:hAnsi="Times New Roman" w:eastAsia="宋体" w:cs="Times New Roman"/>
          <w:sz w:val="24"/>
          <w:szCs w:val="24"/>
          <w:lang w:eastAsia="zh-CN"/>
        </w:rPr>
        <w:t>油气回收处理系统</w:t>
      </w:r>
      <w:r>
        <w:rPr>
          <w:rFonts w:hint="default" w:ascii="Times New Roman" w:hAnsi="Times New Roman" w:eastAsia="宋体" w:cs="Times New Roman"/>
          <w:sz w:val="24"/>
          <w:szCs w:val="24"/>
        </w:rPr>
        <w:t>基本原理如下图所示</w:t>
      </w:r>
      <w:r>
        <w:rPr>
          <w:rFonts w:hint="default" w:ascii="Times New Roman" w:hAnsi="Times New Roman" w:eastAsia="宋体"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sz w:val="24"/>
          <w:szCs w:val="24"/>
        </w:rPr>
        <w:drawing>
          <wp:anchor distT="0" distB="0" distL="114300" distR="114300" simplePos="0" relativeHeight="251695104" behindDoc="0" locked="0" layoutInCell="1" allowOverlap="1">
            <wp:simplePos x="0" y="0"/>
            <wp:positionH relativeFrom="column">
              <wp:posOffset>266700</wp:posOffset>
            </wp:positionH>
            <wp:positionV relativeFrom="paragraph">
              <wp:posOffset>31115</wp:posOffset>
            </wp:positionV>
            <wp:extent cx="5020945" cy="1918970"/>
            <wp:effectExtent l="0" t="0" r="8255" b="5080"/>
            <wp:wrapTopAndBottom/>
            <wp:docPr id="39" name="图片 7" descr="一次油气回收系统基本原理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一次油气回收系统基本原理图2"/>
                    <pic:cNvPicPr>
                      <a:picLocks noChangeAspect="1"/>
                    </pic:cNvPicPr>
                  </pic:nvPicPr>
                  <pic:blipFill>
                    <a:blip r:embed="rId20"/>
                    <a:srcRect r="-224" b="12642"/>
                    <a:stretch>
                      <a:fillRect/>
                    </a:stretch>
                  </pic:blipFill>
                  <pic:spPr>
                    <a:xfrm>
                      <a:off x="0" y="0"/>
                      <a:ext cx="5020945" cy="1918970"/>
                    </a:xfrm>
                    <a:prstGeom prst="rect">
                      <a:avLst/>
                    </a:prstGeom>
                    <a:noFill/>
                    <a:ln>
                      <a:noFill/>
                    </a:ln>
                  </pic:spPr>
                </pic:pic>
              </a:graphicData>
            </a:graphic>
          </wp:anchor>
        </w:drawing>
      </w:r>
      <w:r>
        <w:rPr>
          <w:rFonts w:hint="default" w:ascii="Times New Roman" w:hAnsi="Times New Roman" w:eastAsia="宋体" w:cs="Times New Roman"/>
          <w:b/>
          <w:bCs w:val="0"/>
          <w:color w:val="000000"/>
          <w:sz w:val="24"/>
          <w:szCs w:val="24"/>
        </w:rPr>
        <w:t>图</w:t>
      </w:r>
      <w:r>
        <w:rPr>
          <w:rFonts w:hint="default" w:ascii="Times New Roman" w:hAnsi="Times New Roman" w:eastAsia="宋体" w:cs="Times New Roman"/>
          <w:b/>
          <w:bCs w:val="0"/>
          <w:color w:val="000000"/>
          <w:sz w:val="24"/>
          <w:szCs w:val="24"/>
          <w:lang w:val="en-US" w:eastAsia="zh-CN"/>
        </w:rPr>
        <w:t>3-7</w:t>
      </w:r>
      <w:r>
        <w:rPr>
          <w:rFonts w:hint="default" w:ascii="Times New Roman" w:hAnsi="Times New Roman" w:eastAsia="宋体" w:cs="Times New Roman"/>
          <w:b/>
          <w:bCs w:val="0"/>
          <w:color w:val="000000"/>
          <w:sz w:val="24"/>
          <w:szCs w:val="24"/>
        </w:rPr>
        <w:t xml:space="preserve"> 一次</w:t>
      </w:r>
      <w:r>
        <w:rPr>
          <w:rFonts w:hint="default" w:ascii="Times New Roman" w:hAnsi="Times New Roman" w:eastAsia="宋体" w:cs="Times New Roman"/>
          <w:b/>
          <w:bCs w:val="0"/>
          <w:color w:val="000000"/>
          <w:sz w:val="24"/>
          <w:szCs w:val="24"/>
          <w:lang w:eastAsia="zh-CN"/>
        </w:rPr>
        <w:t>油气回收处理系统</w:t>
      </w:r>
      <w:r>
        <w:rPr>
          <w:rFonts w:hint="default" w:ascii="Times New Roman" w:hAnsi="Times New Roman" w:eastAsia="宋体" w:cs="Times New Roman"/>
          <w:b/>
          <w:bCs w:val="0"/>
          <w:color w:val="000000"/>
          <w:sz w:val="24"/>
          <w:szCs w:val="24"/>
        </w:rPr>
        <w:t>基本原理图</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（2）二次油气回收阶段</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rPr>
        <w:t>加油油枪具备有油气回收功能，站内相应安装了油气回收，该回收系统简称二次</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。加油车辆进入指定场地后，通过潜油泵将油从埋地卧式油罐抽出，通过加油机给车辆油箱加油。项目设置分散式</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，在加油枪为汽车加油过程中，原理利用外加的辅助动力真空泵，在加油时产生约1200~1400Pa的中央真空压力，再通过回收管、回收油枪将油箱逃逸的蒸汽回收，本项目真空泵安装在加油机内。加油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主要针对汽油进行回收，加油机回收的汽油全部回收至油罐内。加油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气液比1：1。即向汽车加入1L液态汽油，</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将抽入1L的油气和空气的混合物。回收系统回收的油气和空气混合物将平衡埋地油罐的气压平衡。二次</w:t>
      </w:r>
      <w:r>
        <w:rPr>
          <w:rFonts w:hint="default" w:ascii="Times New Roman" w:hAnsi="Times New Roman" w:eastAsia="宋体" w:cs="Times New Roman"/>
          <w:bCs/>
          <w:color w:val="000000"/>
          <w:sz w:val="24"/>
          <w:szCs w:val="24"/>
          <w:lang w:eastAsia="zh-CN"/>
        </w:rPr>
        <w:t>油气回收处理系统</w:t>
      </w:r>
      <w:r>
        <w:rPr>
          <w:rFonts w:hint="default" w:ascii="Times New Roman" w:hAnsi="Times New Roman" w:eastAsia="宋体" w:cs="Times New Roman"/>
          <w:bCs/>
          <w:color w:val="000000"/>
          <w:sz w:val="24"/>
          <w:szCs w:val="24"/>
        </w:rPr>
        <w:t>基本原理如下图所示</w:t>
      </w:r>
      <w:r>
        <w:rPr>
          <w:rFonts w:hint="default" w:ascii="Times New Roman" w:hAnsi="Times New Roman" w:eastAsia="宋体" w:cs="Times New Roman"/>
          <w:bCs/>
          <w:color w:val="000000"/>
          <w:sz w:val="24"/>
          <w:szCs w:val="24"/>
          <w:lang w:eastAsia="zh-CN"/>
        </w:rPr>
        <w:t>：</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sz w:val="24"/>
          <w:szCs w:val="24"/>
        </w:rPr>
        <w:drawing>
          <wp:anchor distT="0" distB="0" distL="114300" distR="114300" simplePos="0" relativeHeight="251696128" behindDoc="0" locked="0" layoutInCell="1" allowOverlap="1">
            <wp:simplePos x="0" y="0"/>
            <wp:positionH relativeFrom="column">
              <wp:posOffset>355600</wp:posOffset>
            </wp:positionH>
            <wp:positionV relativeFrom="paragraph">
              <wp:posOffset>73025</wp:posOffset>
            </wp:positionV>
            <wp:extent cx="4601845" cy="2231390"/>
            <wp:effectExtent l="0" t="0" r="8255" b="16510"/>
            <wp:wrapTopAndBottom/>
            <wp:docPr id="40" name="图片 6" descr="二次油气回收系统基本原理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descr="二次油气回收系统基本原理图2"/>
                    <pic:cNvPicPr>
                      <a:picLocks noChangeAspect="1"/>
                    </pic:cNvPicPr>
                  </pic:nvPicPr>
                  <pic:blipFill>
                    <a:blip r:embed="rId21"/>
                    <a:srcRect r="-475" b="7825"/>
                    <a:stretch>
                      <a:fillRect/>
                    </a:stretch>
                  </pic:blipFill>
                  <pic:spPr>
                    <a:xfrm>
                      <a:off x="0" y="0"/>
                      <a:ext cx="4601845" cy="2231390"/>
                    </a:xfrm>
                    <a:prstGeom prst="rect">
                      <a:avLst/>
                    </a:prstGeom>
                    <a:noFill/>
                    <a:ln>
                      <a:noFill/>
                    </a:ln>
                  </pic:spPr>
                </pic:pic>
              </a:graphicData>
            </a:graphic>
          </wp:anchor>
        </w:drawing>
      </w:r>
      <w:r>
        <w:rPr>
          <w:rFonts w:hint="default" w:ascii="Times New Roman" w:hAnsi="Times New Roman" w:eastAsia="宋体" w:cs="Times New Roman"/>
          <w:b/>
          <w:bCs w:val="0"/>
          <w:color w:val="000000"/>
          <w:sz w:val="24"/>
          <w:szCs w:val="24"/>
        </w:rPr>
        <w:t>图</w:t>
      </w:r>
      <w:r>
        <w:rPr>
          <w:rFonts w:hint="default" w:ascii="Times New Roman" w:hAnsi="Times New Roman" w:eastAsia="宋体" w:cs="Times New Roman"/>
          <w:b/>
          <w:bCs w:val="0"/>
          <w:color w:val="000000"/>
          <w:sz w:val="24"/>
          <w:szCs w:val="24"/>
          <w:lang w:val="en-US" w:eastAsia="zh-CN"/>
        </w:rPr>
        <w:t xml:space="preserve">3-8 </w:t>
      </w:r>
      <w:r>
        <w:rPr>
          <w:rFonts w:hint="default" w:ascii="Times New Roman" w:hAnsi="Times New Roman" w:eastAsia="宋体" w:cs="Times New Roman"/>
          <w:b/>
          <w:bCs w:val="0"/>
          <w:color w:val="000000"/>
          <w:sz w:val="24"/>
          <w:szCs w:val="24"/>
        </w:rPr>
        <w:t>二次</w:t>
      </w:r>
      <w:r>
        <w:rPr>
          <w:rFonts w:hint="default" w:ascii="Times New Roman" w:hAnsi="Times New Roman" w:eastAsia="宋体" w:cs="Times New Roman"/>
          <w:b/>
          <w:bCs w:val="0"/>
          <w:color w:val="000000"/>
          <w:sz w:val="24"/>
          <w:szCs w:val="24"/>
          <w:lang w:eastAsia="zh-CN"/>
        </w:rPr>
        <w:t>油气回收处理系统</w:t>
      </w:r>
      <w:r>
        <w:rPr>
          <w:rFonts w:hint="default" w:ascii="Times New Roman" w:hAnsi="Times New Roman" w:eastAsia="宋体" w:cs="Times New Roman"/>
          <w:b/>
          <w:bCs w:val="0"/>
          <w:color w:val="000000"/>
          <w:sz w:val="24"/>
          <w:szCs w:val="24"/>
        </w:rPr>
        <w:t>基本原理图</w:t>
      </w:r>
    </w:p>
    <w:p>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t>（3）三次油气回收阶段</w:t>
      </w:r>
    </w:p>
    <w:p>
      <w:pPr>
        <w:keepNext w:val="0"/>
        <w:keepLines w:val="0"/>
        <w:pageBreakBefore w:val="0"/>
        <w:widowControl w:val="0"/>
        <w:tabs>
          <w:tab w:val="center" w:pos="360"/>
          <w:tab w:val="center" w:pos="540"/>
          <w:tab w:val="left" w:pos="720"/>
        </w:tabs>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rPr>
      </w:pPr>
      <w:r>
        <w:rPr>
          <w:rFonts w:hint="default" w:ascii="Times New Roman" w:hAnsi="Times New Roman" w:eastAsia="宋体" w:cs="Times New Roman"/>
          <w:szCs w:val="28"/>
        </w:rPr>
        <w:drawing>
          <wp:anchor distT="0" distB="0" distL="114300" distR="114300" simplePos="0" relativeHeight="251692032" behindDoc="0" locked="0" layoutInCell="1" allowOverlap="1">
            <wp:simplePos x="0" y="0"/>
            <wp:positionH relativeFrom="column">
              <wp:posOffset>1177290</wp:posOffset>
            </wp:positionH>
            <wp:positionV relativeFrom="paragraph">
              <wp:posOffset>1797685</wp:posOffset>
            </wp:positionV>
            <wp:extent cx="3517900" cy="2242820"/>
            <wp:effectExtent l="0" t="0" r="6350" b="5080"/>
            <wp:wrapTopAndBottom/>
            <wp:docPr id="36" name="图片 1" descr="附图3 三次油气回收系统基本原理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附图3 三次油气回收系统基本原理图2"/>
                    <pic:cNvPicPr>
                      <a:picLocks noChangeAspect="1"/>
                    </pic:cNvPicPr>
                  </pic:nvPicPr>
                  <pic:blipFill>
                    <a:blip r:embed="rId22"/>
                    <a:srcRect r="-127" b="8044"/>
                    <a:stretch>
                      <a:fillRect/>
                    </a:stretch>
                  </pic:blipFill>
                  <pic:spPr>
                    <a:xfrm>
                      <a:off x="0" y="0"/>
                      <a:ext cx="3517900" cy="2242820"/>
                    </a:xfrm>
                    <a:prstGeom prst="rect">
                      <a:avLst/>
                    </a:prstGeom>
                    <a:noFill/>
                    <a:ln>
                      <a:noFill/>
                    </a:ln>
                  </pic:spPr>
                </pic:pic>
              </a:graphicData>
            </a:graphic>
          </wp:anchor>
        </w:drawing>
      </w:r>
      <w:r>
        <w:rPr>
          <w:rFonts w:hint="default" w:ascii="Times New Roman" w:hAnsi="Times New Roman" w:eastAsia="宋体" w:cs="Times New Roman"/>
          <w:bCs/>
          <w:color w:val="000000"/>
          <w:kern w:val="2"/>
          <w:sz w:val="24"/>
          <w:szCs w:val="24"/>
          <w:lang w:val="en-US" w:eastAsia="zh-CN" w:bidi="ar-SA"/>
        </w:rPr>
        <w:t>即油气排放处理装置，三次油气回收处理系统是指在油品储存过程中，对储油罐内呼出的油气进行处理，三次油气回收处理系统需安装在已经完成二次油气回收处理系统改造的加油站。其工作原理为储油罐内油气压力达到三次油气回收装置启动条件，三次油气回收设备启动，将油罐内的油气经过低温冷凝吸附等方法，将油气转化为液态回到集液罐或储油罐中。</w:t>
      </w:r>
    </w:p>
    <w:p>
      <w:pPr>
        <w:rPr>
          <w:rFonts w:hint="default" w:ascii="Times New Roman" w:hAnsi="Times New Roman" w:eastAsia="宋体" w:cs="Times New Roman"/>
        </w:rPr>
      </w:pP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w:t>
      </w:r>
      <w:r>
        <w:rPr>
          <w:rFonts w:hint="default" w:ascii="Times New Roman" w:hAnsi="Times New Roman" w:eastAsia="宋体" w:cs="Times New Roman"/>
          <w:b/>
          <w:bCs/>
          <w:sz w:val="24"/>
          <w:szCs w:val="24"/>
          <w:lang w:val="en-US" w:eastAsia="zh-CN"/>
        </w:rPr>
        <w:t>3-9</w:t>
      </w:r>
      <w:r>
        <w:rPr>
          <w:rFonts w:hint="default" w:ascii="Times New Roman" w:hAnsi="Times New Roman" w:eastAsia="宋体" w:cs="Times New Roman"/>
          <w:b/>
          <w:bCs/>
          <w:sz w:val="24"/>
          <w:szCs w:val="24"/>
        </w:rPr>
        <w:t xml:space="preserve"> 三次</w:t>
      </w:r>
      <w:r>
        <w:rPr>
          <w:rFonts w:hint="default" w:ascii="Times New Roman" w:hAnsi="Times New Roman" w:eastAsia="宋体" w:cs="Times New Roman"/>
          <w:b/>
          <w:bCs/>
          <w:sz w:val="24"/>
          <w:szCs w:val="24"/>
          <w:lang w:eastAsia="zh-CN"/>
        </w:rPr>
        <w:t>油气回收处理系统</w:t>
      </w:r>
      <w:r>
        <w:rPr>
          <w:rFonts w:hint="default" w:ascii="Times New Roman" w:hAnsi="Times New Roman" w:eastAsia="宋体" w:cs="Times New Roman"/>
          <w:b/>
          <w:bCs/>
          <w:sz w:val="24"/>
          <w:szCs w:val="24"/>
        </w:rPr>
        <w:t>基本原理图</w:t>
      </w:r>
    </w:p>
    <w:p>
      <w:pPr>
        <w:pStyle w:val="3"/>
        <w:numPr>
          <w:ilvl w:val="0"/>
          <w:numId w:val="2"/>
        </w:numPr>
        <w:bidi w:val="0"/>
        <w:spacing w:after="0" w:afterAutospacing="0"/>
        <w:ind w:left="0" w:leftChars="0" w:firstLine="420" w:firstLineChars="200"/>
        <w:rPr>
          <w:rFonts w:hint="eastAsia"/>
          <w:lang w:val="en-US" w:eastAsia="zh-CN"/>
        </w:rPr>
      </w:pPr>
      <w:r>
        <w:rPr>
          <w:rFonts w:hint="eastAsia"/>
          <w:lang w:val="en-US" w:eastAsia="zh-CN"/>
        </w:rPr>
        <w:t>产排污环节</w:t>
      </w:r>
    </w:p>
    <w:p>
      <w:pPr>
        <w:pStyle w:val="32"/>
        <w:numPr>
          <w:ilvl w:val="0"/>
          <w:numId w:val="0"/>
        </w:numPr>
        <w:spacing w:beforeAutospacing="0" w:after="0" w:afterLines="0" w:afterAutospacing="0" w:line="240" w:lineRule="auto"/>
        <w:ind w:leftChars="200"/>
        <w:jc w:val="center"/>
        <w:rPr>
          <w:rFonts w:hint="eastAsia"/>
          <w:b/>
          <w:bCs/>
          <w:lang w:val="en-US" w:eastAsia="zh-CN"/>
        </w:rPr>
      </w:pPr>
    </w:p>
    <w:p>
      <w:pPr>
        <w:pStyle w:val="32"/>
        <w:numPr>
          <w:ilvl w:val="0"/>
          <w:numId w:val="0"/>
        </w:numPr>
        <w:spacing w:beforeAutospacing="0" w:after="0" w:afterLines="0" w:afterAutospacing="0" w:line="240" w:lineRule="auto"/>
        <w:ind w:leftChars="200"/>
        <w:jc w:val="center"/>
        <w:rPr>
          <w:rFonts w:hint="default"/>
          <w:b/>
          <w:bCs/>
          <w:lang w:val="en-US" w:eastAsia="zh-CN"/>
        </w:rPr>
      </w:pPr>
      <w:r>
        <w:rPr>
          <w:rFonts w:hint="eastAsia"/>
          <w:b/>
          <w:bCs/>
          <w:lang w:val="en-US" w:eastAsia="zh-CN"/>
        </w:rPr>
        <w:t>表3.5-1 产排污环节一览表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1398"/>
        <w:gridCol w:w="512"/>
        <w:gridCol w:w="849"/>
        <w:gridCol w:w="2495"/>
        <w:gridCol w:w="2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3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0" w:right="0"/>
              <w:jc w:val="center"/>
              <w:textAlignment w:val="auto"/>
              <w:rPr>
                <w:rFonts w:hint="default" w:ascii="Times New Roman" w:hAnsi="Times New Roman" w:eastAsia="宋体" w:cs="Times New Roman"/>
                <w:b/>
                <w:bCs/>
                <w:sz w:val="21"/>
                <w:szCs w:val="21"/>
                <w:lang w:val="en-US" w:eastAsia="zh-CN"/>
              </w:rPr>
            </w:pPr>
            <w:bookmarkStart w:id="28" w:name="_Hlk60737992"/>
            <w:r>
              <w:rPr>
                <w:rFonts w:hint="default" w:ascii="Times New Roman" w:hAnsi="Times New Roman" w:eastAsia="宋体" w:cs="Times New Roman"/>
                <w:b/>
                <w:bCs/>
                <w:sz w:val="21"/>
                <w:szCs w:val="21"/>
                <w:lang w:val="en-US" w:eastAsia="zh-CN"/>
              </w:rPr>
              <w:t>类型</w:t>
            </w:r>
          </w:p>
        </w:tc>
        <w:tc>
          <w:tcPr>
            <w:tcW w:w="8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产污环节</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编号</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color w:val="000000"/>
                <w:sz w:val="21"/>
                <w:szCs w:val="21"/>
              </w:rPr>
              <w:t>主要污染物</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污染因子</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污染物去向及采取措施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tblHeader/>
          <w:jc w:val="center"/>
        </w:trPr>
        <w:tc>
          <w:tcPr>
            <w:tcW w:w="300" w:type="pct"/>
            <w:vMerge w:val="restar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color w:val="000000"/>
                <w:sz w:val="21"/>
                <w:szCs w:val="21"/>
              </w:rPr>
              <w:t>废气</w:t>
            </w: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rPr>
            </w:pPr>
            <w:r>
              <w:rPr>
                <w:rFonts w:hint="default" w:ascii="Times New Roman" w:hAnsi="Times New Roman" w:eastAsia="宋体" w:cs="Times New Roman"/>
                <w:bCs/>
                <w:sz w:val="21"/>
                <w:szCs w:val="21"/>
                <w:lang w:val="en-US" w:eastAsia="zh-CN"/>
              </w:rPr>
              <w:t>加油、卸油、储罐呼吸</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sz w:val="21"/>
                <w:szCs w:val="21"/>
                <w:lang w:val="en-US" w:eastAsia="zh-CN"/>
              </w:rPr>
            </w:pP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有机废气</w:t>
            </w:r>
          </w:p>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VOCs</w:t>
            </w:r>
          </w:p>
          <w:p>
            <w:pPr>
              <w:keepNext w:val="0"/>
              <w:keepLines w:val="0"/>
              <w:pageBreakBefore w:val="0"/>
              <w:widowControl/>
              <w:suppressLineNumbers w:val="0"/>
              <w:wordWrap/>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kern w:val="2"/>
                <w:sz w:val="21"/>
                <w:szCs w:val="21"/>
                <w:lang w:val="en-US" w:eastAsia="zh-CN" w:bidi="ar-SA"/>
              </w:rPr>
            </w:pPr>
          </w:p>
        </w:tc>
        <w:tc>
          <w:tcPr>
            <w:tcW w:w="1616" w:type="pct"/>
            <w:tcBorders>
              <w:tl2br w:val="nil"/>
              <w:tr2bl w:val="nil"/>
            </w:tcBorders>
            <w:noWrap w:val="0"/>
            <w:vAlign w:val="center"/>
          </w:tcPr>
          <w:p>
            <w:pPr>
              <w:keepNext w:val="0"/>
              <w:keepLines w:val="0"/>
              <w:pageBreakBefore w:val="0"/>
              <w:widowControl/>
              <w:suppressLineNumbers w:val="0"/>
              <w:kinsoku/>
              <w:wordWrap/>
              <w:overflowPunct w:val="0"/>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三级油气回收</w:t>
            </w:r>
            <w:r>
              <w:rPr>
                <w:rFonts w:hint="eastAsia" w:ascii="Times New Roman" w:hAnsi="Times New Roman" w:eastAsia="宋体" w:cs="Times New Roman"/>
                <w:bCs/>
                <w:kern w:val="2"/>
                <w:sz w:val="21"/>
                <w:szCs w:val="21"/>
                <w:lang w:val="en-US" w:eastAsia="zh-CN" w:bidi="ar-SA"/>
              </w:rPr>
              <w:t>处理后通过4m高的排气孔排放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00" w:type="pct"/>
            <w:vMerge w:val="restar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固废</w:t>
            </w: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bidi="ar-SA"/>
              </w:rPr>
            </w:pPr>
            <w:r>
              <w:rPr>
                <w:rFonts w:hint="default" w:ascii="Times New Roman" w:hAnsi="Times New Roman" w:eastAsia="宋体" w:cs="Times New Roman"/>
                <w:bCs/>
                <w:sz w:val="21"/>
                <w:szCs w:val="21"/>
                <w:lang w:val="en-US" w:eastAsia="zh-CN" w:bidi="ar-SA"/>
              </w:rPr>
              <w:t>处理跑、冒、滴、漏工序</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吸油毡</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汽柴油</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委托有资质单位统一</w:t>
            </w:r>
            <w:r>
              <w:rPr>
                <w:rFonts w:hint="default" w:ascii="Times New Roman" w:hAnsi="Times New Roman" w:eastAsia="宋体" w:cs="Times New Roman"/>
                <w:bCs/>
                <w:sz w:val="21"/>
                <w:szCs w:val="21"/>
                <w:lang w:eastAsia="zh-CN"/>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00" w:type="pct"/>
            <w:vMerge w:val="continue"/>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日常清理</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含油抹布手套</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汽柴油</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职工生活垃圾一同由环卫部门定期清运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00" w:type="pct"/>
            <w:vMerge w:val="continue"/>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办公生活</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生活垃圾</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rPr>
              <w:t>定点存放，环卫部门定期清运</w:t>
            </w:r>
            <w:r>
              <w:rPr>
                <w:rFonts w:hint="default" w:ascii="Times New Roman" w:hAnsi="Times New Roman" w:eastAsia="宋体" w:cs="Times New Roman"/>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00" w:type="pct"/>
            <w:vMerge w:val="restar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废水</w:t>
            </w: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办公生活</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生活污水</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CODcr、</w:t>
            </w:r>
            <w:r>
              <w:rPr>
                <w:rFonts w:hint="default" w:ascii="Times New Roman" w:hAnsi="Times New Roman" w:eastAsia="宋体" w:cs="Times New Roman"/>
                <w:bCs/>
                <w:sz w:val="21"/>
                <w:szCs w:val="21"/>
                <w:lang w:val="en-US" w:eastAsia="zh-CN"/>
              </w:rPr>
              <w:t>BOD</w:t>
            </w:r>
            <w:r>
              <w:rPr>
                <w:rFonts w:hint="default" w:ascii="Times New Roman" w:hAnsi="Times New Roman" w:eastAsia="宋体" w:cs="Times New Roman"/>
                <w:bCs/>
                <w:sz w:val="21"/>
                <w:szCs w:val="21"/>
                <w:vertAlign w:val="subscript"/>
                <w:lang w:val="en-US" w:eastAsia="zh-CN"/>
              </w:rPr>
              <w:t>5</w:t>
            </w:r>
            <w:r>
              <w:rPr>
                <w:rFonts w:hint="default" w:ascii="Times New Roman" w:hAnsi="Times New Roman" w:eastAsia="宋体" w:cs="Times New Roman"/>
                <w:bCs/>
                <w:sz w:val="21"/>
                <w:szCs w:val="21"/>
                <w:vertAlign w:val="baseline"/>
                <w:lang w:val="en-US" w:eastAsia="zh-CN"/>
              </w:rPr>
              <w:t>、总氮、</w:t>
            </w:r>
            <w:r>
              <w:rPr>
                <w:rFonts w:hint="default" w:ascii="Times New Roman" w:hAnsi="Times New Roman" w:eastAsia="宋体" w:cs="Times New Roman"/>
                <w:bCs/>
                <w:sz w:val="21"/>
                <w:szCs w:val="21"/>
                <w:lang w:val="en-US" w:eastAsia="zh-CN"/>
              </w:rPr>
              <w:t>氨氮</w:t>
            </w:r>
            <w:r>
              <w:rPr>
                <w:rFonts w:hint="default" w:ascii="Times New Roman" w:hAnsi="Times New Roman" w:eastAsia="宋体" w:cs="Times New Roman"/>
                <w:bCs/>
                <w:sz w:val="21"/>
                <w:szCs w:val="21"/>
              </w:rPr>
              <w:t>、</w:t>
            </w:r>
            <w:r>
              <w:rPr>
                <w:rFonts w:hint="default" w:ascii="Times New Roman" w:hAnsi="Times New Roman" w:eastAsia="宋体" w:cs="Times New Roman"/>
                <w:bCs/>
                <w:sz w:val="21"/>
                <w:szCs w:val="21"/>
                <w:lang w:val="en-US" w:eastAsia="zh-CN"/>
              </w:rPr>
              <w:t>总磷、</w:t>
            </w:r>
            <w:r>
              <w:rPr>
                <w:rFonts w:hint="default" w:ascii="Times New Roman" w:hAnsi="Times New Roman" w:eastAsia="宋体" w:cs="Times New Roman"/>
                <w:bCs/>
                <w:sz w:val="21"/>
                <w:szCs w:val="21"/>
              </w:rPr>
              <w:t>SS</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sz w:val="21"/>
                <w:szCs w:val="21"/>
                <w:lang w:val="en-US" w:eastAsia="zh-CN"/>
              </w:rPr>
              <w:t>生活污水经化粪池预处理后，定期掏运，用作农肥，不外排。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300" w:type="pct"/>
            <w:vMerge w:val="continue"/>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冲洗地面</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冲洗污水</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CODcr、</w:t>
            </w:r>
            <w:r>
              <w:rPr>
                <w:rFonts w:hint="default" w:ascii="Times New Roman" w:hAnsi="Times New Roman" w:eastAsia="宋体" w:cs="Times New Roman"/>
                <w:bCs/>
                <w:sz w:val="21"/>
                <w:szCs w:val="21"/>
                <w:lang w:val="en-US" w:eastAsia="zh-CN"/>
              </w:rPr>
              <w:t>BOD</w:t>
            </w:r>
            <w:r>
              <w:rPr>
                <w:rFonts w:hint="default" w:ascii="Times New Roman" w:hAnsi="Times New Roman" w:eastAsia="宋体" w:cs="Times New Roman"/>
                <w:bCs/>
                <w:sz w:val="21"/>
                <w:szCs w:val="21"/>
                <w:vertAlign w:val="subscript"/>
                <w:lang w:val="en-US" w:eastAsia="zh-CN"/>
              </w:rPr>
              <w:t>5</w:t>
            </w:r>
            <w:r>
              <w:rPr>
                <w:rFonts w:hint="default" w:ascii="Times New Roman" w:hAnsi="Times New Roman" w:eastAsia="宋体" w:cs="Times New Roman"/>
                <w:bCs/>
                <w:sz w:val="21"/>
                <w:szCs w:val="21"/>
                <w:vertAlign w:val="baseline"/>
                <w:lang w:val="en-US" w:eastAsia="zh-CN"/>
              </w:rPr>
              <w:t>、总氮、</w:t>
            </w:r>
            <w:r>
              <w:rPr>
                <w:rFonts w:hint="default" w:ascii="Times New Roman" w:hAnsi="Times New Roman" w:eastAsia="宋体" w:cs="Times New Roman"/>
                <w:bCs/>
                <w:sz w:val="21"/>
                <w:szCs w:val="21"/>
                <w:lang w:val="en-US" w:eastAsia="zh-CN"/>
              </w:rPr>
              <w:t>氨氮</w:t>
            </w:r>
            <w:r>
              <w:rPr>
                <w:rFonts w:hint="default" w:ascii="Times New Roman" w:hAnsi="Times New Roman" w:eastAsia="宋体" w:cs="Times New Roman"/>
                <w:bCs/>
                <w:sz w:val="21"/>
                <w:szCs w:val="21"/>
              </w:rPr>
              <w:t>、</w:t>
            </w:r>
            <w:r>
              <w:rPr>
                <w:rFonts w:hint="default" w:ascii="Times New Roman" w:hAnsi="Times New Roman" w:eastAsia="宋体" w:cs="Times New Roman"/>
                <w:bCs/>
                <w:sz w:val="21"/>
                <w:szCs w:val="21"/>
                <w:lang w:val="en-US" w:eastAsia="zh-CN"/>
              </w:rPr>
              <w:t>总磷、</w:t>
            </w:r>
            <w:r>
              <w:rPr>
                <w:rFonts w:hint="default" w:ascii="Times New Roman" w:hAnsi="Times New Roman" w:eastAsia="宋体" w:cs="Times New Roman"/>
                <w:bCs/>
                <w:sz w:val="21"/>
                <w:szCs w:val="21"/>
              </w:rPr>
              <w:t>SS</w:t>
            </w:r>
            <w:r>
              <w:rPr>
                <w:rFonts w:hint="default" w:ascii="Times New Roman" w:hAnsi="Times New Roman" w:eastAsia="宋体" w:cs="Times New Roman"/>
                <w:bCs/>
                <w:sz w:val="21"/>
                <w:szCs w:val="21"/>
                <w:lang w:eastAsia="zh-CN"/>
              </w:rPr>
              <w:t>、</w:t>
            </w:r>
            <w:r>
              <w:rPr>
                <w:rFonts w:hint="default" w:ascii="Times New Roman" w:hAnsi="Times New Roman" w:eastAsia="宋体" w:cs="Times New Roman"/>
                <w:bCs/>
                <w:sz w:val="21"/>
                <w:szCs w:val="21"/>
                <w:lang w:val="en-US" w:eastAsia="zh-CN"/>
              </w:rPr>
              <w:t>石油类</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300" w:type="pct"/>
            <w:vMerge w:val="continue"/>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rPr>
            </w:pPr>
          </w:p>
        </w:tc>
        <w:tc>
          <w:tcPr>
            <w:tcW w:w="82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color w:val="000000"/>
                <w:sz w:val="21"/>
                <w:szCs w:val="21"/>
                <w:lang w:eastAsia="zh-CN"/>
              </w:rPr>
              <w:t>清罐</w:t>
            </w:r>
            <w:r>
              <w:rPr>
                <w:rFonts w:hint="default" w:ascii="Times New Roman" w:hAnsi="Times New Roman" w:eastAsia="宋体" w:cs="Times New Roman"/>
                <w:color w:val="000000"/>
                <w:sz w:val="21"/>
                <w:szCs w:val="21"/>
              </w:rPr>
              <w:t>工序</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清罐废水</w:t>
            </w:r>
          </w:p>
        </w:tc>
        <w:tc>
          <w:tcPr>
            <w:tcW w:w="1463"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616"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00"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噪声</w:t>
            </w:r>
          </w:p>
        </w:tc>
        <w:tc>
          <w:tcPr>
            <w:tcW w:w="820"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生产设备</w:t>
            </w:r>
          </w:p>
        </w:tc>
        <w:tc>
          <w:tcPr>
            <w:tcW w:w="300" w:type="pct"/>
            <w:tcBorders>
              <w:tl2br w:val="nil"/>
              <w:tr2bl w:val="nil"/>
            </w:tcBorders>
            <w:noWrap w:val="0"/>
            <w:vAlign w:val="center"/>
          </w:tcPr>
          <w:p>
            <w:pPr>
              <w:keepNext w:val="0"/>
              <w:keepLines w:val="0"/>
              <w:pageBreakBefore w:val="0"/>
              <w:widowControl/>
              <w:suppressLineNumbers w:val="0"/>
              <w:wordWrap/>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498"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噪声</w:t>
            </w:r>
          </w:p>
        </w:tc>
        <w:tc>
          <w:tcPr>
            <w:tcW w:w="1463"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LeqA</w:t>
            </w:r>
          </w:p>
        </w:tc>
        <w:tc>
          <w:tcPr>
            <w:tcW w:w="1616" w:type="pct"/>
            <w:tcBorders>
              <w:tl2br w:val="nil"/>
              <w:tr2bl w:val="nil"/>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隔声减震、</w:t>
            </w:r>
            <w:r>
              <w:rPr>
                <w:rFonts w:hint="default" w:ascii="Times New Roman" w:hAnsi="Times New Roman" w:eastAsia="宋体" w:cs="Times New Roman"/>
                <w:sz w:val="21"/>
                <w:szCs w:val="21"/>
                <w:lang w:val="en-US" w:eastAsia="zh-CN"/>
              </w:rPr>
              <w:t>室内布置</w:t>
            </w:r>
          </w:p>
        </w:tc>
      </w:tr>
      <w:bookmarkEnd w:id="28"/>
    </w:tbl>
    <w:p>
      <w:pPr>
        <w:spacing w:line="360" w:lineRule="auto"/>
        <w:jc w:val="center"/>
        <w:rPr>
          <w:rFonts w:hint="default" w:ascii="Times New Roman" w:hAnsi="Times New Roman" w:eastAsia="宋体" w:cs="Times New Roman"/>
          <w:b/>
          <w:bCs/>
          <w:sz w:val="24"/>
          <w:szCs w:val="24"/>
        </w:rPr>
      </w:pPr>
    </w:p>
    <w:p>
      <w:pPr>
        <w:pStyle w:val="47"/>
        <w:spacing w:line="360" w:lineRule="auto"/>
        <w:ind w:firstLine="0" w:firstLineChars="0"/>
        <w:jc w:val="left"/>
        <w:outlineLvl w:val="1"/>
        <w:rPr>
          <w:rFonts w:hint="default" w:ascii="Times New Roman" w:hAnsi="Times New Roman" w:eastAsia="宋体" w:cs="Times New Roman"/>
          <w:b/>
          <w:color w:val="000000"/>
          <w:sz w:val="24"/>
          <w:szCs w:val="24"/>
          <w:highlight w:val="none"/>
        </w:rPr>
      </w:pPr>
      <w:bookmarkStart w:id="29" w:name="_Toc22023"/>
      <w:r>
        <w:rPr>
          <w:rFonts w:hint="default" w:ascii="Times New Roman" w:hAnsi="Times New Roman" w:eastAsia="宋体" w:cs="Times New Roman"/>
          <w:b/>
          <w:color w:val="000000"/>
          <w:sz w:val="24"/>
          <w:szCs w:val="24"/>
          <w:highlight w:val="none"/>
        </w:rPr>
        <w:t>3.6项目变动情况</w:t>
      </w:r>
      <w:bookmarkEnd w:id="29"/>
    </w:p>
    <w:bookmarkEnd w:id="27"/>
    <w:p>
      <w:pPr>
        <w:widowControl/>
        <w:adjustRightInd w:val="0"/>
        <w:snapToGrid w:val="0"/>
        <w:spacing w:line="360" w:lineRule="auto"/>
        <w:ind w:firstLine="482" w:firstLineChars="200"/>
        <w:jc w:val="left"/>
        <w:rPr>
          <w:rFonts w:hint="default" w:ascii="Times New Roman" w:hAnsi="Times New Roman" w:eastAsia="宋体" w:cs="Times New Roman"/>
          <w:b/>
          <w:kern w:val="2"/>
          <w:sz w:val="24"/>
          <w:szCs w:val="24"/>
          <w:lang w:val="en-US" w:eastAsia="zh-CN" w:bidi="ar-SA"/>
        </w:rPr>
      </w:pPr>
      <w:r>
        <w:rPr>
          <w:rFonts w:hint="default" w:ascii="Times New Roman" w:hAnsi="Times New Roman" w:eastAsia="宋体" w:cs="Times New Roman"/>
          <w:b/>
          <w:kern w:val="2"/>
          <w:sz w:val="24"/>
          <w:szCs w:val="24"/>
          <w:lang w:val="en-US" w:eastAsia="zh-CN" w:bidi="ar-SA"/>
        </w:rPr>
        <w:t>3.6.1变更情况说明</w:t>
      </w:r>
    </w:p>
    <w:p>
      <w:pPr>
        <w:widowControl/>
        <w:adjustRightInd w:val="0"/>
        <w:snapToGrid w:val="0"/>
        <w:spacing w:line="360" w:lineRule="auto"/>
        <w:ind w:firstLine="480" w:firstLineChars="200"/>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3.6.1审批意见落实情况</w:t>
      </w:r>
    </w:p>
    <w:p>
      <w:pPr>
        <w:widowControl/>
        <w:adjustRightInd w:val="0"/>
        <w:snapToGrid w:val="0"/>
        <w:spacing w:line="360" w:lineRule="auto"/>
        <w:ind w:firstLine="480" w:firstLineChars="200"/>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审批意见落实情况一览表见表3.6-1。</w:t>
      </w:r>
    </w:p>
    <w:p>
      <w:pPr>
        <w:pStyle w:val="2"/>
        <w:spacing w:after="0" w:afterAutospacing="0" w:line="24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color w:val="000000"/>
          <w:sz w:val="24"/>
          <w:szCs w:val="24"/>
        </w:rPr>
        <w:t>表3.6-1</w:t>
      </w:r>
      <w:r>
        <w:rPr>
          <w:rFonts w:hint="default" w:ascii="Times New Roman" w:hAnsi="Times New Roman" w:eastAsia="宋体" w:cs="Times New Roman"/>
          <w:b/>
          <w:bCs/>
          <w:color w:val="000000"/>
          <w:sz w:val="24"/>
          <w:szCs w:val="24"/>
          <w:lang w:val="en-US" w:eastAsia="zh-CN"/>
        </w:rPr>
        <w:t xml:space="preserve"> </w:t>
      </w:r>
      <w:r>
        <w:rPr>
          <w:rFonts w:hint="default" w:ascii="Times New Roman" w:hAnsi="Times New Roman" w:eastAsia="宋体" w:cs="Times New Roman"/>
          <w:b/>
          <w:bCs/>
          <w:color w:val="000000"/>
          <w:sz w:val="24"/>
          <w:szCs w:val="24"/>
        </w:rPr>
        <w:t>审批意见落实情况一览表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81"/>
        <w:gridCol w:w="4040"/>
        <w:gridCol w:w="4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8" w:type="pct"/>
            <w:noWrap w:val="0"/>
            <w:vAlign w:val="center"/>
          </w:tcPr>
          <w:p>
            <w:pPr>
              <w:spacing w:beforeAutospacing="0" w:line="300" w:lineRule="exact"/>
              <w:jc w:val="center"/>
              <w:rPr>
                <w:rFonts w:hint="default" w:ascii="Times New Roman" w:hAnsi="Times New Roman" w:eastAsia="宋体" w:cs="Times New Roman"/>
                <w:b/>
                <w:sz w:val="21"/>
                <w:szCs w:val="21"/>
              </w:rPr>
            </w:pPr>
            <w:bookmarkStart w:id="30" w:name="_Hlk49447808"/>
            <w:r>
              <w:rPr>
                <w:rFonts w:hint="default" w:ascii="Times New Roman" w:hAnsi="Times New Roman" w:eastAsia="宋体" w:cs="Times New Roman"/>
                <w:b/>
                <w:sz w:val="21"/>
                <w:szCs w:val="21"/>
              </w:rPr>
              <w:t>序号</w:t>
            </w:r>
          </w:p>
        </w:tc>
        <w:tc>
          <w:tcPr>
            <w:tcW w:w="2415"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审批意见内容</w:t>
            </w:r>
          </w:p>
        </w:tc>
        <w:tc>
          <w:tcPr>
            <w:tcW w:w="2415"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415"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建设单位：</w:t>
            </w:r>
            <w:r>
              <w:rPr>
                <w:rFonts w:hint="default" w:ascii="Times New Roman" w:hAnsi="Times New Roman" w:eastAsia="宋体" w:cs="Times New Roman"/>
                <w:sz w:val="21"/>
                <w:szCs w:val="21"/>
                <w:lang w:val="en-US" w:eastAsia="zh-CN"/>
              </w:rPr>
              <w:t>中国石化销售股份有限公司山东菏泽石油分公司</w:t>
            </w:r>
          </w:p>
        </w:tc>
        <w:tc>
          <w:tcPr>
            <w:tcW w:w="2415"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建设单位名称不变。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415"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建设地点：</w:t>
            </w:r>
            <w:r>
              <w:rPr>
                <w:rFonts w:hint="default" w:ascii="Times New Roman" w:hAnsi="Times New Roman" w:eastAsia="宋体" w:cs="Times New Roman"/>
                <w:sz w:val="21"/>
                <w:szCs w:val="21"/>
                <w:lang w:eastAsia="zh-CN"/>
              </w:rPr>
              <w:t>山东省</w:t>
            </w:r>
            <w:r>
              <w:rPr>
                <w:rFonts w:hint="default" w:ascii="Times New Roman" w:hAnsi="Times New Roman" w:eastAsia="宋体" w:cs="Times New Roman"/>
                <w:sz w:val="21"/>
                <w:szCs w:val="21"/>
              </w:rPr>
              <w:t>菏泽市成武县</w:t>
            </w:r>
            <w:r>
              <w:rPr>
                <w:rFonts w:hint="default" w:ascii="Times New Roman" w:hAnsi="Times New Roman" w:eastAsia="宋体" w:cs="Times New Roman"/>
                <w:sz w:val="21"/>
                <w:szCs w:val="21"/>
                <w:lang w:eastAsia="zh-CN"/>
              </w:rPr>
              <w:t>伯乐集镇康楼村</w:t>
            </w:r>
          </w:p>
        </w:tc>
        <w:tc>
          <w:tcPr>
            <w:tcW w:w="2415"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建设地点不变。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2415" w:type="pct"/>
            <w:noWrap w:val="0"/>
            <w:vAlign w:val="center"/>
          </w:tcPr>
          <w:p>
            <w:pPr>
              <w:spacing w:line="300" w:lineRule="exact"/>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按照雨污分流原则设计和建设厂区排水系统。本项目生活污水经化粪池预处理后由环卫部门定期清运，不外排；地面冲洗废水经隔油池预处理后，循环使用不外排</w:t>
            </w:r>
          </w:p>
        </w:tc>
        <w:tc>
          <w:tcPr>
            <w:tcW w:w="2415" w:type="pct"/>
            <w:noWrap w:val="0"/>
            <w:vAlign w:val="center"/>
          </w:tcPr>
          <w:p>
            <w:pPr>
              <w:spacing w:line="300" w:lineRule="exact"/>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已按照雨污分流原则设计和建设厂区排水系统。本项目生活污水经化粪池预处理后由环卫部门定期清运，不外排；地面冲洗废水经隔油池预处理后，循环使用不外排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69"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2415" w:type="pct"/>
            <w:noWrap w:val="0"/>
            <w:vAlign w:val="center"/>
          </w:tcPr>
          <w:p>
            <w:pPr>
              <w:spacing w:line="300" w:lineRule="exact"/>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该项目需采取密闭卸油方式，卸油油气由罐车自带油气回收处理系统（一次油气回收处理系统）回收至油罐车中；该项目加油过程中需设置油气回收处理系统（二次油气回收处理系统）,采用真空辅助式油气回收设备，加油作业过程中产生的油气通过地下油气回收管线收集到地下储罐内；该项目油罐呼吸油气需由油气处理装置（三次油气回收处理系统），采用冷凝＋吸附工艺处理后排放。加油站油气处理装置排气口距地平面高度应不低于 4m，排气口排放浓度限值需执行《加油站大气污染物排放标准》(GB20952-2020）中相关要求，无组织废气需满足《加油站大气污染物排放标准》(GB20952-2020）表3中油气浓度无组织排放限值要求及《挥发性有机物排放标准第7部分：其他行业》(DB37/ 2801.7-2019）表2中标准限值要求。</w:t>
            </w:r>
          </w:p>
        </w:tc>
        <w:tc>
          <w:tcPr>
            <w:tcW w:w="2415" w:type="pct"/>
            <w:noWrap w:val="0"/>
            <w:vAlign w:val="center"/>
          </w:tcPr>
          <w:p>
            <w:pPr>
              <w:spacing w:line="300" w:lineRule="exact"/>
              <w:jc w:val="left"/>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该项目采取了密闭卸油方式，卸油油气由罐车自带油气回收处理系统（一次油气回收处理系统）回收至油罐车中；该项目加油过程中设置了油气回收处理系统（二次油气回收处理系统）,采用真空辅助式油气回收设备，加油作业过程中产生的油气通过地下油气回收管线收集到地下储罐内；该项目油罐呼吸油气由油气处理装置（三次油气回收处理系统），采用冷凝＋吸附工艺处理后排放。加油站油气处理装置排气口距地平面高度应不低于 4m，排气口排放浓度限值执行《加油站大气污染物排放标准》(GB20952-2020）中相关要求，无组织废气满足《加油站大气污染物排放标准》(GB20952-2020）表3中油气浓度无组织排放限值要求及《挥发性有机物排放标准第7部分：其他行业》(DB37/ 2801.7-2019）表2中标准限值要求。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35"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5</w:t>
            </w:r>
          </w:p>
        </w:tc>
        <w:tc>
          <w:tcPr>
            <w:tcW w:w="2415" w:type="pct"/>
            <w:noWrap w:val="0"/>
            <w:vAlign w:val="center"/>
          </w:tcPr>
          <w:p>
            <w:pPr>
              <w:pStyle w:val="2"/>
              <w:ind w:left="0" w:leftChars="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该项目需对出入站区内来往的机动车严格管理，采取车辆进站时减速、禁止鸣笛、加油时车辆熄火和平稳启动等措施，使站区内的交通噪声降到最低；项目采用低噪声潜油泵，布设于地下，经减震基座、地面隔声等措施处理，确保项目厂界噪声达到《社会生活环境噪声排放标准》(GB22337-2008）中2类及4类标准要求。</w:t>
            </w:r>
          </w:p>
        </w:tc>
        <w:tc>
          <w:tcPr>
            <w:tcW w:w="2415" w:type="pct"/>
            <w:noWrap w:val="0"/>
            <w:vAlign w:val="center"/>
          </w:tcPr>
          <w:p>
            <w:pPr>
              <w:pStyle w:val="2"/>
              <w:ind w:left="0" w:leftChars="0" w:firstLine="0" w:firstLineChars="0"/>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该项目对出入站区内来往的机动车严格管理，采取车辆进站时减速、禁止鸣笛、加油时车辆熄火和平稳启动等措施，使站区内的交通噪声降到最低；项目采用了低噪声潜油泵，布设于地下，经减震基座、地面隔声等措施处理，确保项目厂界噪声达到《社会生活环境噪声排放标准》(GB22337-2008）中2类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8" w:type="pct"/>
            <w:noWrap w:val="0"/>
            <w:vAlign w:val="center"/>
          </w:tcPr>
          <w:p>
            <w:pPr>
              <w:spacing w:line="30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6</w:t>
            </w:r>
          </w:p>
        </w:tc>
        <w:tc>
          <w:tcPr>
            <w:tcW w:w="2415" w:type="pct"/>
            <w:noWrap w:val="0"/>
            <w:vAlign w:val="center"/>
          </w:tcPr>
          <w:p>
            <w:pPr>
              <w:spacing w:line="300" w:lineRule="exact"/>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固废暂存场所做好"防渗、防雨、防流失"措施，避免二次污染。一般固废处置需满足《一般工业固体废物贮存和填埋污染控制标准》(GB18599-2020）要求，危险废物暂存需执行《危险废物贮存污染控制标准》（GB18597-2001）及修改单要求。</w:t>
            </w:r>
          </w:p>
        </w:tc>
        <w:tc>
          <w:tcPr>
            <w:tcW w:w="2415" w:type="pct"/>
            <w:noWrap w:val="0"/>
            <w:vAlign w:val="center"/>
          </w:tcPr>
          <w:p>
            <w:pPr>
              <w:spacing w:line="300" w:lineRule="exact"/>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固废暂存场所做好"防渗、防雨、防流失"措施，避免二次污染。一般固废处置满足《一般工业固体废物贮存和填埋污染控制标准》(GB18599-2020）要求，危险废物暂存执行《危险废物贮存污染控制标准》（GB18597-20</w:t>
            </w:r>
            <w:r>
              <w:rPr>
                <w:rFonts w:hint="eastAsia" w:ascii="Times New Roman" w:hAnsi="Times New Roman" w:eastAsia="宋体" w:cs="Times New Roman"/>
                <w:sz w:val="21"/>
                <w:szCs w:val="21"/>
                <w:lang w:val="en-US" w:eastAsia="zh-CN"/>
              </w:rPr>
              <w:t>23</w:t>
            </w:r>
            <w:r>
              <w:rPr>
                <w:rFonts w:hint="default" w:ascii="Times New Roman" w:hAnsi="Times New Roman" w:eastAsia="宋体" w:cs="Times New Roman"/>
                <w:sz w:val="21"/>
                <w:szCs w:val="21"/>
                <w:lang w:val="en-US" w:eastAsia="zh-CN"/>
              </w:rPr>
              <w:t>）。</w:t>
            </w:r>
          </w:p>
        </w:tc>
      </w:tr>
      <w:bookmarkEnd w:id="30"/>
    </w:tbl>
    <w:p>
      <w:pPr>
        <w:keepNext w:val="0"/>
        <w:keepLines w:val="0"/>
        <w:pageBreakBefore w:val="0"/>
        <w:widowControl/>
        <w:kinsoku/>
        <w:wordWrap/>
        <w:overflowPunct/>
        <w:topLinePunct w:val="0"/>
        <w:autoSpaceDE/>
        <w:autoSpaceDN/>
        <w:bidi w:val="0"/>
        <w:adjustRightInd w:val="0"/>
        <w:snapToGrid w:val="0"/>
        <w:spacing w:line="240" w:lineRule="auto"/>
        <w:ind w:firstLine="480" w:firstLineChars="200"/>
        <w:jc w:val="left"/>
        <w:textAlignment w:val="auto"/>
        <w:rPr>
          <w:rFonts w:hint="default" w:ascii="Times New Roman" w:hAnsi="Times New Roman" w:eastAsia="宋体" w:cs="Times New Roman"/>
          <w:color w:val="FF0000"/>
          <w:sz w:val="24"/>
          <w:szCs w:val="28"/>
        </w:rPr>
      </w:pPr>
      <w:r>
        <w:rPr>
          <w:rFonts w:hint="default" w:ascii="Times New Roman" w:hAnsi="Times New Roman" w:eastAsia="宋体" w:cs="Times New Roman"/>
          <w:color w:val="000000"/>
          <w:sz w:val="24"/>
          <w:szCs w:val="28"/>
        </w:rPr>
        <w:t>3.6.2变更情况说明</w:t>
      </w:r>
    </w:p>
    <w:p>
      <w:pPr>
        <w:spacing w:line="360" w:lineRule="auto"/>
        <w:ind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本次验收</w:t>
      </w:r>
      <w:r>
        <w:rPr>
          <w:rFonts w:hint="default" w:ascii="Times New Roman" w:hAnsi="Times New Roman" w:eastAsia="宋体" w:cs="Times New Roman"/>
          <w:color w:val="000000"/>
          <w:sz w:val="24"/>
          <w:szCs w:val="28"/>
          <w:lang w:val="en-US" w:eastAsia="zh-CN"/>
        </w:rPr>
        <w:t>期间</w:t>
      </w:r>
      <w:r>
        <w:rPr>
          <w:rFonts w:hint="default" w:ascii="Times New Roman" w:hAnsi="Times New Roman" w:eastAsia="宋体" w:cs="Times New Roman"/>
          <w:color w:val="000000"/>
          <w:sz w:val="24"/>
          <w:szCs w:val="28"/>
        </w:rPr>
        <w:t>与《污染影响类建设项目重大变动清单（试行）》环评函【2020】688号</w:t>
      </w:r>
      <w:r>
        <w:rPr>
          <w:rFonts w:hint="default" w:ascii="Times New Roman" w:hAnsi="Times New Roman" w:eastAsia="宋体" w:cs="Times New Roman"/>
          <w:color w:val="000000"/>
          <w:sz w:val="24"/>
          <w:szCs w:val="28"/>
          <w:lang w:val="en-US" w:eastAsia="zh-CN"/>
        </w:rPr>
        <w:t>对比</w:t>
      </w:r>
      <w:r>
        <w:rPr>
          <w:rFonts w:hint="default" w:ascii="Times New Roman" w:hAnsi="Times New Roman" w:eastAsia="宋体" w:cs="Times New Roman"/>
          <w:color w:val="000000"/>
          <w:sz w:val="24"/>
          <w:szCs w:val="28"/>
        </w:rPr>
        <w:t>见下表：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default" w:ascii="Times New Roman" w:hAnsi="Times New Roman" w:eastAsia="宋体" w:cs="Times New Roman"/>
          <w:b/>
          <w:sz w:val="24"/>
          <w:szCs w:val="24"/>
          <w:lang w:val="en-US" w:eastAsia="zh-CN"/>
        </w:rPr>
        <w:t>3</w:t>
      </w:r>
      <w:r>
        <w:rPr>
          <w:rFonts w:hint="default" w:ascii="Times New Roman" w:hAnsi="Times New Roman" w:eastAsia="宋体" w:cs="Times New Roman"/>
          <w:b/>
          <w:sz w:val="24"/>
          <w:szCs w:val="24"/>
        </w:rPr>
        <w:t>-</w:t>
      </w:r>
      <w:r>
        <w:rPr>
          <w:rFonts w:hint="default" w:ascii="Times New Roman" w:hAnsi="Times New Roman" w:eastAsia="宋体" w:cs="Times New Roman"/>
          <w:b/>
          <w:sz w:val="24"/>
          <w:szCs w:val="24"/>
          <w:lang w:val="en-US" w:eastAsia="zh-CN"/>
        </w:rPr>
        <w:t>6.2</w:t>
      </w:r>
      <w:r>
        <w:rPr>
          <w:rFonts w:hint="default" w:ascii="Times New Roman" w:hAnsi="Times New Roman" w:eastAsia="宋体" w:cs="Times New Roman"/>
          <w:b/>
          <w:sz w:val="24"/>
          <w:szCs w:val="24"/>
        </w:rPr>
        <w:t xml:space="preserve">  与《污染影响类建设项目重大变动清单》（试行）对比一览表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9"/>
        <w:gridCol w:w="6981"/>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重大变动清单内容</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建设项目开发、使用功能发生变化的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生产、处置或储存能力增大30%及以上的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生产、处置或储存能力增大，导致废水第一类污染物排放量增加的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重新选址；在原厂址附近调整（包括总平面布置变化）导致环境防护距离范围变化且新增敏感点的。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项目选址未发生变动，未新增敏感点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新增产品品种或生产工艺（含主要生产装置、设备及配套设施）、主要原辅材料、燃料变化，导致以下情形之一：</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（1）新增排放污染物种类的（毒性、挥发性降低的除外）；</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（3）废水第一类污染物排放量增加的；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（4）其他污染物排放量增加10%及以上的。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物料运输、装卸、贮存方式变化，导致大气污染物无组织排放量增加10%及以上的。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废气、废水污染防治措施变化，导致第6条中所列情形之一（废气无组织排放改为有组织排放、污染防治措施强化或改进的除外）或大气污染物无组织排放量增加10%及以上的。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新增废水直接排放口；废水由间接排放改为直接排放；废水直接排放口位置变化，导致不利环境影响加重的。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新增废气主要排放口（废气无组织排放改为有组织排放的除外）；主要排放口排气筒高度降低10%及以上的。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噪声、土壤或地下水污染防治措施变化，导致不利环境影响加重的。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固体废物利用处置方式由委托外单位利用处置改为自行利用处置的（自行利用处置设施单独开展环境影响评价的除外）；固体废物自行处置方式变化，导致不利环境影响加重的。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41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事故废水暂存能力或拦截设施变化，导致环境风险防范能力弱化或降低的。</w:t>
            </w:r>
          </w:p>
        </w:tc>
        <w:tc>
          <w:tcPr>
            <w:tcW w:w="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由上表可知，对照《污染影响类建设项目重大变动清单（试行）》分析，本项目不涉及重大变动，符合要求。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p>
    <w:p>
      <w:pPr>
        <w:pStyle w:val="31"/>
        <w:rPr>
          <w:rFonts w:hint="default" w:ascii="Times New Roman" w:hAnsi="Times New Roman" w:eastAsia="宋体" w:cs="Times New Roman"/>
          <w:color w:val="000000"/>
          <w:sz w:val="24"/>
          <w:szCs w:val="28"/>
        </w:rPr>
      </w:pPr>
    </w:p>
    <w:p>
      <w:pPr>
        <w:rPr>
          <w:rFonts w:hint="default" w:ascii="Times New Roman" w:hAnsi="Times New Roman" w:eastAsia="宋体" w:cs="Times New Roman"/>
          <w:color w:val="000000"/>
          <w:sz w:val="24"/>
          <w:szCs w:val="28"/>
        </w:rPr>
      </w:pPr>
    </w:p>
    <w:p>
      <w:pPr>
        <w:pStyle w:val="31"/>
        <w:rPr>
          <w:rFonts w:hint="default" w:ascii="Times New Roman" w:hAnsi="Times New Roman" w:eastAsia="宋体" w:cs="Times New Roman"/>
          <w:color w:val="000000"/>
          <w:sz w:val="24"/>
          <w:szCs w:val="28"/>
        </w:rPr>
      </w:pPr>
    </w:p>
    <w:p>
      <w:pPr>
        <w:rPr>
          <w:rFonts w:hint="default" w:ascii="Times New Roman" w:hAnsi="Times New Roman" w:eastAsia="宋体" w:cs="Times New Roman"/>
          <w:color w:val="000000"/>
          <w:sz w:val="24"/>
          <w:szCs w:val="28"/>
        </w:rPr>
      </w:pPr>
    </w:p>
    <w:p>
      <w:pPr>
        <w:pStyle w:val="31"/>
        <w:rPr>
          <w:rFonts w:hint="default" w:ascii="Times New Roman" w:hAnsi="Times New Roman" w:eastAsia="宋体" w:cs="Times New Roman"/>
          <w:color w:val="000000"/>
          <w:sz w:val="24"/>
          <w:szCs w:val="28"/>
        </w:rPr>
      </w:pPr>
    </w:p>
    <w:p>
      <w:pPr>
        <w:rPr>
          <w:rFonts w:hint="default" w:ascii="Times New Roman" w:hAnsi="Times New Roman" w:eastAsia="宋体" w:cs="Times New Roman"/>
          <w:color w:val="000000"/>
          <w:sz w:val="24"/>
          <w:szCs w:val="28"/>
        </w:rPr>
      </w:pPr>
    </w:p>
    <w:p>
      <w:pPr>
        <w:pStyle w:val="31"/>
        <w:rPr>
          <w:rFonts w:hint="default" w:ascii="Times New Roman" w:hAnsi="Times New Roman" w:eastAsia="宋体" w:cs="Times New Roman"/>
        </w:rPr>
      </w:pPr>
    </w:p>
    <w:p>
      <w:pPr>
        <w:spacing w:line="360" w:lineRule="auto"/>
        <w:jc w:val="center"/>
        <w:outlineLvl w:val="0"/>
        <w:rPr>
          <w:rFonts w:hint="default" w:ascii="Times New Roman" w:hAnsi="Times New Roman" w:eastAsia="宋体" w:cs="Times New Roman"/>
          <w:b/>
          <w:sz w:val="32"/>
          <w:szCs w:val="32"/>
        </w:rPr>
      </w:pPr>
      <w:bookmarkStart w:id="31" w:name="_Toc901"/>
      <w:r>
        <w:rPr>
          <w:rFonts w:hint="default" w:ascii="Times New Roman" w:hAnsi="Times New Roman" w:eastAsia="宋体" w:cs="Times New Roman"/>
          <w:b/>
          <w:sz w:val="32"/>
          <w:szCs w:val="32"/>
        </w:rPr>
        <w:t>4、环境保护设施</w:t>
      </w:r>
      <w:bookmarkEnd w:id="31"/>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32" w:name="_Toc10733"/>
      <w:r>
        <w:rPr>
          <w:rFonts w:hint="default" w:ascii="Times New Roman" w:hAnsi="Times New Roman" w:eastAsia="宋体" w:cs="Times New Roman"/>
          <w:b/>
          <w:sz w:val="28"/>
          <w:szCs w:val="32"/>
        </w:rPr>
        <w:t>4.1污染物治理/处置设施</w:t>
      </w:r>
      <w:bookmarkEnd w:id="32"/>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4.1.1废水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lang w:val="en-US" w:eastAsia="zh-CN"/>
        </w:rPr>
      </w:pPr>
      <w:bookmarkStart w:id="33" w:name="_Hlk74757575"/>
      <w:r>
        <w:rPr>
          <w:rFonts w:hint="default" w:ascii="Times New Roman" w:hAnsi="Times New Roman" w:eastAsia="宋体" w:cs="Times New Roman"/>
          <w:color w:val="000000"/>
          <w:sz w:val="24"/>
          <w:szCs w:val="20"/>
          <w:lang w:val="en-US" w:eastAsia="zh-CN"/>
        </w:rPr>
        <w:t>本项目加油站采用雨污分流制，初期雨水经厂内排水管道收集通过隔油池处理后外排至排水沟。本项目生活污水和外来加油人员废水产污系数按0.8计，则生活污水和外来加油人员废水产生量分别为87.6m</w:t>
      </w:r>
      <w:r>
        <w:rPr>
          <w:rFonts w:hint="default" w:ascii="Times New Roman" w:hAnsi="Times New Roman" w:eastAsia="宋体" w:cs="Times New Roman"/>
          <w:color w:val="000000"/>
          <w:sz w:val="24"/>
          <w:szCs w:val="20"/>
          <w:vertAlign w:val="superscript"/>
          <w:lang w:val="en-US" w:eastAsia="zh-CN"/>
        </w:rPr>
        <w:t>3</w:t>
      </w:r>
      <w:r>
        <w:rPr>
          <w:rFonts w:hint="default" w:ascii="Times New Roman" w:hAnsi="Times New Roman" w:eastAsia="宋体" w:cs="Times New Roman"/>
          <w:color w:val="000000"/>
          <w:sz w:val="24"/>
          <w:szCs w:val="20"/>
          <w:lang w:val="en-US" w:eastAsia="zh-CN"/>
        </w:rPr>
        <w:t>/a、</w:t>
      </w:r>
      <w:r>
        <w:rPr>
          <w:rFonts w:hint="default" w:ascii="Times New Roman" w:hAnsi="Times New Roman" w:eastAsia="宋体" w:cs="Times New Roman"/>
          <w:color w:val="000000"/>
          <w:kern w:val="24"/>
          <w:sz w:val="24"/>
          <w:szCs w:val="20"/>
          <w:lang w:val="en-US" w:eastAsia="zh-CN" w:bidi="ar-SA"/>
        </w:rPr>
        <w:t>219</w:t>
      </w:r>
      <w:r>
        <w:rPr>
          <w:rFonts w:hint="default" w:ascii="Times New Roman" w:hAnsi="Times New Roman" w:eastAsia="宋体" w:cs="Times New Roman"/>
          <w:color w:val="000000"/>
          <w:sz w:val="24"/>
          <w:szCs w:val="20"/>
          <w:lang w:val="en-US" w:eastAsia="zh-CN"/>
        </w:rPr>
        <w:t>m</w:t>
      </w:r>
      <w:r>
        <w:rPr>
          <w:rFonts w:hint="default" w:ascii="Times New Roman" w:hAnsi="Times New Roman" w:eastAsia="宋体" w:cs="Times New Roman"/>
          <w:color w:val="000000"/>
          <w:sz w:val="24"/>
          <w:szCs w:val="20"/>
          <w:vertAlign w:val="superscript"/>
          <w:lang w:val="en-US" w:eastAsia="zh-CN"/>
        </w:rPr>
        <w:t>3</w:t>
      </w:r>
      <w:r>
        <w:rPr>
          <w:rFonts w:hint="default" w:ascii="Times New Roman" w:hAnsi="Times New Roman" w:eastAsia="宋体" w:cs="Times New Roman"/>
          <w:color w:val="000000"/>
          <w:sz w:val="24"/>
          <w:szCs w:val="20"/>
          <w:lang w:val="en-US" w:eastAsia="zh-CN"/>
        </w:rPr>
        <w:t>/a，生活污水经化粪池预处理后由环卫部门定期清运处理，地面冲洗废水收集后进隔油池处理循环使用，均不外排。另外，项目厂区化粪池进行了防渗漏处理，防止生活污水渗入地下而影响到本区域地下水环境。</w:t>
      </w:r>
    </w:p>
    <w:bookmarkEnd w:id="33"/>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4.1.2废气</w:t>
      </w:r>
    </w:p>
    <w:p>
      <w:pPr>
        <w:pStyle w:val="47"/>
        <w:spacing w:line="360" w:lineRule="auto"/>
        <w:ind w:firstLine="0" w:firstLineChars="0"/>
        <w:jc w:val="both"/>
        <w:rPr>
          <w:rFonts w:hint="default" w:ascii="Times New Roman" w:hAnsi="Times New Roman" w:eastAsia="宋体" w:cs="Times New Roman"/>
          <w:b/>
          <w:sz w:val="24"/>
          <w:szCs w:val="32"/>
          <w:lang w:val="en-US" w:eastAsia="zh-CN"/>
        </w:rPr>
      </w:pPr>
      <w:r>
        <w:rPr>
          <w:rFonts w:hint="default" w:ascii="Times New Roman" w:hAnsi="Times New Roman" w:eastAsia="宋体" w:cs="Times New Roman"/>
          <w:b/>
          <w:sz w:val="24"/>
          <w:szCs w:val="32"/>
        </w:rPr>
        <w:t>4.1.2.</w:t>
      </w:r>
      <w:r>
        <w:rPr>
          <w:rFonts w:hint="default" w:ascii="Times New Roman" w:hAnsi="Times New Roman" w:eastAsia="宋体" w:cs="Times New Roman"/>
          <w:b/>
          <w:sz w:val="24"/>
          <w:szCs w:val="32"/>
          <w:highlight w:val="none"/>
        </w:rPr>
        <w:t>1废气</w:t>
      </w:r>
      <w:r>
        <w:rPr>
          <w:rFonts w:hint="default" w:ascii="Times New Roman" w:hAnsi="Times New Roman" w:eastAsia="宋体" w:cs="Times New Roman"/>
          <w:b/>
          <w:sz w:val="24"/>
          <w:szCs w:val="32"/>
          <w:highlight w:val="none"/>
          <w:lang w:val="en-US" w:eastAsia="zh-CN"/>
        </w:rPr>
        <w:t>处理措施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lang w:val="en-US" w:eastAsia="zh-CN"/>
        </w:rPr>
      </w:pPr>
      <w:r>
        <w:rPr>
          <w:rFonts w:hint="default" w:ascii="Times New Roman" w:hAnsi="Times New Roman" w:eastAsia="宋体" w:cs="Times New Roman"/>
          <w:color w:val="000000"/>
          <w:sz w:val="24"/>
          <w:szCs w:val="20"/>
        </w:rPr>
        <w:t>本项目</w:t>
      </w:r>
      <w:r>
        <w:rPr>
          <w:rFonts w:hint="default" w:ascii="Times New Roman" w:hAnsi="Times New Roman" w:eastAsia="宋体" w:cs="Times New Roman"/>
          <w:color w:val="000000"/>
          <w:sz w:val="24"/>
          <w:szCs w:val="20"/>
          <w:lang w:val="en-US" w:eastAsia="zh-CN"/>
        </w:rPr>
        <w:t>采取密闭卸油方式，卸油油气由罐车自带油气回收处理系统（</w:t>
      </w:r>
      <w:r>
        <w:rPr>
          <w:rFonts w:hint="default" w:ascii="Times New Roman" w:hAnsi="Times New Roman" w:eastAsia="宋体" w:cs="Times New Roman"/>
          <w:color w:val="000000"/>
          <w:sz w:val="24"/>
          <w:szCs w:val="20"/>
        </w:rPr>
        <w:t>一次</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lang w:val="en-US" w:eastAsia="zh-CN"/>
        </w:rPr>
        <w:t>）回收至油罐车；</w:t>
      </w:r>
      <w:r>
        <w:rPr>
          <w:rFonts w:hint="default" w:ascii="Times New Roman" w:hAnsi="Times New Roman" w:eastAsia="宋体" w:cs="Times New Roman"/>
          <w:color w:val="000000"/>
          <w:sz w:val="24"/>
          <w:szCs w:val="20"/>
        </w:rPr>
        <w:t>加油</w:t>
      </w:r>
      <w:r>
        <w:rPr>
          <w:rFonts w:hint="default" w:ascii="Times New Roman" w:hAnsi="Times New Roman" w:eastAsia="宋体" w:cs="Times New Roman"/>
          <w:color w:val="000000"/>
          <w:sz w:val="24"/>
          <w:szCs w:val="20"/>
          <w:lang w:val="en-US" w:eastAsia="zh-CN"/>
        </w:rPr>
        <w:t>过程中设置</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rPr>
        <w:t>（即</w:t>
      </w:r>
      <w:r>
        <w:rPr>
          <w:rFonts w:hint="default" w:ascii="Times New Roman" w:hAnsi="Times New Roman" w:eastAsia="宋体" w:cs="Times New Roman"/>
          <w:color w:val="000000"/>
          <w:sz w:val="24"/>
          <w:szCs w:val="20"/>
          <w:lang w:val="en-US" w:eastAsia="zh-CN"/>
        </w:rPr>
        <w:t>二次</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rPr>
        <w:t>）、</w:t>
      </w:r>
      <w:r>
        <w:rPr>
          <w:rFonts w:hint="default" w:ascii="Times New Roman" w:hAnsi="Times New Roman" w:eastAsia="宋体" w:cs="Times New Roman"/>
          <w:color w:val="000000"/>
          <w:sz w:val="24"/>
          <w:szCs w:val="20"/>
          <w:lang w:val="en-US" w:eastAsia="zh-CN"/>
        </w:rPr>
        <w:t>加油作业中产生的油气通过地下油气回收管线收集到地下储罐内；油罐呼吸油气通过油气处理装置（三次油气回收处理系统），采用冷凝+吸附工艺处理后通过距地平面4m的排气口排放。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0"/>
          <w:lang w:val="en-US" w:eastAsia="zh-CN"/>
        </w:rPr>
        <w:t>项目现</w:t>
      </w:r>
      <w:r>
        <w:rPr>
          <w:rFonts w:hint="default" w:ascii="Times New Roman" w:hAnsi="Times New Roman" w:eastAsia="宋体" w:cs="Times New Roman"/>
          <w:color w:val="000000"/>
          <w:sz w:val="24"/>
          <w:szCs w:val="28"/>
        </w:rPr>
        <w:t>场环保设施见图4-1。</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1"/>
        <w:gridCol w:w="4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4" w:hRule="atLeast"/>
        </w:trPr>
        <w:tc>
          <w:tcPr>
            <w:tcW w:w="4291" w:type="dxa"/>
            <w:noWrap w:val="0"/>
            <w:vAlign w:val="top"/>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8255" cy="1911350"/>
                  <wp:effectExtent l="0" t="0" r="4445" b="12700"/>
                  <wp:docPr id="55" name="图片 56" descr="微信图片_2023100813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6" descr="微信图片_20231008134635"/>
                          <pic:cNvPicPr>
                            <a:picLocks noChangeAspect="1"/>
                          </pic:cNvPicPr>
                        </pic:nvPicPr>
                        <pic:blipFill>
                          <a:blip r:embed="rId23"/>
                          <a:stretch>
                            <a:fillRect/>
                          </a:stretch>
                        </pic:blipFill>
                        <pic:spPr>
                          <a:xfrm>
                            <a:off x="0" y="0"/>
                            <a:ext cx="2548255" cy="1911350"/>
                          </a:xfrm>
                          <a:prstGeom prst="rect">
                            <a:avLst/>
                          </a:prstGeom>
                          <a:noFill/>
                          <a:ln>
                            <a:noFill/>
                          </a:ln>
                        </pic:spPr>
                      </pic:pic>
                    </a:graphicData>
                  </a:graphic>
                </wp:inline>
              </w:drawing>
            </w:r>
          </w:p>
        </w:tc>
        <w:tc>
          <w:tcPr>
            <w:tcW w:w="4231" w:type="dxa"/>
            <w:noWrap w:val="0"/>
            <w:vAlign w:val="top"/>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8255" cy="1911350"/>
                  <wp:effectExtent l="0" t="0" r="4445" b="12700"/>
                  <wp:docPr id="56" name="图片 57" descr="微信图片_2023100813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7" descr="微信图片_20231008134645"/>
                          <pic:cNvPicPr>
                            <a:picLocks noChangeAspect="1"/>
                          </pic:cNvPicPr>
                        </pic:nvPicPr>
                        <pic:blipFill>
                          <a:blip r:embed="rId24"/>
                          <a:stretch>
                            <a:fillRect/>
                          </a:stretch>
                        </pic:blipFill>
                        <pic:spPr>
                          <a:xfrm>
                            <a:off x="0" y="0"/>
                            <a:ext cx="2548255" cy="1911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8522" w:type="dxa"/>
            <w:gridSpan w:val="2"/>
            <w:noWrap w:val="0"/>
            <w:vAlign w:val="top"/>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eastAsia" w:ascii="Times New Roman" w:hAnsi="Times New Roman" w:cs="Times New Roman"/>
                <w:color w:val="000000"/>
                <w:sz w:val="21"/>
                <w:szCs w:val="21"/>
                <w:vertAlign w:val="baseline"/>
                <w:lang w:val="en-US" w:eastAsia="zh-CN"/>
              </w:rPr>
              <w:t>三次油气回收</w:t>
            </w:r>
            <w:r>
              <w:rPr>
                <w:rFonts w:hint="default" w:ascii="Times New Roman" w:hAnsi="Times New Roman" w:eastAsia="宋体" w:cs="Times New Roman"/>
                <w:color w:val="000000"/>
                <w:sz w:val="21"/>
                <w:szCs w:val="21"/>
                <w:vertAlign w:val="baseline"/>
                <w:lang w:eastAsia="zh-CN"/>
              </w:rPr>
              <w:t>处理装置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91" w:type="dxa"/>
            <w:noWrap w:val="0"/>
            <w:vAlign w:val="top"/>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8255" cy="1911350"/>
                  <wp:effectExtent l="0" t="0" r="4445" b="12700"/>
                  <wp:docPr id="57" name="图片 58" descr="微信图片_2023100813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8" descr="微信图片_20231008134647"/>
                          <pic:cNvPicPr>
                            <a:picLocks noChangeAspect="1"/>
                          </pic:cNvPicPr>
                        </pic:nvPicPr>
                        <pic:blipFill>
                          <a:blip r:embed="rId25"/>
                          <a:stretch>
                            <a:fillRect/>
                          </a:stretch>
                        </pic:blipFill>
                        <pic:spPr>
                          <a:xfrm>
                            <a:off x="0" y="0"/>
                            <a:ext cx="2548255" cy="1911350"/>
                          </a:xfrm>
                          <a:prstGeom prst="rect">
                            <a:avLst/>
                          </a:prstGeom>
                          <a:noFill/>
                          <a:ln>
                            <a:noFill/>
                          </a:ln>
                        </pic:spPr>
                      </pic:pic>
                    </a:graphicData>
                  </a:graphic>
                </wp:inline>
              </w:drawing>
            </w:r>
          </w:p>
        </w:tc>
        <w:tc>
          <w:tcPr>
            <w:tcW w:w="4231" w:type="dxa"/>
            <w:noWrap w:val="0"/>
            <w:vAlign w:val="top"/>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anchor distT="0" distB="0" distL="114300" distR="114300" simplePos="0" relativeHeight="251665408" behindDoc="0" locked="0" layoutInCell="1" allowOverlap="1">
                  <wp:simplePos x="0" y="0"/>
                  <wp:positionH relativeFrom="column">
                    <wp:posOffset>17780</wp:posOffset>
                  </wp:positionH>
                  <wp:positionV relativeFrom="page">
                    <wp:posOffset>104140</wp:posOffset>
                  </wp:positionV>
                  <wp:extent cx="2550160" cy="1835150"/>
                  <wp:effectExtent l="0" t="0" r="2540" b="12700"/>
                  <wp:wrapNone/>
                  <wp:docPr id="10" name="图片 1066" descr="微信图片_2023100813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66" descr="微信图片_20231008134810"/>
                          <pic:cNvPicPr>
                            <a:picLocks noChangeAspect="1"/>
                          </pic:cNvPicPr>
                        </pic:nvPicPr>
                        <pic:blipFill>
                          <a:blip r:embed="rId26"/>
                          <a:srcRect r="31473" b="7574"/>
                          <a:stretch>
                            <a:fillRect/>
                          </a:stretch>
                        </pic:blipFill>
                        <pic:spPr>
                          <a:xfrm>
                            <a:off x="0" y="0"/>
                            <a:ext cx="2550160" cy="1835150"/>
                          </a:xfrm>
                          <a:prstGeom prst="rect">
                            <a:avLst/>
                          </a:prstGeom>
                          <a:noFill/>
                          <a:ln>
                            <a:noFill/>
                          </a:ln>
                        </pic:spPr>
                      </pic:pic>
                    </a:graphicData>
                  </a:graphic>
                </wp:anchor>
              </w:drawing>
            </w:r>
          </w:p>
          <w:p>
            <w:pPr>
              <w:spacing w:line="360" w:lineRule="auto"/>
              <w:jc w:val="left"/>
              <w:rPr>
                <w:rFonts w:hint="default" w:ascii="Times New Roman" w:hAnsi="Times New Roman" w:eastAsia="宋体" w:cs="Times New Roman"/>
                <w:color w:val="000000"/>
                <w:sz w:val="24"/>
                <w:szCs w:val="28"/>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91" w:type="dxa"/>
            <w:tcBorders>
              <w:left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4"/>
                <w:szCs w:val="28"/>
                <w:vertAlign w:val="baseline"/>
                <w:lang w:val="en-US" w:eastAsia="zh-CN"/>
              </w:rPr>
            </w:pPr>
            <w:r>
              <w:rPr>
                <w:rFonts w:hint="default" w:ascii="Times New Roman" w:hAnsi="Times New Roman" w:eastAsia="宋体" w:cs="Times New Roman"/>
                <w:color w:val="000000"/>
                <w:sz w:val="21"/>
                <w:szCs w:val="21"/>
                <w:lang w:val="en-US" w:eastAsia="zh-CN"/>
              </w:rPr>
              <w:t>油罐呼吸油气采用冷凝+吸附工艺处理后通过距地平面4m的排气口排放</w:t>
            </w:r>
          </w:p>
        </w:tc>
        <w:tc>
          <w:tcPr>
            <w:tcW w:w="4231" w:type="dxa"/>
            <w:tcBorders>
              <w:left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加油</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卸油过程中</w:t>
            </w:r>
            <w:r>
              <w:rPr>
                <w:rFonts w:hint="default" w:ascii="Times New Roman" w:hAnsi="Times New Roman" w:eastAsia="宋体" w:cs="Times New Roman"/>
                <w:color w:val="000000"/>
                <w:sz w:val="21"/>
                <w:szCs w:val="21"/>
                <w:lang w:eastAsia="zh-CN"/>
              </w:rPr>
              <w:t>油气回收处理系统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91" w:type="dxa"/>
            <w:tcBorders>
              <w:left w:val="single" w:color="auto" w:sz="4" w:space="0"/>
              <w:right w:val="single" w:color="auto" w:sz="4" w:space="0"/>
            </w:tcBorders>
            <w:noWrap w:val="0"/>
            <w:vAlign w:val="top"/>
          </w:tcPr>
          <w:p>
            <w:pPr>
              <w:spacing w:line="360" w:lineRule="auto"/>
              <w:jc w:val="center"/>
              <w:rPr>
                <w:rFonts w:hint="default" w:ascii="Times New Roman" w:hAnsi="Times New Roman" w:eastAsia="宋体" w:cs="Times New Roman"/>
                <w:color w:val="000000"/>
                <w:sz w:val="24"/>
                <w:szCs w:val="28"/>
                <w:vertAlign w:val="baseline"/>
                <w:lang w:val="en-US" w:eastAsia="zh-CN"/>
              </w:rPr>
            </w:pPr>
            <w:r>
              <w:rPr>
                <w:rFonts w:hint="default" w:ascii="Times New Roman" w:hAnsi="Times New Roman" w:eastAsia="宋体" w:cs="Times New Roman"/>
                <w:color w:val="000000"/>
                <w:sz w:val="24"/>
                <w:szCs w:val="28"/>
                <w:vertAlign w:val="baseline"/>
                <w:lang w:val="en-US" w:eastAsia="zh-CN"/>
              </w:rPr>
              <w:drawing>
                <wp:inline distT="0" distB="0" distL="114300" distR="114300">
                  <wp:extent cx="2577465" cy="2078990"/>
                  <wp:effectExtent l="0" t="0" r="13335" b="16510"/>
                  <wp:docPr id="58" name="图片 95" descr="微信图片_2023100813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5" descr="微信图片_20231008134713"/>
                          <pic:cNvPicPr>
                            <a:picLocks noChangeAspect="1"/>
                          </pic:cNvPicPr>
                        </pic:nvPicPr>
                        <pic:blipFill>
                          <a:blip r:embed="rId27"/>
                          <a:stretch>
                            <a:fillRect/>
                          </a:stretch>
                        </pic:blipFill>
                        <pic:spPr>
                          <a:xfrm>
                            <a:off x="0" y="0"/>
                            <a:ext cx="2577465" cy="2078990"/>
                          </a:xfrm>
                          <a:prstGeom prst="rect">
                            <a:avLst/>
                          </a:prstGeom>
                          <a:noFill/>
                          <a:ln>
                            <a:noFill/>
                          </a:ln>
                        </pic:spPr>
                      </pic:pic>
                    </a:graphicData>
                  </a:graphic>
                </wp:inline>
              </w:drawing>
            </w:r>
          </w:p>
        </w:tc>
        <w:tc>
          <w:tcPr>
            <w:tcW w:w="4231" w:type="dxa"/>
            <w:tcBorders>
              <w:left w:val="single" w:color="auto" w:sz="4" w:space="0"/>
              <w:right w:val="single" w:color="auto" w:sz="4" w:space="0"/>
            </w:tcBorders>
            <w:noWrap w:val="0"/>
            <w:vAlign w:val="top"/>
          </w:tcPr>
          <w:p>
            <w:pPr>
              <w:spacing w:line="360" w:lineRule="auto"/>
              <w:jc w:val="center"/>
              <w:rPr>
                <w:rFonts w:hint="default" w:ascii="Times New Roman" w:hAnsi="Times New Roman" w:eastAsia="宋体" w:cs="Times New Roman"/>
                <w:color w:val="000000"/>
                <w:sz w:val="24"/>
                <w:szCs w:val="28"/>
                <w:vertAlign w:val="baseline"/>
                <w:lang w:val="en-US" w:eastAsia="zh-CN"/>
              </w:rPr>
            </w:pPr>
            <w:r>
              <w:rPr>
                <w:rFonts w:hint="default" w:ascii="Times New Roman" w:hAnsi="Times New Roman" w:eastAsia="宋体" w:cs="Times New Roman"/>
                <w:color w:val="000000"/>
                <w:sz w:val="24"/>
                <w:szCs w:val="28"/>
                <w:vertAlign w:val="baseline"/>
                <w:lang w:val="en-US" w:eastAsia="zh-CN"/>
              </w:rPr>
              <w:drawing>
                <wp:inline distT="0" distB="0" distL="114300" distR="114300">
                  <wp:extent cx="2548890" cy="2125980"/>
                  <wp:effectExtent l="0" t="0" r="0" b="0"/>
                  <wp:docPr id="81" name="图片 81" descr="eeff0fea002b2ef9f32f986cf9ba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eeff0fea002b2ef9f32f986cf9ba945"/>
                          <pic:cNvPicPr>
                            <a:picLocks noChangeAspect="1"/>
                          </pic:cNvPicPr>
                        </pic:nvPicPr>
                        <pic:blipFill>
                          <a:blip r:embed="rId28"/>
                          <a:srcRect t="23188" b="14256"/>
                          <a:stretch>
                            <a:fillRect/>
                          </a:stretch>
                        </pic:blipFill>
                        <pic:spPr>
                          <a:xfrm>
                            <a:off x="0" y="0"/>
                            <a:ext cx="2548890" cy="21259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91" w:type="dxa"/>
            <w:tcBorders>
              <w:left w:val="single" w:color="auto" w:sz="4" w:space="0"/>
              <w:bottom w:val="single" w:color="auto" w:sz="4" w:space="0"/>
              <w:right w:val="single" w:color="auto" w:sz="4" w:space="0"/>
            </w:tcBorders>
            <w:noWrap w:val="0"/>
            <w:vAlign w:val="top"/>
          </w:tcPr>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卸油口</w:t>
            </w:r>
          </w:p>
        </w:tc>
        <w:tc>
          <w:tcPr>
            <w:tcW w:w="4231" w:type="dxa"/>
            <w:tcBorders>
              <w:left w:val="single" w:color="auto" w:sz="4" w:space="0"/>
              <w:bottom w:val="single" w:color="auto" w:sz="4" w:space="0"/>
              <w:right w:val="single" w:color="auto" w:sz="4" w:space="0"/>
            </w:tcBorders>
            <w:noWrap w:val="0"/>
            <w:vAlign w:val="top"/>
          </w:tcPr>
          <w:p>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危废间</w:t>
            </w:r>
          </w:p>
        </w:tc>
      </w:tr>
    </w:tbl>
    <w:p>
      <w:pPr>
        <w:pStyle w:val="4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图4-1  现场环保设施图</w:t>
      </w:r>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4.1.3噪声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lang w:val="en-US" w:eastAsia="zh-CN"/>
        </w:rPr>
      </w:pPr>
      <w:bookmarkStart w:id="34" w:name="_Toc502264707"/>
      <w:bookmarkStart w:id="35" w:name="_Toc502264587"/>
      <w:r>
        <w:rPr>
          <w:rFonts w:hint="default" w:ascii="Times New Roman" w:hAnsi="Times New Roman" w:eastAsia="宋体" w:cs="Times New Roman"/>
          <w:color w:val="000000"/>
          <w:sz w:val="24"/>
          <w:szCs w:val="28"/>
        </w:rPr>
        <w:t>本项目噪声主要来自加油机噪声以及停靠加油站车辆噪声，</w:t>
      </w:r>
      <w:r>
        <w:rPr>
          <w:rFonts w:hint="default" w:ascii="Times New Roman" w:hAnsi="Times New Roman" w:eastAsia="宋体" w:cs="Times New Roman"/>
          <w:color w:val="000000"/>
          <w:sz w:val="24"/>
          <w:szCs w:val="28"/>
          <w:lang w:val="en-US" w:eastAsia="zh-CN"/>
        </w:rPr>
        <w:t>本项目对出入站区内来往的机动车严格管理，采取车辆进站时减速、禁止鸣笛、加油时车辆熄火和平稳启动等措施，使站区内的交通噪声降到最低；项目采用低噪声潜油泵，布设于地下，经减振基础、地面隔声等措施处理，确保项目厂界噪声达到《社会生活环境噪声排放标准》(GB22337-2008）中2类标准要求。</w:t>
      </w:r>
    </w:p>
    <w:bookmarkEnd w:id="34"/>
    <w:bookmarkEnd w:id="35"/>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4.1.4固（液）体废物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本项目运营期产生的固体废物主要为职工生活垃圾，清罐废渣，隔油池废油和污泥，含油抹布手套以及含油吸油毡。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1、生活垃圾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本项目劳动定员6人，生活垃圾产生量按0.5kg/人•d计算，外来加油人员基本不产生生活垃圾，则本项目生活垃圾产生量为3kg/d，即1.095t/a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lang w:val="en-US"/>
        </w:rPr>
      </w:pPr>
      <w:r>
        <w:rPr>
          <w:rFonts w:hint="default" w:ascii="Times New Roman" w:hAnsi="Times New Roman" w:eastAsia="宋体" w:cs="Times New Roman"/>
          <w:color w:val="000000"/>
          <w:sz w:val="24"/>
          <w:szCs w:val="28"/>
          <w:lang w:val="en-US" w:eastAsia="zh-CN"/>
        </w:rPr>
        <w:t>2、隔油池废油和污泥</w:t>
      </w:r>
    </w:p>
    <w:p>
      <w:pPr>
        <w:pStyle w:val="47"/>
        <w:spacing w:line="360" w:lineRule="auto"/>
        <w:ind w:firstLine="480" w:firstLineChars="200"/>
        <w:jc w:val="both"/>
        <w:outlineLvl w:val="9"/>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项目采用隔油池对地面冲洗废水进行处理，隔油沉淀池清理会产生少量的废油和污泥，属于危险废物，产生量为0.008t/a，暂存危废暂存间，定期交有资质单位处置。</w:t>
      </w:r>
    </w:p>
    <w:p>
      <w:pPr>
        <w:keepNext w:val="0"/>
        <w:keepLines w:val="0"/>
        <w:pageBreakBefore w:val="0"/>
        <w:widowControl w:val="0"/>
        <w:kinsoku/>
        <w:wordWrap/>
        <w:overflowPunct/>
        <w:topLinePunct w:val="0"/>
        <w:autoSpaceDE/>
        <w:autoSpaceDN/>
        <w:bidi w:val="0"/>
        <w:adjustRightInd/>
        <w:snapToGrid/>
        <w:spacing w:line="360" w:lineRule="auto"/>
        <w:ind w:firstLine="480"/>
        <w:jc w:val="left"/>
        <w:textAlignment w:val="auto"/>
        <w:rPr>
          <w:rFonts w:hint="default" w:ascii="Times New Roman" w:hAnsi="Times New Roman" w:eastAsia="宋体" w:cs="Times New Roman"/>
          <w:sz w:val="24"/>
        </w:rPr>
      </w:pPr>
      <w:r>
        <w:rPr>
          <w:rFonts w:hint="default" w:ascii="Times New Roman" w:hAnsi="Times New Roman" w:eastAsia="宋体" w:cs="Times New Roman"/>
          <w:kern w:val="0"/>
          <w:sz w:val="24"/>
          <w:lang w:val="en-US" w:eastAsia="zh-CN"/>
        </w:rPr>
        <w:t>3、</w:t>
      </w:r>
      <w:r>
        <w:rPr>
          <w:rFonts w:hint="default" w:ascii="Times New Roman" w:hAnsi="Times New Roman" w:eastAsia="宋体" w:cs="Times New Roman"/>
          <w:sz w:val="24"/>
        </w:rPr>
        <w:t>含油抹布手套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 xml:space="preserve">加油作业时，如出现异常情况导致汽油流到地面时，采用抹布、拖布等清理，工作过程中会产生的含油废手套、废抹（拖）布等，根据企业提供资料，废物产生量约为0.05t/a。根据《国家危险废物名录》（2021年），废弃的含油废手套、废抹布属于危险废物豁免清单，全过程不按危险废物管理，可混入生活垃圾交由环卫部门处理。该含油废手套、废抹布与职工生活垃圾一同由环卫部门定期清运。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4、</w:t>
      </w:r>
      <w:r>
        <w:rPr>
          <w:rFonts w:hint="default" w:ascii="Times New Roman" w:hAnsi="Times New Roman" w:eastAsia="宋体" w:cs="Times New Roman"/>
          <w:sz w:val="24"/>
        </w:rPr>
        <w:t>清罐废</w:t>
      </w:r>
      <w:r>
        <w:rPr>
          <w:rFonts w:hint="default" w:ascii="Times New Roman" w:hAnsi="Times New Roman" w:eastAsia="宋体" w:cs="Times New Roman"/>
          <w:sz w:val="24"/>
          <w:lang w:val="en-US" w:eastAsia="zh-CN"/>
        </w:rPr>
        <w:t>渣</w:t>
      </w:r>
    </w:p>
    <w:p>
      <w:pPr>
        <w:pStyle w:val="47"/>
        <w:spacing w:line="360" w:lineRule="auto"/>
        <w:ind w:firstLine="480" w:firstLineChars="200"/>
        <w:jc w:val="both"/>
        <w:outlineLvl w:val="9"/>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sz w:val="24"/>
          <w:lang w:val="en-US" w:eastAsia="zh-CN"/>
        </w:rPr>
        <w:t>根据同类行业分析，加油站一般3年左右会清一次油罐，清罐过程中会产生清罐废渣，清罐废渣产生量约为0.4t/a。属于危险废物，</w:t>
      </w:r>
      <w:r>
        <w:rPr>
          <w:rFonts w:hint="default" w:ascii="Times New Roman" w:hAnsi="Times New Roman" w:eastAsia="宋体" w:cs="Times New Roman"/>
          <w:color w:val="000000"/>
          <w:sz w:val="24"/>
          <w:szCs w:val="28"/>
          <w:lang w:val="en-US" w:eastAsia="zh-CN"/>
        </w:rPr>
        <w:t>暂存危废暂存间，定期交有资质单位处置。</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en-US" w:eastAsia="zh-CN"/>
        </w:rPr>
        <w:t>5、</w:t>
      </w:r>
      <w:r>
        <w:rPr>
          <w:rFonts w:hint="default" w:ascii="Times New Roman" w:hAnsi="Times New Roman" w:eastAsia="宋体" w:cs="Times New Roman"/>
          <w:sz w:val="24"/>
        </w:rPr>
        <w:t>含油吸油毡</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针对跑、冒、滴、漏的油品，本项目主要采用吸油毡进行清理，产生的含油吸油毡产生量约0.01t/a，含油吸油毡为危险废物，暂存危废暂存间，定期交有资质单位处置。</w:t>
      </w:r>
    </w:p>
    <w:p>
      <w:pPr>
        <w:pStyle w:val="47"/>
        <w:spacing w:line="360" w:lineRule="auto"/>
        <w:ind w:firstLine="0" w:firstLineChars="0"/>
        <w:jc w:val="both"/>
        <w:outlineLvl w:val="1"/>
        <w:rPr>
          <w:rFonts w:hint="default" w:ascii="Times New Roman" w:hAnsi="Times New Roman" w:eastAsia="宋体" w:cs="Times New Roman"/>
          <w:b/>
          <w:sz w:val="28"/>
          <w:szCs w:val="32"/>
        </w:rPr>
      </w:pPr>
      <w:bookmarkStart w:id="36" w:name="_Toc31551"/>
      <w:r>
        <w:rPr>
          <w:rFonts w:hint="default" w:ascii="Times New Roman" w:hAnsi="Times New Roman" w:eastAsia="宋体" w:cs="Times New Roman"/>
          <w:b/>
          <w:sz w:val="28"/>
          <w:szCs w:val="32"/>
        </w:rPr>
        <w:t>4.2其他环保设施</w:t>
      </w:r>
      <w:bookmarkEnd w:id="36"/>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4.2.1风险因素分析</w:t>
      </w:r>
    </w:p>
    <w:p>
      <w:pPr>
        <w:pStyle w:val="3"/>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根据该项目特点，可能发生风险的因素主要为火灾风险，只要因某个因素，如电路问题、偶尔火星问题以及人为的故意行为或不经意行为都可导</w:t>
      </w:r>
      <w:r>
        <w:rPr>
          <w:rFonts w:hint="default" w:ascii="Times New Roman" w:hAnsi="Times New Roman" w:eastAsia="宋体" w:cs="Times New Roman"/>
          <w:sz w:val="24"/>
          <w:szCs w:val="28"/>
          <w:lang w:val="en-US" w:eastAsia="zh-CN"/>
        </w:rPr>
        <w:t>致设备短路</w:t>
      </w:r>
      <w:r>
        <w:rPr>
          <w:rFonts w:hint="default" w:ascii="Times New Roman" w:hAnsi="Times New Roman" w:eastAsia="宋体" w:cs="Times New Roman"/>
          <w:sz w:val="24"/>
          <w:szCs w:val="28"/>
        </w:rPr>
        <w:t>燃烧。</w:t>
      </w:r>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4.2.2风险防范措施</w:t>
      </w:r>
    </w:p>
    <w:p>
      <w:pPr>
        <w:pStyle w:val="3"/>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1、加强公司设备管理，加强员工消防技能的培训。</w:t>
      </w:r>
    </w:p>
    <w:p>
      <w:pPr>
        <w:pStyle w:val="3"/>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2、设立警示牌，严禁带火种进入车间。</w:t>
      </w:r>
    </w:p>
    <w:p>
      <w:pPr>
        <w:pStyle w:val="3"/>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3、厂区设灭火器，消防器材要在保质期内使用，过期应及时更换。</w:t>
      </w:r>
    </w:p>
    <w:p>
      <w:pPr>
        <w:pStyle w:val="3"/>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4、车间设安全通道，安全通道要时刻畅通，以保证发生意外时，人员疏通以及消防车辆进出畅通。</w:t>
      </w:r>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4.2.3事故应急措施</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1、最早发现者，立即向生产科、办公室报警，并采取一切有效措施，切断事故源。</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2、生产科、办公室接到报警后，应迅速通知生产车间，要求查明火灾发生的部位(装置)和原因，同时，发出报警电话，通知指挥部成员及消防队和各专业救援队伍，迅速赶往事故现场。</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3、指挥部成员，迅速向上级主管部门、办事处、安监局、劳动环保等机关报告事故情况。</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4、生产车间主任迅速查明事故发生位置和原因，凡能通过灭火器等处理的，应向指挥部报告，并提出灭火的具体措施，同时，生产现场应切断电源，消除一切火源。</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5、消防队到达事故现场后，首先查明现场有无受伤人员，以最快速度将受伤者脱离现场，严重者尽快送到医院抢救。</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6、指挥部成员到达事故现场后，根据事故状态及危害程度，</w:t>
      </w:r>
      <w:r>
        <w:rPr>
          <w:rFonts w:hint="default" w:ascii="Times New Roman" w:hAnsi="Times New Roman" w:eastAsia="宋体" w:cs="Times New Roman"/>
          <w:sz w:val="24"/>
          <w:szCs w:val="28"/>
          <w:lang w:eastAsia="zh-CN"/>
        </w:rPr>
        <w:t>作出</w:t>
      </w:r>
      <w:r>
        <w:rPr>
          <w:rFonts w:hint="default" w:ascii="Times New Roman" w:hAnsi="Times New Roman" w:eastAsia="宋体" w:cs="Times New Roman"/>
          <w:sz w:val="24"/>
          <w:szCs w:val="28"/>
        </w:rPr>
        <w:t>相应的应急决定，并命令各应急救援队，立即开展救援工作，如事故扩大时，应请求外界支援。</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7、生产科、办公室到达事故现场后，会同发生事故的车间主任、班长，在查明火灾部位和范围后，分析能否控制，必要时对现场人员进行撤离。</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8、保卫人员达到现场后，担负治安和交通指挥，在事故现场周围设岗，划分禁区，并巡逻检查，如有火种扩散危及公司内、外人员安全时，应迅速组织有关人员协助友邻单位、厂外过往行人，在办事处、市指挥部指挥协调下向安全地带疏散。</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9、医疗救护到达现场后与消防人员配合，应立即抢救伤员和中毒人员，并采取相应的急救措施，对伤员进行清洗、包扎，并把伤员送往医院抢救。</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10、抢险到达事故现场后，根据指挥部下达的抢修指令迅速进行设备抢修，控制事故扩大。</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通过采取上述措施，该项目能尽量避免油类燃烧对空气造成的环境影响，并能有效地降低环境风险发生的概率。</w:t>
      </w:r>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4.2.4环境风险应急预案</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对于重大的风险(主要是火灾爆炸造成人员伤亡等)，制定应急响应方案，建立应急反应体系，当事件一旦发生时可迅速加以控制，使危害和损失降低到尽可能低的程度。</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作为事故风险防范和应急对策的重要组成部分，应急组织机构应制定应急计划，其基本内容包括应急组织、应急设施、应急通讯、应急监测、应急安全保卫、应急撤离措施、应急救援、应激状态终止、事故后果评价、应急报告等。根据导则的要求，该项目制定的相关环境保护应急预案内容摘要见下表4-1。</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表4-1  环境风险的突发性事故应急预案</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91"/>
        <w:gridCol w:w="1217"/>
        <w:gridCol w:w="681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项目</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内容及要求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应急计划区</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主要危险源为生产车间、</w:t>
            </w:r>
            <w:r>
              <w:rPr>
                <w:rFonts w:hint="default" w:ascii="Times New Roman" w:hAnsi="Times New Roman" w:eastAsia="宋体" w:cs="Times New Roman"/>
                <w:sz w:val="21"/>
                <w:szCs w:val="21"/>
                <w:lang w:val="en-US" w:eastAsia="zh-CN"/>
              </w:rPr>
              <w:t>产品存放区、原料堆放区</w:t>
            </w:r>
            <w:r>
              <w:rPr>
                <w:rFonts w:hint="default" w:ascii="Times New Roman" w:hAnsi="Times New Roman" w:eastAsia="宋体" w:cs="Times New Roman"/>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应急组织结构</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厂区实施应急组织机构，主要负责人为应急计划、协调第一人，应急人员必须培训上岗熟练工。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预案分级响应条件</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根据事故的严重程度制定相应级别的应急预案，以及合适的处理措施。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报警、联络方式</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逐一细化应急状态下各主要负责单位的报警通讯方式、地点、电话号码以及相关配套的交通保障、管制、消防联络方法，涉及相关区域环境保护部门和上级环保部门保持联系，及时通报事故处理情况，以获得区域性支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应急环境监测</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组织专业队伍负责对事故现场进行侦察监测，对事故性质、参数与后果进行评估，专为指挥部门提供决策依据。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抢险、救援控制措施</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严格规定事故多发区、事故现场、邻近区域、控制防火区域设置控制和清除污染措施及相应设备的数量、使用方法、使用人员。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人员紧急撤离、疏散计划</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事故现场、工厂邻近区、受事故影响的区域人员及公众对有毒有害物质应急剂量控制规定，制定紧急撤离组织计划和救护，医疗救护与公众健康。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事故应急救援关闭程序</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制定相关应急状态终止程序，事故现场、受影响范围内的善后处理、恢复措施，邻近区域解除事故警戒及善后恢复措施。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事故恢复措施</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制定有关的环境恢复措施(包括地表水体)，组织专业人员对事故后的环境变化进行监测，对事故应急措施的环境可行性进行后影响评价。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应急培训计划</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定期安排有关人员进行培训与演练。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28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71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公众教育和信息</w:t>
            </w:r>
          </w:p>
        </w:tc>
        <w:tc>
          <w:tcPr>
            <w:tcW w:w="399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对工厂邻近地区展开公众教育、培训和发布有关消息。</w:t>
            </w:r>
          </w:p>
        </w:tc>
      </w:tr>
    </w:tbl>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根据《建设项目环境风险评价技术导则》(HJ169-2018)、《关于进一步加强环境影响评价管理防范环境风险的通知》(环发[2012]77号)，采取以上事故风险防范措施和应急预案情况下，项目对周围环境的风险影响在可接受的范围之内。</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本次评价建议项目建设单位成立安全环保管理小组，做好防火、防电等工作，并切实落实消防设施的配备工作。经上述措施处理后，该项目对周边环境影响可以接受。同时因项目周围无食品、医药等敏感企业，故该项目对周围环境的环境风险影响较小，在可接受范围之内。</w:t>
      </w:r>
    </w:p>
    <w:p>
      <w:pPr>
        <w:pStyle w:val="3"/>
        <w:spacing w:after="0" w:line="360" w:lineRule="auto"/>
        <w:ind w:left="0" w:firstLine="480" w:firstLineChars="200"/>
        <w:rPr>
          <w:rFonts w:hint="default" w:ascii="Times New Roman" w:hAnsi="Times New Roman" w:eastAsia="宋体" w:cs="Times New Roman"/>
          <w:sz w:val="24"/>
          <w:szCs w:val="28"/>
        </w:rPr>
      </w:pPr>
    </w:p>
    <w:p>
      <w:pPr>
        <w:pStyle w:val="3"/>
        <w:spacing w:after="0" w:line="360" w:lineRule="auto"/>
        <w:ind w:left="0" w:firstLine="480" w:firstLineChars="200"/>
        <w:rPr>
          <w:rFonts w:hint="default" w:ascii="Times New Roman" w:hAnsi="Times New Roman" w:eastAsia="宋体" w:cs="Times New Roman"/>
          <w:sz w:val="24"/>
          <w:szCs w:val="28"/>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37" w:name="_Toc1567"/>
      <w:r>
        <w:rPr>
          <w:rFonts w:hint="default" w:ascii="Times New Roman" w:hAnsi="Times New Roman" w:eastAsia="宋体" w:cs="Times New Roman"/>
          <w:b/>
          <w:sz w:val="28"/>
          <w:szCs w:val="32"/>
        </w:rPr>
        <w:t>4.3环保设施投资及“三同时”落实情况</w:t>
      </w:r>
      <w:bookmarkEnd w:id="37"/>
    </w:p>
    <w:p>
      <w:pPr>
        <w:pStyle w:val="3"/>
        <w:spacing w:after="0" w:line="360" w:lineRule="auto"/>
        <w:ind w:left="0" w:firstLine="480" w:firstLineChars="200"/>
        <w:rPr>
          <w:rFonts w:hint="default" w:ascii="Times New Roman" w:hAnsi="Times New Roman" w:eastAsia="宋体" w:cs="Times New Roman"/>
          <w:color w:val="000000"/>
          <w:sz w:val="24"/>
          <w:szCs w:val="28"/>
          <w:highlight w:val="none"/>
        </w:rPr>
      </w:pPr>
      <w:bookmarkStart w:id="38" w:name="_Toc497001471"/>
      <w:r>
        <w:rPr>
          <w:rFonts w:hint="default"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highlight w:val="none"/>
        </w:rPr>
        <w:t>项目投资</w:t>
      </w:r>
    </w:p>
    <w:p>
      <w:pPr>
        <w:autoSpaceDE w:val="0"/>
        <w:autoSpaceDN w:val="0"/>
        <w:spacing w:line="360" w:lineRule="auto"/>
        <w:ind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highlight w:val="none"/>
        </w:rPr>
        <w:t>该工程</w:t>
      </w:r>
      <w:r>
        <w:rPr>
          <w:rFonts w:hint="default" w:ascii="Times New Roman" w:hAnsi="Times New Roman" w:eastAsia="宋体" w:cs="Times New Roman"/>
          <w:kern w:val="0"/>
          <w:sz w:val="24"/>
          <w:szCs w:val="24"/>
          <w:highlight w:val="none"/>
          <w:lang w:val="en-US" w:eastAsia="zh-CN"/>
        </w:rPr>
        <w:t>设计</w:t>
      </w:r>
      <w:r>
        <w:rPr>
          <w:rFonts w:hint="default" w:ascii="Times New Roman" w:hAnsi="Times New Roman" w:eastAsia="宋体" w:cs="Times New Roman"/>
          <w:kern w:val="0"/>
          <w:sz w:val="24"/>
          <w:szCs w:val="24"/>
          <w:highlight w:val="none"/>
        </w:rPr>
        <w:t>总</w:t>
      </w:r>
      <w:r>
        <w:rPr>
          <w:rFonts w:hint="default" w:ascii="Times New Roman" w:hAnsi="Times New Roman" w:eastAsia="宋体" w:cs="Times New Roman"/>
          <w:color w:val="000000"/>
          <w:kern w:val="0"/>
          <w:sz w:val="24"/>
          <w:szCs w:val="24"/>
          <w:highlight w:val="none"/>
        </w:rPr>
        <w:t>投资</w:t>
      </w:r>
      <w:r>
        <w:rPr>
          <w:rFonts w:hint="default" w:ascii="Times New Roman" w:hAnsi="Times New Roman" w:eastAsia="宋体" w:cs="Times New Roman"/>
          <w:color w:val="000000"/>
          <w:kern w:val="0"/>
          <w:sz w:val="24"/>
          <w:szCs w:val="24"/>
          <w:highlight w:val="none"/>
          <w:lang w:val="en-US" w:eastAsia="zh-CN"/>
        </w:rPr>
        <w:t>1451</w:t>
      </w:r>
      <w:r>
        <w:rPr>
          <w:rFonts w:hint="default" w:ascii="Times New Roman" w:hAnsi="Times New Roman" w:eastAsia="宋体" w:cs="Times New Roman"/>
          <w:color w:val="000000"/>
          <w:kern w:val="0"/>
          <w:sz w:val="24"/>
          <w:szCs w:val="24"/>
          <w:highlight w:val="none"/>
          <w:lang w:eastAsia="zh-CN"/>
        </w:rPr>
        <w:t>万</w:t>
      </w:r>
      <w:r>
        <w:rPr>
          <w:rFonts w:hint="default" w:ascii="Times New Roman" w:hAnsi="Times New Roman" w:eastAsia="宋体" w:cs="Times New Roman"/>
          <w:color w:val="000000"/>
          <w:kern w:val="0"/>
          <w:sz w:val="24"/>
          <w:szCs w:val="24"/>
          <w:highlight w:val="none"/>
        </w:rPr>
        <w:t>元，其中环保投资</w:t>
      </w:r>
      <w:r>
        <w:rPr>
          <w:rFonts w:hint="default" w:ascii="Times New Roman" w:hAnsi="Times New Roman" w:eastAsia="宋体" w:cs="Times New Roman"/>
          <w:color w:val="000000"/>
          <w:kern w:val="0"/>
          <w:sz w:val="24"/>
          <w:szCs w:val="24"/>
          <w:highlight w:val="none"/>
          <w:lang w:val="en-US" w:eastAsia="zh-CN"/>
        </w:rPr>
        <w:t>15</w:t>
      </w:r>
      <w:r>
        <w:rPr>
          <w:rFonts w:hint="default" w:ascii="Times New Roman" w:hAnsi="Times New Roman" w:eastAsia="宋体" w:cs="Times New Roman"/>
          <w:color w:val="000000"/>
          <w:kern w:val="0"/>
          <w:sz w:val="24"/>
          <w:szCs w:val="24"/>
          <w:highlight w:val="none"/>
          <w:lang w:eastAsia="zh-CN"/>
        </w:rPr>
        <w:t>万</w:t>
      </w:r>
      <w:r>
        <w:rPr>
          <w:rFonts w:hint="default" w:ascii="Times New Roman" w:hAnsi="Times New Roman" w:eastAsia="宋体" w:cs="Times New Roman"/>
          <w:color w:val="000000"/>
          <w:kern w:val="0"/>
          <w:sz w:val="24"/>
          <w:szCs w:val="24"/>
          <w:highlight w:val="none"/>
        </w:rPr>
        <w:t>元，占</w:t>
      </w:r>
      <w:r>
        <w:rPr>
          <w:rFonts w:hint="default" w:ascii="Times New Roman" w:hAnsi="Times New Roman" w:eastAsia="宋体" w:cs="Times New Roman"/>
          <w:kern w:val="0"/>
          <w:sz w:val="24"/>
          <w:szCs w:val="24"/>
          <w:highlight w:val="none"/>
        </w:rPr>
        <w:t>总投资的</w:t>
      </w:r>
      <w:r>
        <w:rPr>
          <w:rFonts w:hint="default" w:ascii="Times New Roman" w:hAnsi="Times New Roman" w:eastAsia="宋体" w:cs="Times New Roman"/>
          <w:color w:val="000000"/>
          <w:sz w:val="24"/>
          <w:szCs w:val="24"/>
          <w:highlight w:val="none"/>
          <w:lang w:val="en-US" w:eastAsia="zh-CN"/>
        </w:rPr>
        <w:t>1.03</w:t>
      </w:r>
      <w:r>
        <w:rPr>
          <w:rFonts w:hint="default" w:ascii="Times New Roman" w:hAnsi="Times New Roman" w:eastAsia="宋体" w:cs="Times New Roman"/>
          <w:kern w:val="0"/>
          <w:sz w:val="24"/>
          <w:szCs w:val="24"/>
          <w:highlight w:val="none"/>
        </w:rPr>
        <w:t>%。</w:t>
      </w:r>
      <w:r>
        <w:rPr>
          <w:rFonts w:hint="default" w:ascii="Times New Roman" w:hAnsi="Times New Roman" w:eastAsia="宋体" w:cs="Times New Roman"/>
          <w:kern w:val="0"/>
          <w:sz w:val="24"/>
          <w:szCs w:val="24"/>
          <w:highlight w:val="none"/>
          <w:lang w:val="en-US" w:eastAsia="zh-CN"/>
        </w:rPr>
        <w:t>实际投资</w:t>
      </w:r>
      <w:r>
        <w:rPr>
          <w:rFonts w:hint="default" w:ascii="Times New Roman" w:hAnsi="Times New Roman" w:eastAsia="宋体" w:cs="Times New Roman"/>
          <w:color w:val="000000"/>
          <w:kern w:val="0"/>
          <w:sz w:val="24"/>
          <w:szCs w:val="24"/>
          <w:highlight w:val="none"/>
          <w:lang w:val="en-US" w:eastAsia="zh-CN"/>
        </w:rPr>
        <w:t>1451</w:t>
      </w:r>
      <w:r>
        <w:rPr>
          <w:rFonts w:hint="default" w:ascii="Times New Roman" w:hAnsi="Times New Roman" w:eastAsia="宋体" w:cs="Times New Roman"/>
          <w:color w:val="000000"/>
          <w:kern w:val="0"/>
          <w:sz w:val="24"/>
          <w:szCs w:val="24"/>
          <w:highlight w:val="none"/>
          <w:lang w:eastAsia="zh-CN"/>
        </w:rPr>
        <w:t>万</w:t>
      </w:r>
      <w:r>
        <w:rPr>
          <w:rFonts w:hint="default" w:ascii="Times New Roman" w:hAnsi="Times New Roman" w:eastAsia="宋体" w:cs="Times New Roman"/>
          <w:color w:val="000000"/>
          <w:kern w:val="0"/>
          <w:sz w:val="24"/>
          <w:szCs w:val="24"/>
          <w:highlight w:val="none"/>
        </w:rPr>
        <w:t>元，其中环保投资</w:t>
      </w:r>
      <w:r>
        <w:rPr>
          <w:rFonts w:hint="default" w:ascii="Times New Roman" w:hAnsi="Times New Roman" w:eastAsia="宋体" w:cs="Times New Roman"/>
          <w:color w:val="000000"/>
          <w:kern w:val="0"/>
          <w:sz w:val="24"/>
          <w:szCs w:val="24"/>
          <w:highlight w:val="none"/>
          <w:lang w:val="en-US" w:eastAsia="zh-CN"/>
        </w:rPr>
        <w:t>15</w:t>
      </w:r>
      <w:r>
        <w:rPr>
          <w:rFonts w:hint="default" w:ascii="Times New Roman" w:hAnsi="Times New Roman" w:eastAsia="宋体" w:cs="Times New Roman"/>
          <w:color w:val="000000"/>
          <w:kern w:val="0"/>
          <w:sz w:val="24"/>
          <w:szCs w:val="24"/>
          <w:highlight w:val="none"/>
          <w:lang w:eastAsia="zh-CN"/>
        </w:rPr>
        <w:t>万</w:t>
      </w:r>
      <w:r>
        <w:rPr>
          <w:rFonts w:hint="default" w:ascii="Times New Roman" w:hAnsi="Times New Roman" w:eastAsia="宋体" w:cs="Times New Roman"/>
          <w:color w:val="000000"/>
          <w:kern w:val="0"/>
          <w:sz w:val="24"/>
          <w:szCs w:val="24"/>
          <w:highlight w:val="none"/>
        </w:rPr>
        <w:t>元，占</w:t>
      </w:r>
      <w:r>
        <w:rPr>
          <w:rFonts w:hint="default" w:ascii="Times New Roman" w:hAnsi="Times New Roman" w:eastAsia="宋体" w:cs="Times New Roman"/>
          <w:kern w:val="0"/>
          <w:sz w:val="24"/>
          <w:szCs w:val="24"/>
          <w:highlight w:val="none"/>
        </w:rPr>
        <w:t>总投资的</w:t>
      </w:r>
      <w:r>
        <w:rPr>
          <w:rFonts w:hint="default" w:ascii="Times New Roman" w:hAnsi="Times New Roman" w:eastAsia="宋体" w:cs="Times New Roman"/>
          <w:color w:val="000000"/>
          <w:sz w:val="24"/>
          <w:szCs w:val="24"/>
          <w:highlight w:val="none"/>
          <w:lang w:val="en-US" w:eastAsia="zh-CN"/>
        </w:rPr>
        <w:t>1.03</w:t>
      </w:r>
      <w:r>
        <w:rPr>
          <w:rFonts w:hint="default" w:ascii="Times New Roman" w:hAnsi="Times New Roman" w:eastAsia="宋体" w:cs="Times New Roman"/>
          <w:kern w:val="0"/>
          <w:sz w:val="24"/>
          <w:szCs w:val="24"/>
          <w:highlight w:val="none"/>
        </w:rPr>
        <w:t>%</w:t>
      </w:r>
      <w:r>
        <w:rPr>
          <w:rFonts w:hint="default" w:ascii="Times New Roman" w:hAnsi="Times New Roman" w:eastAsia="宋体" w:cs="Times New Roman"/>
          <w:kern w:val="0"/>
          <w:sz w:val="24"/>
          <w:szCs w:val="24"/>
          <w:highlight w:val="none"/>
          <w:lang w:eastAsia="zh-CN"/>
        </w:rPr>
        <w:t>，</w:t>
      </w:r>
      <w:r>
        <w:rPr>
          <w:rFonts w:hint="default" w:ascii="Times New Roman" w:hAnsi="Times New Roman" w:eastAsia="宋体" w:cs="Times New Roman"/>
          <w:kern w:val="0"/>
          <w:sz w:val="24"/>
          <w:szCs w:val="24"/>
          <w:highlight w:val="none"/>
        </w:rPr>
        <w:t>该工程环保设施(措施)及投资估算情况见表</w:t>
      </w:r>
      <w:r>
        <w:rPr>
          <w:rFonts w:hint="default" w:ascii="Times New Roman" w:hAnsi="Times New Roman" w:eastAsia="宋体" w:cs="Times New Roman"/>
          <w:kern w:val="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表4-2  环保投资估算表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900"/>
        <w:gridCol w:w="926"/>
        <w:gridCol w:w="911"/>
        <w:gridCol w:w="3933"/>
        <w:gridCol w:w="1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治理项目</w:t>
            </w:r>
          </w:p>
        </w:tc>
        <w:tc>
          <w:tcPr>
            <w:tcW w:w="0" w:type="auto"/>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治理方案</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废水治理</w:t>
            </w: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生活污水</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000000"/>
                <w:sz w:val="21"/>
                <w:szCs w:val="21"/>
              </w:rPr>
              <w:t>生活污水经化粪池预处理后</w:t>
            </w:r>
            <w:r>
              <w:rPr>
                <w:rFonts w:hint="default" w:ascii="Times New Roman" w:hAnsi="Times New Roman" w:eastAsia="宋体" w:cs="Times New Roman"/>
                <w:color w:val="000000"/>
                <w:sz w:val="21"/>
                <w:szCs w:val="21"/>
                <w:lang w:val="en-US" w:eastAsia="zh-CN"/>
              </w:rPr>
              <w:t>由环卫部门定期清运。</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bCs/>
                <w:color w:val="auto"/>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地面冲洗废水</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地面冲洗废水经隔油池预处理后，循环使用不外排。</w:t>
            </w: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eastAsia="zh-CN"/>
              </w:rPr>
              <w:t>废气治理</w:t>
            </w: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kern w:val="2"/>
                <w:sz w:val="21"/>
                <w:szCs w:val="21"/>
                <w:vertAlign w:val="baseline"/>
                <w:lang w:val="en-US" w:eastAsia="zh-CN" w:bidi="ar-SA"/>
              </w:rPr>
              <w:t>有机废气</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三级油气回收处理系统</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3</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固废治理</w:t>
            </w: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清罐废渣</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pacing w:val="9"/>
                <w:sz w:val="21"/>
                <w:szCs w:val="21"/>
              </w:rPr>
              <w:t>委托有资质单位处理</w:t>
            </w:r>
          </w:p>
        </w:tc>
        <w:tc>
          <w:tcPr>
            <w:tcW w:w="0" w:type="auto"/>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pacing w:val="7"/>
                <w:sz w:val="21"/>
                <w:szCs w:val="21"/>
                <w:lang w:val="en-US" w:eastAsia="zh-CN"/>
              </w:rPr>
              <w:t>含有吸油毡</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pacing w:val="9"/>
                <w:sz w:val="21"/>
                <w:szCs w:val="21"/>
              </w:rPr>
              <w:t>委托有资质单位处理</w:t>
            </w: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隔油池废油和污泥</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pacing w:val="9"/>
                <w:sz w:val="21"/>
                <w:szCs w:val="21"/>
              </w:rPr>
              <w:t>委托有资质单位处理</w:t>
            </w: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pacing w:val="7"/>
                <w:sz w:val="21"/>
                <w:szCs w:val="21"/>
                <w:lang w:val="en-US" w:eastAsia="zh-CN"/>
              </w:rPr>
              <w:t>含油废手套、废抹布</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环卫部门定期清运处理</w:t>
            </w: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环卫部门定期清运处理</w:t>
            </w:r>
          </w:p>
        </w:tc>
        <w:tc>
          <w:tcPr>
            <w:tcW w:w="0" w:type="auto"/>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4</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噪声治理</w:t>
            </w:r>
          </w:p>
        </w:tc>
        <w:tc>
          <w:tcPr>
            <w:tcW w:w="0" w:type="auto"/>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选用低噪声设备、</w:t>
            </w:r>
            <w:r>
              <w:rPr>
                <w:rFonts w:hint="default" w:ascii="Times New Roman" w:hAnsi="Times New Roman" w:eastAsia="宋体" w:cs="Times New Roman"/>
                <w:bCs/>
                <w:color w:val="auto"/>
                <w:sz w:val="21"/>
                <w:szCs w:val="21"/>
              </w:rPr>
              <w:t>设备减震、车间隔声</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5</w:t>
            </w: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应急物资</w:t>
            </w:r>
          </w:p>
        </w:tc>
        <w:tc>
          <w:tcPr>
            <w:tcW w:w="0" w:type="auto"/>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灭火器、消防沙等</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6</w:t>
            </w:r>
          </w:p>
        </w:tc>
        <w:tc>
          <w:tcPr>
            <w:tcW w:w="0" w:type="auto"/>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合计</w:t>
            </w:r>
          </w:p>
        </w:tc>
        <w:tc>
          <w:tcPr>
            <w:tcW w:w="0" w:type="auto"/>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15</w:t>
            </w:r>
          </w:p>
        </w:tc>
      </w:tr>
    </w:tbl>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rPr>
        <w:t>三同时落实情况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三同时落实情况</w:t>
      </w:r>
      <w:bookmarkEnd w:id="38"/>
      <w:r>
        <w:rPr>
          <w:rFonts w:hint="default" w:ascii="Times New Roman" w:hAnsi="Times New Roman" w:eastAsia="宋体" w:cs="Times New Roman"/>
          <w:color w:val="000000"/>
          <w:sz w:val="24"/>
          <w:szCs w:val="28"/>
        </w:rPr>
        <w:t>一览表见表。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表4-</w:t>
      </w:r>
      <w:r>
        <w:rPr>
          <w:rFonts w:hint="default" w:ascii="Times New Roman" w:hAnsi="Times New Roman" w:eastAsia="宋体" w:cs="Times New Roman"/>
          <w:b/>
          <w:sz w:val="24"/>
          <w:szCs w:val="24"/>
          <w:lang w:val="en-US" w:eastAsia="zh-CN"/>
        </w:rPr>
        <w:t>3</w:t>
      </w:r>
      <w:r>
        <w:rPr>
          <w:rFonts w:hint="default" w:ascii="Times New Roman" w:hAnsi="Times New Roman" w:eastAsia="宋体" w:cs="Times New Roman"/>
          <w:b/>
          <w:sz w:val="24"/>
          <w:szCs w:val="24"/>
        </w:rPr>
        <w:t xml:space="preserve">  三同时落实情况一览表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88"/>
        <w:gridCol w:w="4599"/>
        <w:gridCol w:w="3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审批意见内容</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建设单位：中国石化销售股份有限公司</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山东菏泽</w:t>
            </w:r>
            <w:r>
              <w:rPr>
                <w:rFonts w:hint="default" w:ascii="Times New Roman" w:hAnsi="Times New Roman" w:eastAsia="宋体" w:cs="Times New Roman"/>
                <w:sz w:val="21"/>
                <w:szCs w:val="21"/>
                <w:lang w:eastAsia="zh-CN"/>
              </w:rPr>
              <w:t>石油分公司。</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建设单位名称不变。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建设地点：</w:t>
            </w:r>
            <w:r>
              <w:rPr>
                <w:rFonts w:hint="default" w:ascii="Times New Roman" w:hAnsi="Times New Roman" w:eastAsia="宋体" w:cs="Times New Roman"/>
                <w:sz w:val="21"/>
                <w:szCs w:val="21"/>
                <w:lang w:eastAsia="zh-CN"/>
              </w:rPr>
              <w:t>山东省</w:t>
            </w:r>
            <w:r>
              <w:rPr>
                <w:rFonts w:hint="default" w:ascii="Times New Roman" w:hAnsi="Times New Roman" w:eastAsia="宋体" w:cs="Times New Roman"/>
                <w:sz w:val="21"/>
                <w:szCs w:val="21"/>
              </w:rPr>
              <w:t>菏泽市成武县</w:t>
            </w:r>
            <w:r>
              <w:rPr>
                <w:rFonts w:hint="default" w:ascii="Times New Roman" w:hAnsi="Times New Roman" w:eastAsia="宋体" w:cs="Times New Roman"/>
                <w:sz w:val="21"/>
                <w:szCs w:val="21"/>
                <w:lang w:eastAsia="zh-CN"/>
              </w:rPr>
              <w:t>伯乐集镇康楼村。</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建设地点不变。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做好施工期间的环境保护工作，合理安排施工期和作息时间，做到文明施工。严格控制施工期间的扬尘污染和水土流失</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严格执行《建筑施工厂界环境噪声排放标准》(GB12523-2011)标准要求</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对施工期产生的各类固废要分类及时、妥善处理</w:t>
            </w:r>
            <w:r>
              <w:rPr>
                <w:rFonts w:hint="default" w:ascii="Times New Roman" w:hAnsi="Times New Roman" w:eastAsia="宋体" w:cs="Times New Roman"/>
                <w:sz w:val="21"/>
                <w:szCs w:val="21"/>
                <w:lang w:val="en-US" w:eastAsia="zh-CN"/>
              </w:rPr>
              <w:t>。</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已</w:t>
            </w:r>
            <w:r>
              <w:rPr>
                <w:rFonts w:hint="default" w:ascii="Times New Roman" w:hAnsi="Times New Roman" w:eastAsia="宋体" w:cs="Times New Roman"/>
                <w:sz w:val="21"/>
                <w:szCs w:val="21"/>
              </w:rPr>
              <w:t>落实施工期间的环境保护工作。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按照雨污分流原则设计和建设厂区排水系统。生活污水经化粪池预处理后由环卫部门定期清运，不外排；</w:t>
            </w:r>
            <w:r>
              <w:rPr>
                <w:rFonts w:hint="default" w:ascii="Times New Roman" w:hAnsi="Times New Roman" w:eastAsia="宋体" w:cs="Times New Roman"/>
                <w:sz w:val="21"/>
                <w:szCs w:val="21"/>
                <w:highlight w:val="none"/>
                <w:lang w:val="en-US" w:eastAsia="zh-CN"/>
              </w:rPr>
              <w:t>地面冲洗废水经隔油池预处理后，循环使用不外排。</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已落实水污染防治措施。已按照“雨污分流”原则合理设计和建设厂区排水系统。生活污水经化粪池预处理后由环卫部门定期清运，不外排</w:t>
            </w:r>
            <w:r>
              <w:rPr>
                <w:rFonts w:hint="default" w:ascii="Times New Roman" w:hAnsi="Times New Roman" w:eastAsia="宋体" w:cs="Times New Roman"/>
                <w:sz w:val="21"/>
                <w:szCs w:val="21"/>
                <w:highlight w:val="none"/>
                <w:lang w:val="en-US" w:eastAsia="zh-CN"/>
              </w:rPr>
              <w:t>；地面冲洗废水经隔油池预处理后，循环使用不外排。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74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该项目需采取密闭卸油方式，卸油油气由罐车自带</w:t>
            </w:r>
            <w:r>
              <w:rPr>
                <w:rFonts w:hint="default" w:ascii="Times New Roman" w:hAnsi="Times New Roman" w:eastAsia="宋体" w:cs="Times New Roman"/>
                <w:sz w:val="21"/>
                <w:szCs w:val="21"/>
                <w:lang w:eastAsia="zh-CN"/>
              </w:rPr>
              <w:t>油气回收处理系统</w:t>
            </w:r>
            <w:r>
              <w:rPr>
                <w:rFonts w:hint="default" w:ascii="Times New Roman" w:hAnsi="Times New Roman" w:eastAsia="宋体" w:cs="Times New Roman"/>
                <w:sz w:val="21"/>
                <w:szCs w:val="21"/>
              </w:rPr>
              <w:t>（一次</w:t>
            </w:r>
            <w:r>
              <w:rPr>
                <w:rFonts w:hint="default" w:ascii="Times New Roman" w:hAnsi="Times New Roman" w:eastAsia="宋体" w:cs="Times New Roman"/>
                <w:sz w:val="21"/>
                <w:szCs w:val="21"/>
                <w:lang w:eastAsia="zh-CN"/>
              </w:rPr>
              <w:t>油气回收处理系统</w:t>
            </w:r>
            <w:r>
              <w:rPr>
                <w:rFonts w:hint="default" w:ascii="Times New Roman" w:hAnsi="Times New Roman" w:eastAsia="宋体" w:cs="Times New Roman"/>
                <w:sz w:val="21"/>
                <w:szCs w:val="21"/>
              </w:rPr>
              <w:t>）回收至油罐车中；该项目加油过程中需设置</w:t>
            </w:r>
            <w:r>
              <w:rPr>
                <w:rFonts w:hint="default" w:ascii="Times New Roman" w:hAnsi="Times New Roman" w:eastAsia="宋体" w:cs="Times New Roman"/>
                <w:sz w:val="21"/>
                <w:szCs w:val="21"/>
                <w:lang w:eastAsia="zh-CN"/>
              </w:rPr>
              <w:t>油气回收处理系统</w:t>
            </w:r>
            <w:r>
              <w:rPr>
                <w:rFonts w:hint="default" w:ascii="Times New Roman" w:hAnsi="Times New Roman" w:eastAsia="宋体" w:cs="Times New Roman"/>
                <w:sz w:val="21"/>
                <w:szCs w:val="21"/>
              </w:rPr>
              <w:t>（二次</w:t>
            </w:r>
            <w:r>
              <w:rPr>
                <w:rFonts w:hint="default" w:ascii="Times New Roman" w:hAnsi="Times New Roman" w:eastAsia="宋体" w:cs="Times New Roman"/>
                <w:sz w:val="21"/>
                <w:szCs w:val="21"/>
                <w:lang w:eastAsia="zh-CN"/>
              </w:rPr>
              <w:t>油气回收处理系统</w:t>
            </w:r>
            <w:r>
              <w:rPr>
                <w:rFonts w:hint="default" w:ascii="Times New Roman" w:hAnsi="Times New Roman" w:eastAsia="宋体" w:cs="Times New Roman"/>
                <w:sz w:val="21"/>
                <w:szCs w:val="21"/>
              </w:rPr>
              <w:t>）,采用真空辅助式油气回收设备，加油作业过程中产生的油气通过地下油气回收管线收集到地下储罐内；该项目油罐呼吸油气需由油气处理装置（三次</w:t>
            </w:r>
            <w:r>
              <w:rPr>
                <w:rFonts w:hint="default" w:ascii="Times New Roman" w:hAnsi="Times New Roman" w:eastAsia="宋体" w:cs="Times New Roman"/>
                <w:sz w:val="21"/>
                <w:szCs w:val="21"/>
                <w:lang w:eastAsia="zh-CN"/>
              </w:rPr>
              <w:t>油气回收处理系统</w:t>
            </w:r>
            <w:r>
              <w:rPr>
                <w:rFonts w:hint="default" w:ascii="Times New Roman" w:hAnsi="Times New Roman" w:eastAsia="宋体" w:cs="Times New Roman"/>
                <w:sz w:val="21"/>
                <w:szCs w:val="21"/>
              </w:rPr>
              <w:t>），采用冷凝＋吸附工艺处理后排放。加油站油气处理装置排气口距地平面高度应不低于4m，排气口排放浓度限值需执行《加油站大气污染物排放标准》(GB20952-2020）中相关要求，无组织废气需满足《加油站大气污染物排放标准》(GB20952-2020）表3中油气浓度无组织排放限值要求及《挥发性有机物排放标准第7部分：其他行业》(DB37/ 2801.7-2019）表2中标准限值要求</w:t>
            </w:r>
            <w:r>
              <w:rPr>
                <w:rFonts w:hint="default" w:ascii="Times New Roman" w:hAnsi="Times New Roman" w:eastAsia="宋体" w:cs="Times New Roman"/>
                <w:sz w:val="21"/>
                <w:szCs w:val="21"/>
                <w:lang w:eastAsia="zh-CN"/>
              </w:rPr>
              <w:t>。</w:t>
            </w:r>
          </w:p>
        </w:tc>
        <w:tc>
          <w:tcPr>
            <w:tcW w:w="207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已落实，经检测，</w:t>
            </w:r>
            <w:r>
              <w:rPr>
                <w:rFonts w:hint="default" w:ascii="Times New Roman" w:hAnsi="Times New Roman" w:eastAsia="宋体" w:cs="Times New Roman"/>
                <w:sz w:val="21"/>
                <w:szCs w:val="21"/>
                <w:lang w:val="en-US" w:eastAsia="zh-CN"/>
              </w:rPr>
              <w:t>废气满足标准要求。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固废暂存场所做好"防渗、防雨、防流失"措施，避免二次污染。一般固废处置需满足《一般工业固体废物贮存和填埋污染控制标准》(GB18599-2020）要求，危险废物暂存需执行《危险废物贮存污染控制标准（GB18597 -2001）及修改单要求。</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已落实，危废收集、储存、处置满足《危险废物贮存污染控制标准》（GB18597-2023）相关规定，一般固废收集、储存、处置满足《一般工业固体废物贮存和填埋污染控制标准》(GB18599-2020)标准要求。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需对出入站区内来往的机动车严格管理，采取车辆进站时减速、禁止鸣笛、加油时车辆熄火和平稳启动等措施，使站区内的交通噪声降到最低；项目采用低噪声潜油泵，布设于地下，经减震基座、地面隔声等措施处理，确保项目厂界噪声达到《社会生活环境噪声排放标准》(GB22337-2008）中</w:t>
            </w:r>
            <w:r>
              <w:rPr>
                <w:rFonts w:hint="default" w:ascii="Times New Roman" w:hAnsi="Times New Roman" w:eastAsia="宋体" w:cs="Times New Roman"/>
                <w:sz w:val="21"/>
                <w:szCs w:val="21"/>
                <w:highlight w:val="none"/>
                <w:lang w:val="en-US" w:eastAsia="zh-CN"/>
              </w:rPr>
              <w:t>2类及4类标准要求</w:t>
            </w:r>
            <w:r>
              <w:rPr>
                <w:rFonts w:hint="default" w:ascii="Times New Roman" w:hAnsi="Times New Roman" w:eastAsia="宋体" w:cs="Times New Roman"/>
                <w:sz w:val="21"/>
                <w:szCs w:val="21"/>
                <w:lang w:val="en-US" w:eastAsia="zh-CN"/>
              </w:rPr>
              <w:t>。</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已落实，经检测，厂界噪声达到《社会生活环境噪声排放标准》(GB22337-2008)2类区标准。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72"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2749"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VOCs总量指标需控制在0.299t/a 内。</w:t>
            </w:r>
          </w:p>
        </w:tc>
        <w:tc>
          <w:tcPr>
            <w:tcW w:w="20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已落实</w:t>
            </w:r>
          </w:p>
        </w:tc>
      </w:tr>
    </w:tbl>
    <w:p>
      <w:pPr>
        <w:pStyle w:val="3"/>
        <w:spacing w:after="0" w:line="360" w:lineRule="auto"/>
        <w:ind w:left="0"/>
        <w:jc w:val="both"/>
        <w:rPr>
          <w:rFonts w:hint="default" w:ascii="Times New Roman" w:hAnsi="Times New Roman" w:eastAsia="宋体" w:cs="Times New Roman"/>
          <w:b/>
          <w:sz w:val="32"/>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47"/>
        <w:spacing w:line="360" w:lineRule="auto"/>
        <w:ind w:left="0" w:leftChars="0" w:firstLine="0" w:firstLineChars="0"/>
        <w:jc w:val="both"/>
        <w:outlineLvl w:val="0"/>
        <w:rPr>
          <w:rFonts w:hint="default" w:ascii="Times New Roman" w:hAnsi="Times New Roman" w:eastAsia="宋体" w:cs="Times New Roman"/>
          <w:b/>
          <w:sz w:val="32"/>
          <w:szCs w:val="32"/>
        </w:rPr>
      </w:pPr>
      <w:bookmarkStart w:id="39" w:name="_Toc17320"/>
      <w:r>
        <w:rPr>
          <w:rFonts w:hint="default" w:ascii="Times New Roman" w:hAnsi="Times New Roman" w:eastAsia="宋体" w:cs="Times New Roman"/>
          <w:b/>
          <w:sz w:val="32"/>
          <w:szCs w:val="32"/>
        </w:rPr>
        <w:t>5、建设项目环评报告表的主要结论与建议及审批部门审批决定</w:t>
      </w:r>
      <w:bookmarkEnd w:id="39"/>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0" w:name="_Toc8315"/>
      <w:r>
        <w:rPr>
          <w:rFonts w:hint="default" w:ascii="Times New Roman" w:hAnsi="Times New Roman" w:eastAsia="宋体" w:cs="Times New Roman"/>
          <w:b/>
          <w:sz w:val="28"/>
          <w:szCs w:val="32"/>
        </w:rPr>
        <w:t>5.1建设项目环评报告书表的主要结论与建议</w:t>
      </w:r>
      <w:bookmarkEnd w:id="40"/>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lang w:val="en-US" w:eastAsia="zh-CN"/>
        </w:rPr>
        <w:t>1</w:t>
      </w:r>
      <w:r>
        <w:rPr>
          <w:rFonts w:hint="default" w:ascii="Times New Roman" w:hAnsi="Times New Roman" w:eastAsia="宋体" w:cs="Times New Roman"/>
          <w:color w:val="000000"/>
          <w:sz w:val="24"/>
        </w:rPr>
        <w:t>、综合结论</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该项目性质与周边环境功能区划相符，符合规划布局要求，选址合理可行。项目所在区域水环境质量现状一般，因此建设项目应认真执行环保“三同时”管理规定，把项目对环境的影响控制在最低限度。在切实落实本次评价提出的各项有关环保措施，并确保各种治理设施正常运转的前提下，项目对周围环境质量的影响不大，对周边环境敏感点不会带来影响，故项目的选址及建设从环境保护角度分析是可行的。在上述前提条件下，该项目的建设不致会对拟选址所在区域的环境造成大的影响。从环境保护角度分析，该项目的建设是可行的。</w:t>
      </w:r>
    </w:p>
    <w:p>
      <w:pPr>
        <w:adjustRightInd w:val="0"/>
        <w:spacing w:line="360" w:lineRule="auto"/>
        <w:ind w:firstLine="480" w:firstLineChars="200"/>
        <w:rPr>
          <w:rFonts w:hint="default" w:ascii="Times New Roman" w:hAnsi="Times New Roman" w:eastAsia="宋体" w:cs="Times New Roman"/>
          <w:color w:val="000000"/>
          <w:sz w:val="24"/>
          <w:lang w:eastAsia="zh-CN"/>
        </w:rPr>
      </w:pPr>
      <w:r>
        <w:rPr>
          <w:rFonts w:hint="default" w:ascii="Times New Roman" w:hAnsi="Times New Roman" w:eastAsia="宋体" w:cs="Times New Roman"/>
          <w:color w:val="000000"/>
          <w:sz w:val="24"/>
        </w:rPr>
        <w:t>措施与建议</w:t>
      </w:r>
      <w:r>
        <w:rPr>
          <w:rFonts w:hint="default" w:ascii="Times New Roman" w:hAnsi="Times New Roman" w:eastAsia="宋体" w:cs="Times New Roman"/>
          <w:color w:val="000000"/>
          <w:sz w:val="24"/>
          <w:lang w:eastAsia="zh-CN"/>
        </w:rPr>
        <w:t>：</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该项目的运营对环境造成影响的大小，很大程度上取决于建设单位的环境管理，尤其是环保设施运行的管理、维护保养制度的执行情况。为此，根据调查与评价结果，对该项目的环境治理与管理建议如下：</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(1)制定相关制度并设立部门负责环保措施的正常运行，保证项目产生的污染物均处理达标排放。</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(2)项目运营过程中如材料和经营方案、人流量等发生变化，应及时向环保主管部门申报。</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(3)加强废气、废水处理设备的日常维护，确保其能有效运行，保证废气、废水绝大部分可收集。建议在项目周围厂界种植植物，进一步降低</w:t>
      </w:r>
      <w:r>
        <w:rPr>
          <w:rFonts w:hint="default" w:ascii="Times New Roman" w:hAnsi="Times New Roman" w:eastAsia="宋体" w:cs="Times New Roman"/>
          <w:color w:val="000000"/>
          <w:sz w:val="24"/>
          <w:lang w:val="en-US" w:eastAsia="zh-CN"/>
        </w:rPr>
        <w:t>废气</w:t>
      </w:r>
      <w:r>
        <w:rPr>
          <w:rFonts w:hint="default" w:ascii="Times New Roman" w:hAnsi="Times New Roman" w:eastAsia="宋体" w:cs="Times New Roman"/>
          <w:color w:val="000000"/>
          <w:sz w:val="24"/>
        </w:rPr>
        <w:t>对周围环境的影响。</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(4)项目建设单位对产生较大噪声的电器设备采取隔音和减振等措施，或选用低</w:t>
      </w:r>
      <w:r>
        <w:rPr>
          <w:rFonts w:hint="default" w:ascii="Times New Roman" w:hAnsi="Times New Roman" w:eastAsia="宋体" w:cs="Times New Roman"/>
          <w:color w:val="000000"/>
          <w:sz w:val="24"/>
          <w:lang w:eastAsia="zh-CN"/>
        </w:rPr>
        <w:t>噪声</w:t>
      </w:r>
      <w:r>
        <w:rPr>
          <w:rFonts w:hint="default" w:ascii="Times New Roman" w:hAnsi="Times New Roman" w:eastAsia="宋体" w:cs="Times New Roman"/>
          <w:color w:val="000000"/>
          <w:sz w:val="24"/>
        </w:rPr>
        <w:t>设备，并进行合理放置，将那些较高噪声设备放置在远离</w:t>
      </w:r>
      <w:r>
        <w:rPr>
          <w:rFonts w:hint="default" w:ascii="Times New Roman" w:hAnsi="Times New Roman" w:eastAsia="宋体" w:cs="Times New Roman"/>
          <w:color w:val="000000"/>
          <w:sz w:val="24"/>
          <w:lang w:eastAsia="zh-CN"/>
        </w:rPr>
        <w:t>主产</w:t>
      </w:r>
      <w:r>
        <w:rPr>
          <w:rFonts w:hint="default" w:ascii="Times New Roman" w:hAnsi="Times New Roman" w:eastAsia="宋体" w:cs="Times New Roman"/>
          <w:color w:val="000000"/>
          <w:sz w:val="24"/>
        </w:rPr>
        <w:t>区一侧，降低生产过程中产生的噪声污染。</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(5)制定并实施事故预防计划，明确管理组织、责任与责任范围、预防措施、宣传教育等内容。制定场内应急计划，明确管理组织、责任人与责任范围、事故报告制度、应急程序、应急措施等。配备足够的应急器材。对电器设备、应急照明等应定期检查与抽查，落实责任制。消防警报系统必须处于完好状态，以备应急使用。</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(6)加强管理，</w:t>
      </w:r>
      <w:r>
        <w:rPr>
          <w:rFonts w:hint="default" w:ascii="Times New Roman" w:hAnsi="Times New Roman" w:eastAsia="宋体" w:cs="Times New Roman"/>
          <w:color w:val="000000"/>
          <w:sz w:val="24"/>
          <w:lang w:eastAsia="zh-CN"/>
        </w:rPr>
        <w:t>增强</w:t>
      </w:r>
      <w:r>
        <w:rPr>
          <w:rFonts w:hint="default" w:ascii="Times New Roman" w:hAnsi="Times New Roman" w:eastAsia="宋体" w:cs="Times New Roman"/>
          <w:color w:val="000000"/>
          <w:sz w:val="24"/>
        </w:rPr>
        <w:t>环保意识，节约能源、节约用水、减少“三废”排放，做好落实好废气、噪声治理措施，做到达标排放，避免对周围环境的影响。</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项目的环保措施要与项目主体工程同时设计、同时施工、同时投产，确保各项防治措施落实到位，实现经济效益、社会效益与环境效益的统一与协调发展。</w:t>
      </w:r>
    </w:p>
    <w:p>
      <w:pPr>
        <w:spacing w:line="360" w:lineRule="auto"/>
        <w:ind w:firstLine="480" w:firstLineChars="200"/>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rPr>
        <w:t>综上所述，该项目符合国家相关产业政策。项目可以满足规划要求，选址合理，污染治理措施可行，在认真落实各项环境污染治理和环境管理措施的前提下，能实现达标排放且环境影响较小。因此，从环境保护的角度分析该项目建设可行。</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1" w:name="_Toc31207"/>
      <w:r>
        <w:rPr>
          <w:rFonts w:hint="default" w:ascii="Times New Roman" w:hAnsi="Times New Roman" w:eastAsia="宋体" w:cs="Times New Roman"/>
          <w:b/>
          <w:sz w:val="28"/>
          <w:szCs w:val="32"/>
        </w:rPr>
        <w:t>5.2审批部门审批决定</w:t>
      </w:r>
      <w:bookmarkEnd w:id="41"/>
    </w:p>
    <w:p>
      <w:pPr>
        <w:pStyle w:val="3"/>
        <w:spacing w:after="0" w:line="360" w:lineRule="auto"/>
        <w:ind w:left="0" w:firstLine="480" w:firstLineChars="200"/>
        <w:rPr>
          <w:rFonts w:hint="default" w:ascii="Times New Roman" w:hAnsi="Times New Roman" w:eastAsia="宋体" w:cs="Times New Roman"/>
          <w:color w:val="000000"/>
          <w:sz w:val="24"/>
          <w:szCs w:val="28"/>
          <w:highlight w:val="yellow"/>
        </w:rPr>
      </w:pPr>
      <w:r>
        <w:rPr>
          <w:rFonts w:hint="default" w:ascii="Times New Roman" w:hAnsi="Times New Roman" w:eastAsia="宋体" w:cs="Times New Roman"/>
          <w:color w:val="000000"/>
          <w:sz w:val="24"/>
          <w:szCs w:val="28"/>
        </w:rPr>
        <w:t>一</w:t>
      </w:r>
      <w:r>
        <w:rPr>
          <w:rFonts w:hint="default" w:ascii="Times New Roman" w:hAnsi="Times New Roman" w:eastAsia="宋体" w:cs="Times New Roman"/>
          <w:color w:val="000000"/>
          <w:sz w:val="24"/>
          <w:szCs w:val="28"/>
          <w:highlight w:val="none"/>
        </w:rPr>
        <w:t>、项目基本情况</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该项目为新建项目，建于菏泽市成武县伯乐集镇康楼村，本项目为三级加油站，设置有4台双枪双油品潜油泵型加油机（汽油枪带油气回收）;4个埋地卧式双层油罐，其中2个30m</w:t>
      </w:r>
      <w:r>
        <w:rPr>
          <w:rFonts w:hint="default" w:ascii="Times New Roman" w:hAnsi="Times New Roman" w:eastAsia="宋体" w:cs="Times New Roman"/>
          <w:color w:val="000000"/>
          <w:sz w:val="24"/>
          <w:szCs w:val="28"/>
          <w:vertAlign w:val="superscript"/>
          <w:lang w:val="en-US" w:eastAsia="zh-CN"/>
        </w:rPr>
        <w:t>3</w:t>
      </w:r>
      <w:r>
        <w:rPr>
          <w:rFonts w:hint="default" w:ascii="Times New Roman" w:hAnsi="Times New Roman" w:eastAsia="宋体" w:cs="Times New Roman"/>
          <w:color w:val="000000"/>
          <w:sz w:val="24"/>
          <w:szCs w:val="28"/>
        </w:rPr>
        <w:t>汽油SF双层储罐，2个30m</w:t>
      </w:r>
      <w:r>
        <w:rPr>
          <w:rFonts w:hint="default" w:ascii="Times New Roman" w:hAnsi="Times New Roman" w:eastAsia="宋体" w:cs="Times New Roman"/>
          <w:color w:val="000000"/>
          <w:sz w:val="24"/>
          <w:szCs w:val="28"/>
          <w:vertAlign w:val="superscript"/>
          <w:lang w:val="en-US" w:eastAsia="zh-CN"/>
        </w:rPr>
        <w:t>3</w:t>
      </w:r>
      <w:r>
        <w:rPr>
          <w:rFonts w:hint="default" w:ascii="Times New Roman" w:hAnsi="Times New Roman" w:eastAsia="宋体" w:cs="Times New Roman"/>
          <w:color w:val="000000"/>
          <w:sz w:val="24"/>
          <w:szCs w:val="28"/>
        </w:rPr>
        <w:t>柴油SF双层储罐，总罐容120m</w:t>
      </w:r>
      <w:r>
        <w:rPr>
          <w:rFonts w:hint="default" w:ascii="Times New Roman" w:hAnsi="Times New Roman" w:eastAsia="宋体" w:cs="Times New Roman"/>
          <w:color w:val="000000"/>
          <w:sz w:val="24"/>
          <w:szCs w:val="28"/>
          <w:vertAlign w:val="superscript"/>
          <w:lang w:val="en-US" w:eastAsia="zh-CN"/>
        </w:rPr>
        <w:t>3</w:t>
      </w:r>
      <w:r>
        <w:rPr>
          <w:rFonts w:hint="default" w:ascii="Times New Roman" w:hAnsi="Times New Roman" w:eastAsia="宋体" w:cs="Times New Roman"/>
          <w:color w:val="000000"/>
          <w:sz w:val="24"/>
          <w:szCs w:val="28"/>
        </w:rPr>
        <w:t>。项目占地 5284 平方米，总投资 1451 万元，环保投资15万元。经审查、该项目在落实报告表提出的污染防治措施后，能够满足环境保护要求，从环保角度同意项目建设。</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二、项目在建设和运营过程中要严格落实环境影响报告表提出的污染防治措施和本批复要求，并重点做好以下几项工作：</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做好施工期间的环境保护工作，合理安排施工期和作息时间，做到文明施工。严格控制施工期间的扬尘污染和水土流失；严格执行《建筑施工场界环境噪声排放标准》(GB12523-2011）标准要求；对施工期产生的各类固废要分类、及时、妥善处理。</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2、按照雨污分流原则设计和建设厂区排水系统。本项目生活污水经化粪池预处理后由环卫部门定期清运，不外排；地面冲洗废水经隔油池预处理后，循环使用不外排。</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该项目需采取密闭卸油方式，卸油油气由罐车自带</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（一次</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）回收至油罐车中；该项目加油过程中需设置</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（二次</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）,采用真空辅助式油气回收设备，加油作业过程中产生的油气通过地下油气回收管线收集到地下储罐内；该项目油罐呼吸油气需由油气处理装置（三次</w:t>
      </w:r>
      <w:r>
        <w:rPr>
          <w:rFonts w:hint="default" w:ascii="Times New Roman" w:hAnsi="Times New Roman" w:eastAsia="宋体" w:cs="Times New Roman"/>
          <w:color w:val="000000"/>
          <w:sz w:val="24"/>
          <w:szCs w:val="28"/>
          <w:lang w:eastAsia="zh-CN"/>
        </w:rPr>
        <w:t>油气回收处理系统</w:t>
      </w:r>
      <w:r>
        <w:rPr>
          <w:rFonts w:hint="default" w:ascii="Times New Roman" w:hAnsi="Times New Roman" w:eastAsia="宋体" w:cs="Times New Roman"/>
          <w:color w:val="000000"/>
          <w:sz w:val="24"/>
          <w:szCs w:val="28"/>
        </w:rPr>
        <w:t>），采用冷凝</w:t>
      </w:r>
      <w:r>
        <w:rPr>
          <w:rFonts w:hint="default" w:ascii="Times New Roman" w:hAnsi="Times New Roman" w:eastAsia="宋体" w:cs="Times New Roman"/>
          <w:color w:val="000000"/>
          <w:sz w:val="24"/>
          <w:szCs w:val="28"/>
          <w:lang w:val="en-US" w:eastAsia="zh-CN"/>
        </w:rPr>
        <w:t>＋</w:t>
      </w:r>
      <w:r>
        <w:rPr>
          <w:rFonts w:hint="default" w:ascii="Times New Roman" w:hAnsi="Times New Roman" w:eastAsia="宋体" w:cs="Times New Roman"/>
          <w:color w:val="000000"/>
          <w:sz w:val="24"/>
          <w:szCs w:val="28"/>
        </w:rPr>
        <w:t>吸附工艺处理后排放。加油站油气处理装置排气口距地平面高度应不低于 4m，排气口排放浓度限值需执行《加油站大气污染物排放标准》(GB20952-2020）中相关要求，无组织废气需满足《加油站大气污染物排放标准》(GB20952-2020）表3中油气浓度无组织排放限值要求及《挥发性有机物排放标准第7部分：其他行业》(DB37/ 2801.7-2019）表2中标准限值要求。</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4、根据《山东省建设项目污染物总量确认书》审核总量指标编号：CWZL[2021]35号，本项目正式投产后，VOCs 排放总量需控制在0.299t/a内</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5、生活垃圾由环卫部门统一收集处理；清罐废渣、含油吸油毡以及隔油池废油和污泥暂存危废暂存间，定期交有资质单位处置；含油废手套、废抹布属于危险废物豁免清单与职工生活垃圾一同由环卫部门定期清运。固废暂存场所做好"防渗、防雨、防流失"措施，避免二次污染。一般固废处置需满足《一般工业固体废物贮存和填埋污染控制标准》(GB18599-2020）要求，危险废物暂存需执行《危险废物贮存污染控制标准》（GB18597-2001）及修改单要求。</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6、该项目需对出入站区内来往的机动车严格管理，采取车辆进站时减速、禁止鸣笛、加油时车辆熄火和平稳启动等措施，使站区内的交通噪声降到最低；项目采用低噪声潜油泵，布设于地下，经减震基座、地面隔声等措施处理，确保项目厂界噪声达到《社会生活环境噪声排放标准》(GB22337-2008）中2类及4类标准要求。</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三、请菏泽市生态环境局成武县分局做好监督管理工作，确保报告表及本批复提出的污染防治措施落实到位。</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四、项目建设需严格执行污染防治设施与主体工程同时设计、同时施工、同时投入使用的环保"三同时"制度。项目竣工后，你单位应当按照国务院环境保护行政主管部门规定的标准和程序，对配套建设的环境保护设施进行验收，验收合格后方可正式投入使用；未经验收或者验收不合格的，不得投入生产或者使用。</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五、建设项目的性质、规模、地点、采用的生产工艺或者防治污染、防止生态破坏的措施发生重大变动的，应当重新报批建设项目环境影响评价文件。自批准之日起满5年，建设项目方开工建设的，其环境影响评价文件应当报我局重新审核。</w:t>
      </w:r>
    </w:p>
    <w:p>
      <w:pPr>
        <w:pStyle w:val="3"/>
        <w:keepNext w:val="0"/>
        <w:keepLines w:val="0"/>
        <w:pageBreakBefore w:val="0"/>
        <w:widowControl w:val="0"/>
        <w:kinsoku/>
        <w:wordWrap w:val="0"/>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sz w:val="24"/>
          <w:szCs w:val="28"/>
        </w:rPr>
        <w:t>六、你公司自收到本批复10日内，将批准后的环境影响报告表及本批复送至菏泽市生态环境局成武县分局，并按规定接受监督检查。</w:t>
      </w:r>
    </w:p>
    <w:p>
      <w:pPr>
        <w:pStyle w:val="47"/>
        <w:spacing w:line="360" w:lineRule="auto"/>
        <w:ind w:left="-210" w:leftChars="-100" w:firstLine="0" w:firstLineChars="0"/>
        <w:jc w:val="center"/>
        <w:outlineLvl w:val="0"/>
        <w:rPr>
          <w:rFonts w:hint="default" w:ascii="Times New Roman" w:hAnsi="Times New Roman" w:eastAsia="宋体" w:cs="Times New Roman"/>
          <w:b/>
          <w:sz w:val="32"/>
          <w:szCs w:val="32"/>
          <w:highlight w:val="none"/>
        </w:rPr>
      </w:pPr>
      <w:bookmarkStart w:id="42" w:name="_Toc19813"/>
      <w:r>
        <w:rPr>
          <w:rFonts w:hint="default" w:ascii="Times New Roman" w:hAnsi="Times New Roman" w:eastAsia="宋体" w:cs="Times New Roman"/>
          <w:b/>
          <w:sz w:val="32"/>
          <w:szCs w:val="32"/>
          <w:highlight w:val="none"/>
        </w:rPr>
        <w:t>6、验收执行标准</w:t>
      </w:r>
      <w:bookmarkEnd w:id="42"/>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受</w:t>
      </w:r>
      <w:r>
        <w:rPr>
          <w:rFonts w:hint="default" w:ascii="Times New Roman" w:hAnsi="Times New Roman" w:eastAsia="宋体" w:cs="Times New Roman"/>
          <w:color w:val="000000"/>
          <w:sz w:val="24"/>
          <w:szCs w:val="28"/>
          <w:lang w:val="en-US" w:eastAsia="zh-CN"/>
        </w:rPr>
        <w:t>中国石化销售股份有限公司山东菏泽石油分公司</w:t>
      </w:r>
      <w:r>
        <w:rPr>
          <w:rFonts w:hint="default" w:ascii="Times New Roman" w:hAnsi="Times New Roman" w:eastAsia="宋体" w:cs="Times New Roman"/>
          <w:color w:val="000000"/>
          <w:sz w:val="24"/>
          <w:szCs w:val="28"/>
        </w:rPr>
        <w:t>委托，根据</w:t>
      </w:r>
      <w:r>
        <w:rPr>
          <w:rFonts w:hint="default" w:ascii="Times New Roman" w:hAnsi="Times New Roman" w:eastAsia="宋体" w:cs="Times New Roman"/>
          <w:sz w:val="24"/>
          <w:szCs w:val="28"/>
        </w:rPr>
        <w:t>《关于</w:t>
      </w:r>
      <w:r>
        <w:rPr>
          <w:rFonts w:hint="default" w:ascii="Times New Roman" w:hAnsi="Times New Roman" w:eastAsia="宋体" w:cs="Times New Roman"/>
          <w:sz w:val="24"/>
          <w:szCs w:val="28"/>
          <w:lang w:val="en-US" w:eastAsia="zh-CN"/>
        </w:rPr>
        <w:t>中国石化销售股份有限公司山东菏泽石油分公司成武六一七加油站新建项目</w:t>
      </w:r>
      <w:r>
        <w:rPr>
          <w:rFonts w:hint="default" w:ascii="Times New Roman" w:hAnsi="Times New Roman" w:eastAsia="宋体" w:cs="Times New Roman"/>
          <w:sz w:val="24"/>
          <w:szCs w:val="28"/>
        </w:rPr>
        <w:t>环境影响报告表环境影响报告表的批复》（</w:t>
      </w:r>
      <w:r>
        <w:rPr>
          <w:rFonts w:hint="default" w:ascii="Times New Roman" w:hAnsi="Times New Roman" w:eastAsia="宋体" w:cs="Times New Roman"/>
          <w:sz w:val="24"/>
          <w:szCs w:val="28"/>
          <w:lang w:val="en-US" w:eastAsia="zh-CN"/>
        </w:rPr>
        <w:t>成行</w:t>
      </w:r>
      <w:r>
        <w:rPr>
          <w:rFonts w:hint="default" w:ascii="Times New Roman" w:hAnsi="Times New Roman" w:eastAsia="宋体" w:cs="Times New Roman"/>
          <w:sz w:val="24"/>
          <w:szCs w:val="28"/>
          <w:lang w:eastAsia="zh-CN"/>
        </w:rPr>
        <w:t>环审【202</w:t>
      </w:r>
      <w:r>
        <w:rPr>
          <w:rFonts w:hint="default" w:ascii="Times New Roman" w:hAnsi="Times New Roman" w:eastAsia="宋体" w:cs="Times New Roman"/>
          <w:sz w:val="24"/>
          <w:szCs w:val="28"/>
          <w:lang w:val="en-US" w:eastAsia="zh-CN"/>
        </w:rPr>
        <w:t>1</w:t>
      </w:r>
      <w:r>
        <w:rPr>
          <w:rFonts w:hint="default" w:ascii="Times New Roman" w:hAnsi="Times New Roman" w:eastAsia="宋体" w:cs="Times New Roman"/>
          <w:sz w:val="24"/>
          <w:szCs w:val="28"/>
          <w:lang w:eastAsia="zh-CN"/>
        </w:rPr>
        <w:t>】</w:t>
      </w:r>
      <w:r>
        <w:rPr>
          <w:rFonts w:hint="default" w:ascii="Times New Roman" w:hAnsi="Times New Roman" w:eastAsia="宋体" w:cs="Times New Roman"/>
          <w:sz w:val="24"/>
          <w:szCs w:val="28"/>
          <w:lang w:val="en-US" w:eastAsia="zh-CN"/>
        </w:rPr>
        <w:t>38</w:t>
      </w:r>
      <w:r>
        <w:rPr>
          <w:rFonts w:hint="default" w:ascii="Times New Roman" w:hAnsi="Times New Roman" w:eastAsia="宋体" w:cs="Times New Roman"/>
          <w:sz w:val="24"/>
          <w:szCs w:val="28"/>
          <w:lang w:eastAsia="zh-CN"/>
        </w:rPr>
        <w:t>号</w:t>
      </w:r>
      <w:r>
        <w:rPr>
          <w:rFonts w:hint="default" w:ascii="Times New Roman" w:hAnsi="Times New Roman" w:eastAsia="宋体" w:cs="Times New Roman"/>
          <w:sz w:val="24"/>
          <w:szCs w:val="28"/>
        </w:rPr>
        <w:t>）</w:t>
      </w:r>
      <w:r>
        <w:rPr>
          <w:rFonts w:hint="default" w:ascii="Times New Roman" w:hAnsi="Times New Roman" w:eastAsia="宋体" w:cs="Times New Roman"/>
          <w:color w:val="000000"/>
          <w:sz w:val="24"/>
          <w:szCs w:val="28"/>
        </w:rPr>
        <w:t>的要求，</w:t>
      </w:r>
      <w:r>
        <w:rPr>
          <w:rFonts w:hint="default" w:ascii="Times New Roman" w:hAnsi="Times New Roman" w:eastAsia="宋体" w:cs="Times New Roman"/>
          <w:color w:val="000000"/>
          <w:sz w:val="24"/>
          <w:szCs w:val="28"/>
          <w:highlight w:val="none"/>
          <w:lang w:eastAsia="zh-CN"/>
        </w:rPr>
        <w:t>山东天衡检测有限公司</w:t>
      </w:r>
      <w:r>
        <w:rPr>
          <w:rFonts w:hint="default" w:ascii="Times New Roman" w:hAnsi="Times New Roman" w:eastAsia="宋体" w:cs="Times New Roman"/>
          <w:color w:val="000000"/>
          <w:sz w:val="24"/>
          <w:szCs w:val="28"/>
        </w:rPr>
        <w:t>分别对该项目废气</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地下水、</w:t>
      </w:r>
      <w:r>
        <w:rPr>
          <w:rFonts w:hint="default" w:ascii="Times New Roman" w:hAnsi="Times New Roman" w:eastAsia="宋体" w:cs="Times New Roman"/>
          <w:color w:val="000000"/>
          <w:sz w:val="24"/>
          <w:szCs w:val="28"/>
        </w:rPr>
        <w:t>厂界噪声</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油气回收系统</w:t>
      </w:r>
      <w:r>
        <w:rPr>
          <w:rFonts w:hint="default" w:ascii="Times New Roman" w:hAnsi="Times New Roman" w:eastAsia="宋体" w:cs="Times New Roman"/>
          <w:color w:val="000000"/>
          <w:sz w:val="24"/>
          <w:szCs w:val="28"/>
        </w:rPr>
        <w:t>进行现场监测，项目处于正常运行状态，环保设施运行正常</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具体见表。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表6-1  监测项目执行标准及限值</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468"/>
        <w:gridCol w:w="2447"/>
        <w:gridCol w:w="2187"/>
        <w:gridCol w:w="1844"/>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监测类别</w:t>
            </w:r>
          </w:p>
        </w:tc>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监测项目</w:t>
            </w:r>
          </w:p>
        </w:tc>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执行标准</w:t>
            </w:r>
          </w:p>
        </w:tc>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标准号</w:t>
            </w:r>
          </w:p>
        </w:tc>
        <w:tc>
          <w:tcPr>
            <w:tcW w:w="0" w:type="auto"/>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0" w:type="auto"/>
            <w:vMerge w:val="restar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0" w:type="auto"/>
            <w:vMerge w:val="restart"/>
            <w:noWrap w:val="0"/>
            <w:vAlign w:val="center"/>
          </w:tcPr>
          <w:p>
            <w:pPr>
              <w:spacing w:line="30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highlight w:val="none"/>
                <w:lang w:val="en-US" w:eastAsia="zh-CN"/>
              </w:rPr>
              <w:t>油气回收处理系统</w:t>
            </w:r>
          </w:p>
        </w:tc>
        <w:tc>
          <w:tcPr>
            <w:tcW w:w="0" w:type="auto"/>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密闭性</w:t>
            </w:r>
          </w:p>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 w:val="21"/>
                <w:szCs w:val="21"/>
                <w:highlight w:val="none"/>
              </w:rPr>
              <w:t>（5分钟后压力）</w:t>
            </w:r>
          </w:p>
        </w:tc>
        <w:tc>
          <w:tcPr>
            <w:tcW w:w="0" w:type="auto"/>
            <w:vMerge w:val="restart"/>
            <w:noWrap w:val="0"/>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bidi="ar"/>
              </w:rPr>
              <w:t>《</w:t>
            </w:r>
            <w:r>
              <w:rPr>
                <w:rFonts w:hint="default" w:ascii="Times New Roman" w:hAnsi="Times New Roman" w:eastAsia="宋体" w:cs="Times New Roman"/>
                <w:color w:val="000000"/>
                <w:kern w:val="0"/>
                <w:sz w:val="21"/>
                <w:szCs w:val="21"/>
                <w:lang w:val="en-US" w:eastAsia="zh-CN" w:bidi="ar"/>
              </w:rPr>
              <w:t>加油站大气污染物排放标准</w:t>
            </w:r>
            <w:r>
              <w:rPr>
                <w:rFonts w:hint="default" w:ascii="Times New Roman" w:hAnsi="Times New Roman" w:eastAsia="宋体" w:cs="Times New Roman"/>
                <w:color w:val="000000"/>
                <w:kern w:val="0"/>
                <w:sz w:val="21"/>
                <w:szCs w:val="21"/>
                <w:lang w:bidi="ar"/>
              </w:rPr>
              <w:t>》(</w:t>
            </w:r>
            <w:r>
              <w:rPr>
                <w:rFonts w:hint="default" w:ascii="Times New Roman" w:hAnsi="Times New Roman" w:eastAsia="宋体" w:cs="Times New Roman"/>
                <w:color w:val="000000"/>
                <w:kern w:val="0"/>
                <w:sz w:val="21"/>
                <w:szCs w:val="21"/>
                <w:lang w:val="en-US" w:eastAsia="zh-CN" w:bidi="ar"/>
              </w:rPr>
              <w:t xml:space="preserve">GB 20952—2020 </w:t>
            </w:r>
            <w:r>
              <w:rPr>
                <w:rFonts w:hint="default" w:ascii="Times New Roman" w:hAnsi="Times New Roman" w:eastAsia="宋体" w:cs="Times New Roman"/>
                <w:color w:val="000000"/>
                <w:kern w:val="0"/>
                <w:sz w:val="21"/>
                <w:szCs w:val="21"/>
                <w:lang w:bidi="ar"/>
              </w:rPr>
              <w:t>)</w:t>
            </w:r>
          </w:p>
        </w:tc>
        <w:tc>
          <w:tcPr>
            <w:tcW w:w="0" w:type="auto"/>
            <w:vMerge w:val="restar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GB 20952—2020</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0" w:type="auto"/>
            <w:vMerge w:val="continue"/>
            <w:noWrap w:val="0"/>
            <w:vAlign w:val="center"/>
          </w:tcPr>
          <w:p>
            <w:pPr>
              <w:spacing w:line="300" w:lineRule="exact"/>
              <w:jc w:val="center"/>
              <w:rPr>
                <w:rFonts w:hint="default" w:ascii="Times New Roman" w:hAnsi="Times New Roman" w:eastAsia="宋体" w:cs="Times New Roman"/>
                <w:sz w:val="21"/>
                <w:szCs w:val="21"/>
              </w:rPr>
            </w:pPr>
          </w:p>
        </w:tc>
        <w:tc>
          <w:tcPr>
            <w:tcW w:w="0" w:type="auto"/>
            <w:vMerge w:val="continue"/>
            <w:noWrap w:val="0"/>
            <w:vAlign w:val="center"/>
          </w:tcPr>
          <w:p>
            <w:pPr>
              <w:spacing w:line="300" w:lineRule="exact"/>
              <w:jc w:val="center"/>
              <w:rPr>
                <w:rFonts w:hint="default" w:ascii="Times New Roman" w:hAnsi="Times New Roman" w:eastAsia="宋体" w:cs="Times New Roman"/>
                <w:sz w:val="21"/>
                <w:szCs w:val="21"/>
                <w:highlight w:val="none"/>
                <w:lang w:val="en-US" w:eastAsia="zh-CN"/>
              </w:rPr>
            </w:pPr>
          </w:p>
        </w:tc>
        <w:tc>
          <w:tcPr>
            <w:tcW w:w="0" w:type="auto"/>
            <w:noWrap w:val="0"/>
            <w:vAlign w:val="center"/>
          </w:tcPr>
          <w:p>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液阻</w:t>
            </w:r>
          </w:p>
        </w:tc>
        <w:tc>
          <w:tcPr>
            <w:tcW w:w="0" w:type="auto"/>
            <w:vMerge w:val="continue"/>
            <w:noWrap w:val="0"/>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bidi="ar"/>
              </w:rPr>
            </w:pPr>
          </w:p>
        </w:tc>
        <w:tc>
          <w:tcPr>
            <w:tcW w:w="0" w:type="auto"/>
            <w:vMerge w:val="continue"/>
            <w:noWrap w:val="0"/>
            <w:vAlign w:val="center"/>
          </w:tcPr>
          <w:p>
            <w:pPr>
              <w:spacing w:line="300" w:lineRule="exact"/>
              <w:jc w:val="center"/>
              <w:rPr>
                <w:rFonts w:hint="default" w:ascii="Times New Roman" w:hAnsi="Times New Roman" w:eastAsia="宋体" w:cs="Times New Roman"/>
                <w:color w:val="000000"/>
                <w:kern w:val="0"/>
                <w:sz w:val="21"/>
                <w:szCs w:val="21"/>
                <w:lang w:val="en-US" w:eastAsia="zh-CN" w:bidi="ar"/>
              </w:rPr>
            </w:pP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0" w:type="auto"/>
            <w:vMerge w:val="continue"/>
            <w:noWrap w:val="0"/>
            <w:vAlign w:val="center"/>
          </w:tcPr>
          <w:p>
            <w:pPr>
              <w:spacing w:line="300" w:lineRule="exact"/>
              <w:jc w:val="center"/>
              <w:rPr>
                <w:rFonts w:hint="default" w:ascii="Times New Roman" w:hAnsi="Times New Roman" w:eastAsia="宋体" w:cs="Times New Roman"/>
                <w:sz w:val="21"/>
                <w:szCs w:val="21"/>
              </w:rPr>
            </w:pPr>
          </w:p>
        </w:tc>
        <w:tc>
          <w:tcPr>
            <w:tcW w:w="0" w:type="auto"/>
            <w:vMerge w:val="continue"/>
            <w:noWrap w:val="0"/>
            <w:vAlign w:val="center"/>
          </w:tcPr>
          <w:p>
            <w:pPr>
              <w:spacing w:line="300" w:lineRule="exact"/>
              <w:jc w:val="center"/>
              <w:rPr>
                <w:rFonts w:hint="default" w:ascii="Times New Roman" w:hAnsi="Times New Roman" w:eastAsia="宋体" w:cs="Times New Roman"/>
                <w:sz w:val="21"/>
                <w:szCs w:val="21"/>
                <w:highlight w:val="none"/>
                <w:lang w:val="en-US" w:eastAsia="zh-CN"/>
              </w:rPr>
            </w:pPr>
          </w:p>
        </w:tc>
        <w:tc>
          <w:tcPr>
            <w:tcW w:w="0" w:type="auto"/>
            <w:noWrap w:val="0"/>
            <w:vAlign w:val="center"/>
          </w:tcPr>
          <w:p>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气液比</w:t>
            </w:r>
          </w:p>
        </w:tc>
        <w:tc>
          <w:tcPr>
            <w:tcW w:w="0" w:type="auto"/>
            <w:vMerge w:val="continue"/>
            <w:noWrap w:val="0"/>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bidi="ar"/>
              </w:rPr>
            </w:pPr>
          </w:p>
        </w:tc>
        <w:tc>
          <w:tcPr>
            <w:tcW w:w="0" w:type="auto"/>
            <w:vMerge w:val="continue"/>
            <w:noWrap w:val="0"/>
            <w:vAlign w:val="center"/>
          </w:tcPr>
          <w:p>
            <w:pPr>
              <w:spacing w:line="300" w:lineRule="exact"/>
              <w:jc w:val="center"/>
              <w:rPr>
                <w:rFonts w:hint="default" w:ascii="Times New Roman" w:hAnsi="Times New Roman" w:eastAsia="宋体" w:cs="Times New Roman"/>
                <w:color w:val="000000"/>
                <w:kern w:val="0"/>
                <w:sz w:val="21"/>
                <w:szCs w:val="21"/>
                <w:lang w:val="en-US" w:eastAsia="zh-CN" w:bidi="ar"/>
              </w:rPr>
            </w:pPr>
          </w:p>
        </w:tc>
        <w:tc>
          <w:tcPr>
            <w:tcW w:w="0" w:type="auto"/>
            <w:noWrap w:val="0"/>
            <w:vAlign w:val="center"/>
          </w:tcPr>
          <w:p>
            <w:pPr>
              <w:spacing w:line="300" w:lineRule="exact"/>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1.0≤气液比≤1.2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0" w:type="auto"/>
            <w:vMerge w:val="continue"/>
            <w:noWrap w:val="0"/>
            <w:vAlign w:val="center"/>
          </w:tcPr>
          <w:p>
            <w:pPr>
              <w:spacing w:line="300" w:lineRule="exact"/>
              <w:jc w:val="center"/>
              <w:rPr>
                <w:rFonts w:hint="default" w:ascii="Times New Roman" w:hAnsi="Times New Roman" w:eastAsia="宋体" w:cs="Times New Roman"/>
                <w:sz w:val="21"/>
                <w:szCs w:val="21"/>
              </w:rPr>
            </w:pPr>
          </w:p>
        </w:tc>
        <w:tc>
          <w:tcPr>
            <w:tcW w:w="0" w:type="auto"/>
            <w:vMerge w:val="continue"/>
            <w:noWrap w:val="0"/>
            <w:vAlign w:val="center"/>
          </w:tcPr>
          <w:p>
            <w:pPr>
              <w:spacing w:line="300" w:lineRule="exact"/>
              <w:jc w:val="center"/>
              <w:rPr>
                <w:rFonts w:hint="default" w:ascii="Times New Roman" w:hAnsi="Times New Roman" w:eastAsia="宋体" w:cs="Times New Roman"/>
                <w:sz w:val="21"/>
                <w:szCs w:val="21"/>
                <w:highlight w:val="none"/>
                <w:lang w:val="en-US" w:eastAsia="zh-CN"/>
              </w:rPr>
            </w:pPr>
          </w:p>
        </w:tc>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油气浓度</w:t>
            </w:r>
          </w:p>
        </w:tc>
        <w:tc>
          <w:tcPr>
            <w:tcW w:w="0" w:type="auto"/>
            <w:vMerge w:val="continue"/>
            <w:noWrap w:val="0"/>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val="en-US" w:eastAsia="zh-CN" w:bidi="ar"/>
              </w:rPr>
            </w:pPr>
          </w:p>
        </w:tc>
        <w:tc>
          <w:tcPr>
            <w:tcW w:w="0" w:type="auto"/>
            <w:vMerge w:val="continue"/>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p>
        </w:tc>
        <w:tc>
          <w:tcPr>
            <w:tcW w:w="0" w:type="auto"/>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1小时平均浓度值应小于等于25g/m3。</w:t>
            </w:r>
          </w:p>
          <w:p>
            <w:pPr>
              <w:spacing w:line="300" w:lineRule="exact"/>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无组织废气</w:t>
            </w:r>
          </w:p>
        </w:tc>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有机废气</w:t>
            </w:r>
          </w:p>
        </w:tc>
        <w:tc>
          <w:tcPr>
            <w:tcW w:w="0" w:type="auto"/>
            <w:noWrap w:val="0"/>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山东省《挥发性有机物排放标准第 7 部分：其他行业》</w:t>
            </w:r>
          </w:p>
          <w:p>
            <w:pPr>
              <w:keepNext w:val="0"/>
              <w:keepLines w:val="0"/>
              <w:widowControl/>
              <w:suppressLineNumbers w:val="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bidi="ar"/>
              </w:rPr>
              <w:t>(DB37/2801.7-2019)</w:t>
            </w:r>
            <w:r>
              <w:rPr>
                <w:rFonts w:hint="default" w:ascii="Times New Roman" w:hAnsi="Times New Roman" w:eastAsia="宋体" w:cs="Times New Roman"/>
                <w:color w:val="000000"/>
                <w:kern w:val="0"/>
                <w:sz w:val="21"/>
                <w:szCs w:val="21"/>
                <w:lang w:val="en-US" w:eastAsia="zh-CN" w:bidi="ar"/>
              </w:rPr>
              <w:t>表2</w:t>
            </w:r>
            <w:r>
              <w:rPr>
                <w:rFonts w:hint="default" w:ascii="Times New Roman" w:hAnsi="Times New Roman" w:eastAsia="宋体" w:cs="Times New Roman"/>
                <w:spacing w:val="5"/>
                <w:sz w:val="21"/>
                <w:szCs w:val="21"/>
              </w:rPr>
              <w:t>厂界监控点浓度限值</w:t>
            </w:r>
          </w:p>
        </w:tc>
        <w:tc>
          <w:tcPr>
            <w:tcW w:w="0" w:type="auto"/>
            <w:noWrap w:val="0"/>
            <w:vAlign w:val="center"/>
          </w:tcPr>
          <w:p>
            <w:pPr>
              <w:spacing w:line="3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bidi="ar"/>
              </w:rPr>
              <w:t>DB37/2801.7-2019</w:t>
            </w:r>
          </w:p>
        </w:tc>
        <w:tc>
          <w:tcPr>
            <w:tcW w:w="0" w:type="auto"/>
            <w:noWrap w:val="0"/>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2.0mg/m</w:t>
            </w:r>
            <w:r>
              <w:rPr>
                <w:rFonts w:hint="default" w:ascii="Times New Roman" w:hAnsi="Times New Roman" w:eastAsia="宋体" w:cs="Times New Roman"/>
                <w:color w:val="000000"/>
                <w:kern w:val="0"/>
                <w:sz w:val="21"/>
                <w:szCs w:val="21"/>
                <w:vertAlign w:val="superscript"/>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厂界噪声</w:t>
            </w:r>
          </w:p>
        </w:tc>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LAeq</w:t>
            </w:r>
          </w:p>
        </w:tc>
        <w:tc>
          <w:tcPr>
            <w:tcW w:w="0" w:type="auto"/>
            <w:noWrap w:val="0"/>
            <w:vAlign w:val="center"/>
          </w:tcPr>
          <w:p>
            <w:pPr>
              <w:spacing w:line="300" w:lineRule="exact"/>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社会生活</w:t>
            </w:r>
            <w:r>
              <w:rPr>
                <w:rFonts w:hint="default" w:ascii="Times New Roman" w:hAnsi="Times New Roman" w:eastAsia="宋体" w:cs="Times New Roman"/>
                <w:sz w:val="21"/>
                <w:szCs w:val="21"/>
              </w:rPr>
              <w:t>环境噪声排放标准》</w:t>
            </w:r>
            <w:r>
              <w:rPr>
                <w:rFonts w:hint="default" w:ascii="Times New Roman" w:hAnsi="Times New Roman" w:eastAsia="宋体" w:cs="Times New Roman"/>
                <w:sz w:val="21"/>
                <w:szCs w:val="21"/>
                <w:lang w:val="en-US" w:eastAsia="zh-CN"/>
              </w:rPr>
              <w:t>2类</w:t>
            </w:r>
            <w:r>
              <w:rPr>
                <w:rFonts w:hint="default" w:ascii="Times New Roman" w:hAnsi="Times New Roman" w:eastAsia="宋体" w:cs="Times New Roman"/>
                <w:sz w:val="21"/>
                <w:szCs w:val="21"/>
              </w:rPr>
              <w:t>标准</w:t>
            </w:r>
          </w:p>
        </w:tc>
        <w:tc>
          <w:tcPr>
            <w:tcW w:w="0" w:type="auto"/>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GB12348-2008</w:t>
            </w:r>
          </w:p>
        </w:tc>
        <w:tc>
          <w:tcPr>
            <w:tcW w:w="0" w:type="auto"/>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昼间：6</w:t>
            </w: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dB</w:t>
            </w:r>
          </w:p>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夜间：5</w:t>
            </w: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highlight w:val="none"/>
                <w:lang w:bidi="ar"/>
              </w:rPr>
              <w:t>pH</w:t>
            </w:r>
            <w:r>
              <w:rPr>
                <w:rFonts w:hint="default" w:ascii="Times New Roman" w:hAnsi="Times New Roman" w:eastAsia="宋体" w:cs="Times New Roman"/>
                <w:kern w:val="0"/>
                <w:sz w:val="21"/>
                <w:szCs w:val="21"/>
                <w:highlight w:val="none"/>
                <w:lang w:eastAsia="zh-CN" w:bidi="ar"/>
              </w:rPr>
              <w:t>、</w:t>
            </w:r>
            <w:r>
              <w:rPr>
                <w:rFonts w:hint="default" w:ascii="Times New Roman" w:hAnsi="Times New Roman" w:eastAsia="宋体" w:cs="Times New Roman"/>
                <w:sz w:val="21"/>
                <w:szCs w:val="21"/>
                <w:highlight w:val="none"/>
              </w:rPr>
              <w:t>总硬度</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硫酸</w:t>
            </w:r>
            <w:r>
              <w:rPr>
                <w:rFonts w:hint="default" w:ascii="Times New Roman" w:hAnsi="Times New Roman" w:eastAsia="宋体" w:cs="Times New Roman"/>
                <w:sz w:val="21"/>
                <w:szCs w:val="21"/>
                <w:highlight w:val="none"/>
                <w:lang w:eastAsia="zh-CN"/>
              </w:rPr>
              <w:t>盐、</w:t>
            </w:r>
            <w:r>
              <w:rPr>
                <w:rFonts w:hint="default" w:ascii="Times New Roman" w:hAnsi="Times New Roman" w:eastAsia="宋体" w:cs="Times New Roman"/>
                <w:bCs/>
                <w:color w:val="000000"/>
                <w:kern w:val="2"/>
                <w:sz w:val="21"/>
                <w:szCs w:val="21"/>
                <w:highlight w:val="none"/>
                <w:lang w:val="en-US" w:eastAsia="zh-CN" w:bidi="ar-SA"/>
              </w:rPr>
              <w:t>硝酸盐、亚硝酸盐、浑浊度、氨氮、氟化物、氰化物、阴离子表面活性剂、</w:t>
            </w:r>
            <w:r>
              <w:rPr>
                <w:rFonts w:hint="default" w:ascii="Times New Roman" w:hAnsi="Times New Roman" w:eastAsia="宋体" w:cs="Times New Roman"/>
                <w:kern w:val="0"/>
                <w:sz w:val="21"/>
                <w:szCs w:val="21"/>
                <w:highlight w:val="none"/>
                <w:lang w:val="en-US" w:eastAsia="zh-CN" w:bidi="ar"/>
              </w:rPr>
              <w:t>溶解性总固体、臭和味、</w:t>
            </w:r>
            <w:r>
              <w:rPr>
                <w:rFonts w:hint="default" w:ascii="Times New Roman" w:hAnsi="Times New Roman" w:eastAsia="宋体" w:cs="Times New Roman"/>
                <w:sz w:val="21"/>
                <w:szCs w:val="21"/>
                <w:highlight w:val="none"/>
                <w:lang w:val="en-US" w:eastAsia="zh-CN"/>
              </w:rPr>
              <w:t>肉眼可见物、砷、汞、铅、铁、锰、</w:t>
            </w:r>
            <w:r>
              <w:rPr>
                <w:rFonts w:hint="default" w:ascii="Times New Roman" w:hAnsi="Times New Roman" w:eastAsia="宋体" w:cs="Times New Roman"/>
                <w:kern w:val="2"/>
                <w:sz w:val="21"/>
                <w:szCs w:val="21"/>
                <w:highlight w:val="none"/>
                <w:lang w:val="en-US" w:eastAsia="zh-CN" w:bidi="ar-SA"/>
              </w:rPr>
              <w:t>挥发酚、</w:t>
            </w:r>
            <w:r>
              <w:rPr>
                <w:rFonts w:hint="default" w:ascii="Times New Roman" w:hAnsi="Times New Roman" w:eastAsia="宋体" w:cs="Times New Roman"/>
                <w:kern w:val="0"/>
                <w:sz w:val="21"/>
                <w:szCs w:val="21"/>
                <w:highlight w:val="none"/>
                <w:lang w:bidi="ar"/>
              </w:rPr>
              <w:t>色度</w:t>
            </w:r>
            <w:r>
              <w:rPr>
                <w:rFonts w:hint="default" w:ascii="Times New Roman" w:hAnsi="Times New Roman" w:eastAsia="宋体" w:cs="Times New Roman"/>
                <w:kern w:val="0"/>
                <w:sz w:val="21"/>
                <w:szCs w:val="21"/>
                <w:highlight w:val="none"/>
                <w:lang w:eastAsia="zh-CN" w:bidi="ar"/>
              </w:rPr>
              <w:t>、</w:t>
            </w:r>
            <w:r>
              <w:rPr>
                <w:rFonts w:hint="default" w:ascii="Times New Roman" w:hAnsi="Times New Roman" w:eastAsia="宋体" w:cs="Times New Roman"/>
                <w:sz w:val="21"/>
                <w:szCs w:val="21"/>
                <w:highlight w:val="none"/>
                <w:lang w:val="en-US" w:eastAsia="zh-CN"/>
              </w:rPr>
              <w:t>铜、锌、</w:t>
            </w:r>
            <w:r>
              <w:rPr>
                <w:rFonts w:hint="default" w:ascii="Times New Roman" w:hAnsi="Times New Roman" w:eastAsia="宋体" w:cs="Times New Roman"/>
                <w:i w:val="0"/>
                <w:iCs w:val="0"/>
                <w:sz w:val="21"/>
                <w:szCs w:val="21"/>
                <w:highlight w:val="none"/>
                <w:lang w:val="en-US" w:eastAsia="zh-CN"/>
              </w:rPr>
              <w:t>铬（六价）、</w:t>
            </w:r>
            <w:r>
              <w:rPr>
                <w:rFonts w:hint="default" w:ascii="Times New Roman" w:hAnsi="Times New Roman" w:eastAsia="宋体" w:cs="Times New Roman"/>
                <w:sz w:val="21"/>
                <w:szCs w:val="21"/>
                <w:highlight w:val="none"/>
                <w:lang w:val="en-US" w:eastAsia="zh-CN"/>
              </w:rPr>
              <w:t>耗氧量、</w:t>
            </w:r>
            <w:r>
              <w:rPr>
                <w:rFonts w:hint="default" w:ascii="Times New Roman" w:hAnsi="Times New Roman" w:eastAsia="宋体" w:cs="Times New Roman"/>
                <w:kern w:val="2"/>
                <w:sz w:val="21"/>
                <w:szCs w:val="21"/>
                <w:highlight w:val="none"/>
                <w:lang w:val="en-US" w:eastAsia="zh-CN" w:bidi="ar-SA"/>
              </w:rPr>
              <w:t>镉、氯化物、</w:t>
            </w:r>
            <w:r>
              <w:rPr>
                <w:rFonts w:hint="default" w:ascii="Times New Roman" w:hAnsi="Times New Roman" w:eastAsia="宋体" w:cs="Times New Roman"/>
                <w:kern w:val="0"/>
                <w:sz w:val="21"/>
                <w:szCs w:val="21"/>
                <w:highlight w:val="none"/>
                <w:lang w:val="en-US" w:eastAsia="zh-CN" w:bidi="ar"/>
              </w:rPr>
              <w:t>铝、钠、碘化物、</w:t>
            </w:r>
            <w:r>
              <w:rPr>
                <w:rFonts w:hint="default" w:ascii="Times New Roman" w:hAnsi="Times New Roman" w:eastAsia="宋体" w:cs="Times New Roman"/>
                <w:kern w:val="0"/>
                <w:sz w:val="21"/>
                <w:szCs w:val="21"/>
                <w:highlight w:val="none"/>
                <w:lang w:bidi="ar"/>
              </w:rPr>
              <w:t>硒</w:t>
            </w:r>
            <w:r>
              <w:rPr>
                <w:rFonts w:hint="default" w:ascii="Times New Roman" w:hAnsi="Times New Roman" w:eastAsia="宋体" w:cs="Times New Roman"/>
                <w:kern w:val="0"/>
                <w:sz w:val="21"/>
                <w:szCs w:val="21"/>
                <w:highlight w:val="none"/>
                <w:lang w:eastAsia="zh-CN" w:bidi="ar"/>
              </w:rPr>
              <w:t>、</w:t>
            </w:r>
            <w:r>
              <w:rPr>
                <w:rFonts w:hint="default" w:ascii="Times New Roman" w:hAnsi="Times New Roman" w:eastAsia="宋体" w:cs="Times New Roman"/>
                <w:color w:val="000000"/>
                <w:kern w:val="0"/>
                <w:sz w:val="21"/>
                <w:szCs w:val="21"/>
                <w:highlight w:val="none"/>
                <w:lang w:val="en-US" w:eastAsia="zh-CN" w:bidi="ar"/>
              </w:rPr>
              <w:t>三氯甲烷、四氯化碳、溶解氧、化学需氧量（CODcr）、总有机碳、</w:t>
            </w:r>
            <w:r>
              <w:rPr>
                <w:rFonts w:hint="default" w:ascii="Times New Roman" w:hAnsi="Times New Roman" w:eastAsia="宋体" w:cs="Times New Roman"/>
                <w:kern w:val="2"/>
                <w:sz w:val="21"/>
                <w:szCs w:val="21"/>
                <w:highlight w:val="none"/>
                <w:lang w:val="en-US" w:eastAsia="zh-CN" w:bidi="ar-SA"/>
              </w:rPr>
              <w:t>萘、悬浮物、</w:t>
            </w:r>
            <w:r>
              <w:rPr>
                <w:rFonts w:hint="default" w:ascii="Times New Roman" w:hAnsi="Times New Roman" w:eastAsia="宋体" w:cs="Times New Roman"/>
                <w:sz w:val="21"/>
                <w:szCs w:val="21"/>
                <w:highlight w:val="none"/>
                <w:lang w:val="en-US" w:eastAsia="zh-CN"/>
              </w:rPr>
              <w:t>苯、</w:t>
            </w:r>
            <w:r>
              <w:rPr>
                <w:rFonts w:hint="default" w:ascii="Times New Roman" w:hAnsi="Times New Roman" w:eastAsia="宋体" w:cs="Times New Roman"/>
                <w:kern w:val="2"/>
                <w:sz w:val="21"/>
                <w:szCs w:val="21"/>
                <w:highlight w:val="none"/>
                <w:lang w:val="en-US" w:eastAsia="zh-CN" w:bidi="ar-SA"/>
              </w:rPr>
              <w:t>甲苯、邻二甲苯间，对-二甲苯、碳酸根、碳酸氢根、石油烃（C6-C9）、石油烃（C10-C40）、钾、钙、镁、总大肠菌群、乙苯、菌落总数</w:t>
            </w:r>
          </w:p>
        </w:tc>
        <w:tc>
          <w:tcPr>
            <w:tcW w:w="0" w:type="auto"/>
            <w:noWrap w:val="0"/>
            <w:vAlign w:val="center"/>
          </w:tcPr>
          <w:p>
            <w:pPr>
              <w:spacing w:line="300" w:lineRule="exact"/>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《地下水质量标准》（GBT14848-2017）Ⅲ类石油类（总量）参考</w:t>
            </w:r>
          </w:p>
          <w:p>
            <w:pPr>
              <w:spacing w:line="300" w:lineRule="exact"/>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《生活饮用水卫生标准》（GB5749-2022）</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GBT14848-2017</w:t>
            </w:r>
          </w:p>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/GB5749-2022</w:t>
            </w:r>
          </w:p>
        </w:tc>
        <w:tc>
          <w:tcPr>
            <w:tcW w:w="0" w:type="auto"/>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Ⅲ类标准限制</w:t>
            </w:r>
          </w:p>
        </w:tc>
      </w:tr>
    </w:tbl>
    <w:p>
      <w:pPr>
        <w:widowControl/>
        <w:jc w:val="center"/>
        <w:outlineLvl w:val="0"/>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b/>
          <w:sz w:val="28"/>
          <w:szCs w:val="28"/>
        </w:rPr>
        <w:br w:type="page"/>
      </w:r>
      <w:bookmarkStart w:id="43" w:name="_Toc25946"/>
      <w:r>
        <w:rPr>
          <w:rFonts w:hint="default" w:ascii="Times New Roman" w:hAnsi="Times New Roman" w:eastAsia="宋体" w:cs="Times New Roman"/>
          <w:b/>
          <w:color w:val="auto"/>
          <w:sz w:val="32"/>
          <w:szCs w:val="32"/>
          <w:highlight w:val="none"/>
        </w:rPr>
        <w:t>7、验收监测内容</w:t>
      </w:r>
      <w:bookmarkEnd w:id="43"/>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4" w:name="_Toc15397"/>
      <w:bookmarkStart w:id="45" w:name="_Toc4383"/>
      <w:r>
        <w:rPr>
          <w:rFonts w:hint="default" w:ascii="Times New Roman" w:hAnsi="Times New Roman" w:eastAsia="宋体" w:cs="Times New Roman"/>
          <w:b/>
          <w:sz w:val="28"/>
          <w:szCs w:val="32"/>
        </w:rPr>
        <w:t>7.1环境保护设施调试效果</w:t>
      </w:r>
      <w:bookmarkEnd w:id="44"/>
      <w:bookmarkEnd w:id="45"/>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为核查该工程主要污染源和污染物及环保设施运转情况，确定本次验收主要监测内容为厂界噪声、</w:t>
      </w:r>
      <w:r>
        <w:rPr>
          <w:rFonts w:hint="default" w:ascii="Times New Roman" w:hAnsi="Times New Roman" w:eastAsia="宋体" w:cs="Times New Roman"/>
          <w:color w:val="000000"/>
          <w:sz w:val="24"/>
          <w:szCs w:val="28"/>
          <w:lang w:val="en-US" w:eastAsia="zh-CN"/>
        </w:rPr>
        <w:t>油气回收处理系统</w:t>
      </w:r>
      <w:r>
        <w:rPr>
          <w:rFonts w:hint="default" w:ascii="Times New Roman" w:hAnsi="Times New Roman" w:eastAsia="宋体" w:cs="Times New Roman"/>
          <w:color w:val="000000"/>
          <w:sz w:val="24"/>
          <w:szCs w:val="28"/>
        </w:rPr>
        <w:t>、无组织废气</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地下水</w:t>
      </w:r>
      <w:r>
        <w:rPr>
          <w:rFonts w:hint="default" w:ascii="Times New Roman" w:hAnsi="Times New Roman" w:eastAsia="宋体" w:cs="Times New Roman"/>
          <w:color w:val="000000"/>
          <w:sz w:val="24"/>
          <w:szCs w:val="28"/>
        </w:rPr>
        <w:t>。</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7.1.1废气</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7.1.1.</w:t>
      </w:r>
      <w:r>
        <w:rPr>
          <w:rFonts w:hint="default" w:ascii="Times New Roman" w:hAnsi="Times New Roman" w:eastAsia="宋体" w:cs="Times New Roman"/>
          <w:b/>
          <w:sz w:val="24"/>
          <w:szCs w:val="32"/>
          <w:lang w:val="en-US" w:eastAsia="zh-CN"/>
        </w:rPr>
        <w:t>1</w:t>
      </w:r>
      <w:r>
        <w:rPr>
          <w:rFonts w:hint="default" w:ascii="Times New Roman" w:hAnsi="Times New Roman" w:eastAsia="宋体" w:cs="Times New Roman"/>
          <w:b/>
          <w:sz w:val="24"/>
          <w:szCs w:val="32"/>
        </w:rPr>
        <w:t>无组织废气监测</w:t>
      </w:r>
    </w:p>
    <w:p>
      <w:pPr>
        <w:pStyle w:val="3"/>
        <w:spacing w:after="0" w:line="360" w:lineRule="auto"/>
        <w:ind w:left="0" w:firstLine="480" w:firstLineChars="200"/>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rPr>
        <w:t>该项目产生的无组织废气污染物主要为油罐大小呼吸、卸油、加油机作业过程中挥发的油气以及进出加油站的车辆排放的尾气</w:t>
      </w:r>
      <w:r>
        <w:rPr>
          <w:rFonts w:hint="default" w:ascii="Times New Roman" w:hAnsi="Times New Roman" w:eastAsia="宋体" w:cs="Times New Roman"/>
          <w:color w:val="000000"/>
          <w:sz w:val="24"/>
          <w:szCs w:val="28"/>
          <w:lang w:eastAsia="zh-CN"/>
        </w:rPr>
        <w:t>。</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1、监测点位</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根据监测</w:t>
      </w:r>
      <w:r>
        <w:rPr>
          <w:rFonts w:hint="default" w:ascii="Times New Roman" w:hAnsi="Times New Roman" w:eastAsia="宋体" w:cs="Times New Roman"/>
          <w:color w:val="000000"/>
          <w:sz w:val="24"/>
          <w:szCs w:val="28"/>
          <w:highlight w:val="none"/>
        </w:rPr>
        <w:t>期间气象条件设定，</w:t>
      </w:r>
      <w:r>
        <w:rPr>
          <w:rFonts w:hint="default" w:ascii="Times New Roman" w:hAnsi="Times New Roman" w:eastAsia="宋体" w:cs="Times New Roman"/>
          <w:color w:val="000000"/>
          <w:sz w:val="24"/>
          <w:szCs w:val="28"/>
        </w:rPr>
        <w:t>厂界上风向设置1个参照点，下风向3个监测点，项目厂界废气监测点位布置图。</w:t>
      </w:r>
    </w:p>
    <w:p>
      <w:pPr>
        <w:pStyle w:val="3"/>
        <w:spacing w:after="0" w:line="360" w:lineRule="auto"/>
        <w:ind w:left="0" w:firstLine="420" w:firstLineChars="200"/>
        <w:jc w:val="center"/>
        <w:rPr>
          <w:rFonts w:hint="default" w:ascii="Times New Roman" w:hAnsi="Times New Roman" w:eastAsia="宋体" w:cs="Times New Roman"/>
          <w:color w:val="000000"/>
          <w:sz w:val="24"/>
          <w:szCs w:val="28"/>
        </w:rPr>
      </w:pPr>
      <w:r>
        <w:rPr>
          <w:rFonts w:hint="default" w:ascii="Times New Roman" w:hAnsi="Times New Roman" w:eastAsia="宋体" w:cs="Times New Roman"/>
        </w:rPr>
        <w:drawing>
          <wp:inline distT="0" distB="0" distL="114300" distR="114300">
            <wp:extent cx="5269230" cy="2486660"/>
            <wp:effectExtent l="0" t="0" r="7620" b="8890"/>
            <wp:docPr id="5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2"/>
                    <pic:cNvPicPr>
                      <a:picLocks noChangeAspect="1"/>
                    </pic:cNvPicPr>
                  </pic:nvPicPr>
                  <pic:blipFill>
                    <a:blip r:embed="rId29"/>
                    <a:stretch>
                      <a:fillRect/>
                    </a:stretch>
                  </pic:blipFill>
                  <pic:spPr>
                    <a:xfrm>
                      <a:off x="0" y="0"/>
                      <a:ext cx="5269230" cy="2486660"/>
                    </a:xfrm>
                    <a:prstGeom prst="rect">
                      <a:avLst/>
                    </a:prstGeom>
                    <a:noFill/>
                    <a:ln>
                      <a:noFill/>
                    </a:ln>
                  </pic:spPr>
                </pic:pic>
              </a:graphicData>
            </a:graphic>
          </wp:inline>
        </w:drawing>
      </w:r>
    </w:p>
    <w:p>
      <w:pPr>
        <w:pStyle w:val="3"/>
        <w:spacing w:after="0" w:line="360" w:lineRule="auto"/>
        <w:jc w:val="center"/>
        <w:rPr>
          <w:rFonts w:hint="default" w:ascii="Times New Roman" w:hAnsi="Times New Roman" w:eastAsia="宋体" w:cs="Times New Roman"/>
          <w:b/>
          <w:bCs w:val="0"/>
          <w:color w:val="000000"/>
          <w:sz w:val="24"/>
          <w:szCs w:val="24"/>
          <w:lang w:val="en-US" w:eastAsia="zh-CN"/>
        </w:rPr>
      </w:pPr>
      <w:r>
        <w:rPr>
          <w:rFonts w:hint="default" w:ascii="Times New Roman" w:hAnsi="Times New Roman" w:eastAsia="宋体" w:cs="Times New Roman"/>
          <w:b/>
          <w:bCs w:val="0"/>
          <w:color w:val="000000"/>
          <w:sz w:val="24"/>
          <w:szCs w:val="24"/>
          <w:lang w:val="en-US" w:eastAsia="zh-CN"/>
        </w:rPr>
        <w:t>图7.1.1无组织监测点位示意图</w:t>
      </w:r>
    </w:p>
    <w:p>
      <w:pPr>
        <w:pStyle w:val="3"/>
        <w:spacing w:after="0" w:line="360" w:lineRule="auto"/>
        <w:jc w:val="left"/>
        <w:rPr>
          <w:rFonts w:hint="default" w:ascii="Times New Roman" w:hAnsi="Times New Roman" w:eastAsia="宋体" w:cs="Times New Roman"/>
          <w:color w:val="000000"/>
          <w:sz w:val="24"/>
          <w:szCs w:val="28"/>
        </w:rPr>
      </w:pPr>
      <w:r>
        <w:rPr>
          <w:rFonts w:hint="default" w:ascii="Times New Roman" w:hAnsi="Times New Roman" w:eastAsia="宋体" w:cs="Times New Roman"/>
        </w:rPr>
        <w:drawing>
          <wp:anchor distT="0" distB="0" distL="114300" distR="114300" simplePos="0" relativeHeight="251660288" behindDoc="0" locked="0" layoutInCell="1" allowOverlap="1">
            <wp:simplePos x="0" y="0"/>
            <wp:positionH relativeFrom="column">
              <wp:posOffset>3916045</wp:posOffset>
            </wp:positionH>
            <wp:positionV relativeFrom="paragraph">
              <wp:posOffset>4638675</wp:posOffset>
            </wp:positionV>
            <wp:extent cx="1171575" cy="171450"/>
            <wp:effectExtent l="0" t="0" r="9525" b="0"/>
            <wp:wrapNone/>
            <wp:docPr id="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
                    <pic:cNvPicPr>
                      <a:picLocks noChangeAspect="1"/>
                    </pic:cNvPicPr>
                  </pic:nvPicPr>
                  <pic:blipFill>
                    <a:blip r:embed="rId30"/>
                    <a:stretch>
                      <a:fillRect/>
                    </a:stretch>
                  </pic:blipFill>
                  <pic:spPr>
                    <a:xfrm>
                      <a:off x="0" y="0"/>
                      <a:ext cx="1171575" cy="171450"/>
                    </a:xfrm>
                    <a:prstGeom prst="rect">
                      <a:avLst/>
                    </a:prstGeom>
                    <a:noFill/>
                    <a:ln>
                      <a:noFill/>
                    </a:ln>
                  </pic:spPr>
                </pic:pic>
              </a:graphicData>
            </a:graphic>
          </wp:anchor>
        </w:drawing>
      </w:r>
      <w:r>
        <w:rPr>
          <w:rFonts w:hint="default" w:ascii="Times New Roman" w:hAnsi="Times New Roman" w:eastAsia="宋体" w:cs="Times New Roman"/>
          <w:b/>
          <w:color w:val="FF0000"/>
          <w:szCs w:val="21"/>
          <w:lang w:val="en-US" w:eastAsia="zh-CN"/>
        </w:rPr>
        <w:t xml:space="preserve"> </w:t>
      </w:r>
      <w:r>
        <w:rPr>
          <w:rFonts w:hint="default"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rPr>
        <w:t>、监测时间与频次</w:t>
      </w:r>
    </w:p>
    <w:p>
      <w:pPr>
        <w:pStyle w:val="3"/>
        <w:spacing w:after="0" w:line="360" w:lineRule="auto"/>
        <w:ind w:left="479" w:leftChars="228" w:firstLine="0" w:firstLineChars="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废气于202</w:t>
      </w:r>
      <w:r>
        <w:rPr>
          <w:rFonts w:hint="default"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rPr>
        <w:t>年</w:t>
      </w:r>
      <w:r>
        <w:rPr>
          <w:rFonts w:hint="default"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highlight w:val="none"/>
        </w:rPr>
        <w:t>月</w:t>
      </w:r>
      <w:r>
        <w:rPr>
          <w:rFonts w:hint="default" w:ascii="Times New Roman" w:hAnsi="Times New Roman" w:eastAsia="宋体" w:cs="Times New Roman"/>
          <w:color w:val="000000"/>
          <w:sz w:val="24"/>
          <w:szCs w:val="28"/>
          <w:highlight w:val="none"/>
          <w:lang w:val="en-US" w:eastAsia="zh-CN"/>
        </w:rPr>
        <w:t>02</w:t>
      </w:r>
      <w:r>
        <w:rPr>
          <w:rFonts w:hint="default" w:ascii="Times New Roman" w:hAnsi="Times New Roman" w:eastAsia="宋体" w:cs="Times New Roman"/>
          <w:color w:val="000000"/>
          <w:sz w:val="24"/>
          <w:szCs w:val="28"/>
          <w:highlight w:val="none"/>
        </w:rPr>
        <w:t>日~</w:t>
      </w:r>
      <w:r>
        <w:rPr>
          <w:rFonts w:hint="default" w:ascii="Times New Roman" w:hAnsi="Times New Roman" w:eastAsia="宋体" w:cs="Times New Roman"/>
          <w:color w:val="000000"/>
          <w:sz w:val="24"/>
          <w:szCs w:val="28"/>
          <w:highlight w:val="none"/>
          <w:lang w:val="en-US" w:eastAsia="zh-CN"/>
        </w:rPr>
        <w:t>01</w:t>
      </w:r>
      <w:r>
        <w:rPr>
          <w:rFonts w:hint="default" w:ascii="Times New Roman" w:hAnsi="Times New Roman" w:eastAsia="宋体" w:cs="Times New Roman"/>
          <w:color w:val="000000"/>
          <w:sz w:val="24"/>
          <w:szCs w:val="28"/>
          <w:highlight w:val="none"/>
        </w:rPr>
        <w:t>月</w:t>
      </w:r>
      <w:r>
        <w:rPr>
          <w:rFonts w:hint="default" w:ascii="Times New Roman" w:hAnsi="Times New Roman" w:eastAsia="宋体" w:cs="Times New Roman"/>
          <w:color w:val="000000"/>
          <w:sz w:val="24"/>
          <w:szCs w:val="28"/>
          <w:highlight w:val="none"/>
          <w:lang w:val="en-US" w:eastAsia="zh-CN"/>
        </w:rPr>
        <w:t>03</w:t>
      </w:r>
      <w:r>
        <w:rPr>
          <w:rFonts w:hint="default" w:ascii="Times New Roman" w:hAnsi="Times New Roman" w:eastAsia="宋体" w:cs="Times New Roman"/>
          <w:color w:val="000000"/>
          <w:sz w:val="24"/>
          <w:szCs w:val="28"/>
          <w:highlight w:val="none"/>
        </w:rPr>
        <w:t>日</w:t>
      </w:r>
      <w:r>
        <w:rPr>
          <w:rFonts w:hint="default" w:ascii="Times New Roman" w:hAnsi="Times New Roman" w:eastAsia="宋体" w:cs="Times New Roman"/>
          <w:color w:val="000000"/>
          <w:sz w:val="24"/>
          <w:szCs w:val="28"/>
        </w:rPr>
        <w:t>连续监测2天，每天昼间各监测3次。</w:t>
      </w:r>
      <w:r>
        <w:rPr>
          <w:rFonts w:hint="default"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、监测技术规范及使用仪器</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8"/>
        </w:rPr>
        <w:t>监测技术规范及使用仪器见</w:t>
      </w:r>
      <w:r>
        <w:rPr>
          <w:rFonts w:hint="default" w:ascii="Times New Roman" w:hAnsi="Times New Roman" w:eastAsia="宋体" w:cs="Times New Roman"/>
          <w:color w:val="000000"/>
          <w:sz w:val="24"/>
          <w:szCs w:val="24"/>
        </w:rPr>
        <w:t>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表7-1  监测项目、方法及仪器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1326"/>
        <w:gridCol w:w="2954"/>
        <w:gridCol w:w="1606"/>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blHeader/>
          <w:jc w:val="center"/>
        </w:trPr>
        <w:tc>
          <w:tcPr>
            <w:tcW w:w="804"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检测类别</w:t>
            </w:r>
          </w:p>
        </w:tc>
        <w:tc>
          <w:tcPr>
            <w:tcW w:w="778"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检测项目</w:t>
            </w:r>
          </w:p>
        </w:tc>
        <w:tc>
          <w:tcPr>
            <w:tcW w:w="1733" w:type="pct"/>
            <w:noWrap w:val="0"/>
            <w:vAlign w:val="center"/>
          </w:tcPr>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主要</w:t>
            </w:r>
            <w:r>
              <w:rPr>
                <w:rFonts w:hint="default" w:ascii="Times New Roman" w:hAnsi="Times New Roman" w:eastAsia="宋体" w:cs="Times New Roman"/>
                <w:b/>
                <w:color w:val="000000"/>
                <w:sz w:val="21"/>
                <w:szCs w:val="21"/>
              </w:rPr>
              <w:t>仪器设备</w:t>
            </w:r>
            <w:r>
              <w:rPr>
                <w:rFonts w:hint="default" w:ascii="Times New Roman" w:hAnsi="Times New Roman" w:eastAsia="宋体" w:cs="Times New Roman"/>
                <w:b/>
                <w:color w:val="000000"/>
                <w:sz w:val="21"/>
                <w:szCs w:val="21"/>
                <w:lang w:val="en-US" w:eastAsia="zh-CN"/>
              </w:rPr>
              <w:t>及</w:t>
            </w:r>
          </w:p>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编号</w:t>
            </w:r>
          </w:p>
        </w:tc>
        <w:tc>
          <w:tcPr>
            <w:tcW w:w="942" w:type="pct"/>
            <w:noWrap w:val="0"/>
            <w:vAlign w:val="center"/>
          </w:tcPr>
          <w:p>
            <w:pPr>
              <w:adjustRightInd w:val="0"/>
              <w:snapToGrid w:val="0"/>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方法依据</w:t>
            </w:r>
          </w:p>
        </w:tc>
        <w:tc>
          <w:tcPr>
            <w:tcW w:w="741" w:type="pct"/>
            <w:noWrap w:val="0"/>
            <w:vAlign w:val="center"/>
          </w:tcPr>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804" w:type="pct"/>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p>
            <w:pPr>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auto"/>
                <w:sz w:val="21"/>
                <w:szCs w:val="21"/>
                <w:lang w:val="en-US" w:eastAsia="zh-CN"/>
              </w:rPr>
              <w:t>废气</w:t>
            </w:r>
          </w:p>
        </w:tc>
        <w:tc>
          <w:tcPr>
            <w:tcW w:w="778" w:type="pct"/>
            <w:noWrap w:val="0"/>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非甲烷总烃</w:t>
            </w:r>
          </w:p>
        </w:tc>
        <w:tc>
          <w:tcPr>
            <w:tcW w:w="1733" w:type="pct"/>
            <w:noWrap w:val="0"/>
            <w:vAlign w:val="center"/>
          </w:tcPr>
          <w:p>
            <w:pPr>
              <w:spacing w:line="240" w:lineRule="exac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 xml:space="preserve">气相色谱仪 </w:t>
            </w:r>
          </w:p>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sz w:val="21"/>
                <w:szCs w:val="21"/>
                <w:highlight w:val="none"/>
                <w:lang w:val="en-US" w:eastAsia="zh-CN"/>
              </w:rPr>
              <w:t>THYQ-032</w:t>
            </w:r>
          </w:p>
        </w:tc>
        <w:tc>
          <w:tcPr>
            <w:tcW w:w="942" w:type="pct"/>
            <w:noWrap w:val="0"/>
            <w:vAlign w:val="center"/>
          </w:tcPr>
          <w:p>
            <w:pPr>
              <w:spacing w:line="240" w:lineRule="exac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604-2017</w:t>
            </w:r>
          </w:p>
          <w:p>
            <w:pPr>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000000"/>
                <w:sz w:val="21"/>
                <w:szCs w:val="21"/>
                <w:highlight w:val="none"/>
                <w:lang w:val="en-US" w:eastAsia="zh-CN"/>
              </w:rPr>
              <w:t xml:space="preserve"> 气相色谱法</w:t>
            </w:r>
          </w:p>
        </w:tc>
        <w:tc>
          <w:tcPr>
            <w:tcW w:w="741" w:type="pct"/>
            <w:noWrap w:val="0"/>
            <w:vAlign w:val="center"/>
          </w:tcPr>
          <w:p>
            <w:pPr>
              <w:spacing w:line="240" w:lineRule="exact"/>
              <w:jc w:val="center"/>
              <w:rPr>
                <w:rFonts w:hint="default" w:ascii="Times New Roman" w:hAnsi="Times New Roman" w:eastAsia="宋体" w:cs="Times New Roman"/>
                <w:color w:val="auto"/>
                <w:kern w:val="2"/>
                <w:sz w:val="21"/>
                <w:szCs w:val="21"/>
                <w:shd w:val="clear" w:color="auto" w:fill="FFFFFF"/>
                <w:lang w:val="en-US" w:eastAsia="zh-CN" w:bidi="ar-SA"/>
              </w:rPr>
            </w:pPr>
            <w:r>
              <w:rPr>
                <w:rFonts w:hint="default" w:ascii="Times New Roman" w:hAnsi="Times New Roman" w:eastAsia="宋体" w:cs="Times New Roman"/>
                <w:color w:val="000000"/>
                <w:sz w:val="21"/>
                <w:szCs w:val="21"/>
                <w:highlight w:val="none"/>
                <w:lang w:val="en-US" w:eastAsia="zh-CN"/>
              </w:rPr>
              <w:t>0.07 mg/m</w:t>
            </w:r>
            <w:r>
              <w:rPr>
                <w:rFonts w:hint="default" w:ascii="Times New Roman" w:hAnsi="Times New Roman" w:eastAsia="宋体" w:cs="Times New Roman"/>
                <w:color w:val="000000"/>
                <w:sz w:val="21"/>
                <w:szCs w:val="21"/>
                <w:highlight w:val="none"/>
                <w:vertAlign w:val="superscript"/>
                <w:lang w:val="en-US" w:eastAsia="zh-CN"/>
              </w:rPr>
              <w:t>3</w:t>
            </w:r>
          </w:p>
        </w:tc>
      </w:tr>
    </w:tbl>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 xml:space="preserve">                                 </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、监测期间气象参</w:t>
      </w:r>
      <w:r>
        <w:rPr>
          <w:rFonts w:hint="default" w:ascii="Times New Roman" w:hAnsi="Times New Roman" w:eastAsia="宋体" w:cs="Times New Roman"/>
          <w:color w:val="000000"/>
          <w:sz w:val="24"/>
          <w:szCs w:val="24"/>
        </w:rPr>
        <w:t>数汇总</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表7-2  监测期间气象参数汇总</w:t>
      </w:r>
    </w:p>
    <w:tbl>
      <w:tblPr>
        <w:tblStyle w:val="24"/>
        <w:tblW w:w="90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8"/>
        <w:gridCol w:w="1182"/>
        <w:gridCol w:w="1079"/>
        <w:gridCol w:w="1348"/>
        <w:gridCol w:w="1121"/>
        <w:gridCol w:w="1080"/>
        <w:gridCol w:w="1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1" w:hRule="atLeast"/>
          <w:jc w:val="center"/>
        </w:trPr>
        <w:tc>
          <w:tcPr>
            <w:tcW w:w="2660" w:type="dxa"/>
            <w:gridSpan w:val="2"/>
            <w:tcBorders>
              <w:tl2br w:val="single" w:color="auto" w:sz="4" w:space="0"/>
            </w:tcBorders>
            <w:noWrap w:val="0"/>
            <w:vAlign w:val="center"/>
          </w:tcPr>
          <w:p>
            <w:pPr>
              <w:pStyle w:val="71"/>
              <w:jc w:val="righ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气象条件</w:t>
            </w:r>
          </w:p>
          <w:p>
            <w:pPr>
              <w:pStyle w:val="71"/>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日期、时间</w:t>
            </w:r>
          </w:p>
        </w:tc>
        <w:tc>
          <w:tcPr>
            <w:tcW w:w="1079" w:type="dxa"/>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气温</w:t>
            </w:r>
          </w:p>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348" w:type="dxa"/>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气压</w:t>
            </w:r>
          </w:p>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(kPa)</w:t>
            </w:r>
          </w:p>
        </w:tc>
        <w:tc>
          <w:tcPr>
            <w:tcW w:w="1121" w:type="dxa"/>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风速</w:t>
            </w:r>
          </w:p>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(m/s)</w:t>
            </w:r>
          </w:p>
        </w:tc>
        <w:tc>
          <w:tcPr>
            <w:tcW w:w="1080" w:type="dxa"/>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风向</w:t>
            </w:r>
          </w:p>
        </w:tc>
        <w:tc>
          <w:tcPr>
            <w:tcW w:w="1792" w:type="dxa"/>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天气情况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2024.01.02</w:t>
            </w: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12:07</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7.8</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102.5</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t>
            </w:r>
          </w:p>
        </w:tc>
        <w:tc>
          <w:tcPr>
            <w:tcW w:w="1792" w:type="dxa"/>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continue"/>
            <w:noWrap w:val="0"/>
            <w:vAlign w:val="center"/>
          </w:tcPr>
          <w:p>
            <w:pPr>
              <w:pStyle w:val="71"/>
              <w:rPr>
                <w:rFonts w:hint="default" w:ascii="Times New Roman" w:hAnsi="Times New Roman" w:eastAsia="宋体" w:cs="Times New Roman"/>
                <w:sz w:val="21"/>
                <w:szCs w:val="21"/>
                <w:lang w:val="en-US" w:eastAsia="zh-CN"/>
              </w:rPr>
            </w:pP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13:41</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8.8</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102.4</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t>
            </w:r>
          </w:p>
        </w:tc>
        <w:tc>
          <w:tcPr>
            <w:tcW w:w="1792" w:type="dxa"/>
            <w:vMerge w:val="continue"/>
            <w:noWrap w:val="0"/>
            <w:vAlign w:val="center"/>
          </w:tcPr>
          <w:p>
            <w:pPr>
              <w:pStyle w:val="71"/>
              <w:rPr>
                <w:rFonts w:hint="default" w:ascii="Times New Roman" w:hAnsi="Times New Roman" w:eastAsia="宋体"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continue"/>
            <w:noWrap w:val="0"/>
            <w:vAlign w:val="center"/>
          </w:tcPr>
          <w:p>
            <w:pPr>
              <w:pStyle w:val="71"/>
              <w:rPr>
                <w:rFonts w:hint="default" w:ascii="Times New Roman" w:hAnsi="Times New Roman" w:eastAsia="宋体" w:cs="Times New Roman"/>
                <w:sz w:val="21"/>
                <w:szCs w:val="21"/>
                <w:lang w:val="en-US" w:eastAsia="zh-CN"/>
              </w:rPr>
            </w:pP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14:45</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8.3</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102.3</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t>
            </w:r>
          </w:p>
        </w:tc>
        <w:tc>
          <w:tcPr>
            <w:tcW w:w="1792" w:type="dxa"/>
            <w:vMerge w:val="continue"/>
            <w:noWrap w:val="0"/>
            <w:vAlign w:val="center"/>
          </w:tcPr>
          <w:p>
            <w:pPr>
              <w:pStyle w:val="71"/>
              <w:rPr>
                <w:rFonts w:hint="default" w:ascii="Times New Roman" w:hAnsi="Times New Roman" w:eastAsia="宋体"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2024.01.03</w:t>
            </w: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9:59</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5.9</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102.7</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w:t>
            </w:r>
          </w:p>
        </w:tc>
        <w:tc>
          <w:tcPr>
            <w:tcW w:w="1792" w:type="dxa"/>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continue"/>
            <w:noWrap w:val="0"/>
            <w:vAlign w:val="center"/>
          </w:tcPr>
          <w:p>
            <w:pPr>
              <w:pStyle w:val="71"/>
              <w:rPr>
                <w:rFonts w:hint="default" w:ascii="Times New Roman" w:hAnsi="Times New Roman" w:eastAsia="宋体" w:cs="Times New Roman"/>
                <w:sz w:val="21"/>
                <w:szCs w:val="21"/>
                <w:lang w:val="en-US" w:eastAsia="zh-CN"/>
              </w:rPr>
            </w:pP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11:05</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7.9</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102.6</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w:t>
            </w:r>
          </w:p>
        </w:tc>
        <w:tc>
          <w:tcPr>
            <w:tcW w:w="1792" w:type="dxa"/>
            <w:vMerge w:val="continue"/>
            <w:noWrap w:val="0"/>
            <w:vAlign w:val="center"/>
          </w:tcPr>
          <w:p>
            <w:pPr>
              <w:pStyle w:val="71"/>
              <w:rPr>
                <w:rFonts w:hint="default" w:ascii="Times New Roman" w:hAnsi="Times New Roman" w:eastAsia="宋体"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478" w:type="dxa"/>
            <w:vMerge w:val="continue"/>
            <w:noWrap w:val="0"/>
            <w:vAlign w:val="center"/>
          </w:tcPr>
          <w:p>
            <w:pPr>
              <w:pStyle w:val="71"/>
              <w:rPr>
                <w:rFonts w:hint="default" w:ascii="Times New Roman" w:hAnsi="Times New Roman" w:eastAsia="宋体" w:cs="Times New Roman"/>
                <w:sz w:val="21"/>
                <w:szCs w:val="21"/>
                <w:lang w:val="en-US" w:eastAsia="zh-CN"/>
              </w:rPr>
            </w:pPr>
          </w:p>
        </w:tc>
        <w:tc>
          <w:tcPr>
            <w:tcW w:w="1182" w:type="dxa"/>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12:17</w:t>
            </w:r>
          </w:p>
        </w:tc>
        <w:tc>
          <w:tcPr>
            <w:tcW w:w="1079"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8.8</w:t>
            </w:r>
          </w:p>
        </w:tc>
        <w:tc>
          <w:tcPr>
            <w:tcW w:w="1348"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102.6</w:t>
            </w:r>
          </w:p>
        </w:tc>
        <w:tc>
          <w:tcPr>
            <w:tcW w:w="1121" w:type="dxa"/>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1080"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SW</w:t>
            </w:r>
          </w:p>
        </w:tc>
        <w:tc>
          <w:tcPr>
            <w:tcW w:w="1792" w:type="dxa"/>
            <w:vMerge w:val="continue"/>
            <w:noWrap w:val="0"/>
            <w:vAlign w:val="center"/>
          </w:tcPr>
          <w:p>
            <w:pPr>
              <w:pStyle w:val="71"/>
              <w:rPr>
                <w:rFonts w:hint="default" w:ascii="Times New Roman" w:hAnsi="Times New Roman" w:eastAsia="宋体" w:cs="Times New Roman"/>
                <w:sz w:val="21"/>
                <w:szCs w:val="21"/>
                <w:lang w:val="en-US" w:eastAsia="zh-CN"/>
              </w:rPr>
            </w:pPr>
          </w:p>
        </w:tc>
      </w:tr>
    </w:tbl>
    <w:p>
      <w:pPr>
        <w:pStyle w:val="47"/>
        <w:spacing w:before="240" w:line="360" w:lineRule="auto"/>
        <w:ind w:firstLine="0" w:firstLineChars="0"/>
        <w:jc w:val="left"/>
        <w:rPr>
          <w:rFonts w:hint="default" w:ascii="Times New Roman" w:hAnsi="Times New Roman" w:eastAsia="宋体" w:cs="Times New Roman"/>
          <w:b/>
          <w:sz w:val="24"/>
          <w:szCs w:val="32"/>
          <w:highlight w:val="none"/>
        </w:rPr>
      </w:pPr>
      <w:r>
        <w:rPr>
          <w:rFonts w:hint="default" w:ascii="Times New Roman" w:hAnsi="Times New Roman" w:eastAsia="宋体" w:cs="Times New Roman"/>
          <w:b/>
          <w:sz w:val="24"/>
          <w:szCs w:val="32"/>
          <w:highlight w:val="none"/>
        </w:rPr>
        <w:t>7.1.2噪声监测</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1、监测点位</w:t>
      </w:r>
    </w:p>
    <w:p>
      <w:pPr>
        <w:pStyle w:val="3"/>
        <w:spacing w:after="0" w:line="360" w:lineRule="auto"/>
        <w:ind w:left="0"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在项目区厂界最大噪声处各布设4个厂界噪声监测点位，监测点位见图。</w:t>
      </w:r>
    </w:p>
    <w:p>
      <w:pPr>
        <w:jc w:val="center"/>
        <w:rPr>
          <w:rFonts w:hint="default" w:ascii="Times New Roman" w:hAnsi="Times New Roman" w:eastAsia="宋体" w:cs="Times New Roman"/>
          <w:b/>
          <w:color w:val="FF0000"/>
          <w:szCs w:val="21"/>
        </w:rPr>
      </w:pPr>
      <w:r>
        <w:rPr>
          <w:rFonts w:hint="default" w:ascii="Times New Roman" w:hAnsi="Times New Roman" w:eastAsia="宋体" w:cs="Times New Roman"/>
          <w:b/>
          <w:color w:val="FF0000"/>
          <w:szCs w:val="21"/>
        </w:rPr>
        <mc:AlternateContent>
          <mc:Choice Requires="wpc">
            <w:drawing>
              <wp:inline distT="0" distB="0" distL="114300" distR="114300">
                <wp:extent cx="4372610" cy="2055495"/>
                <wp:effectExtent l="0" t="0" r="0" b="0"/>
                <wp:docPr id="1" name="画布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1" name="文本框 121"/>
                        <wps:cNvSpPr txBox="1"/>
                        <wps:spPr>
                          <a:xfrm>
                            <a:off x="2010067" y="1243848"/>
                            <a:ext cx="903736" cy="349574"/>
                          </a:xfrm>
                          <a:prstGeom prst="rect">
                            <a:avLst/>
                          </a:prstGeom>
                          <a:noFill/>
                          <a:ln>
                            <a:noFill/>
                          </a:ln>
                          <a:effectLst/>
                        </wps:spPr>
                        <wps:txbx>
                          <w:txbxContent>
                            <w:p>
                              <w:pPr>
                                <w:rPr>
                                  <w:rFonts w:ascii="Calibri" w:hAnsi="Calibri" w:eastAsia="宋体" w:cs="Times New Roman"/>
                                  <w:szCs w:val="24"/>
                                </w:rPr>
                              </w:pPr>
                              <w:r>
                                <w:rPr>
                                  <w:rFonts w:hint="eastAsia" w:ascii="Calibri" w:hAnsi="Calibri" w:eastAsia="宋体" w:cs="Times New Roman"/>
                                  <w:szCs w:val="24"/>
                                </w:rPr>
                                <w:t>▲南厂界</w:t>
                              </w:r>
                            </w:p>
                          </w:txbxContent>
                        </wps:txbx>
                        <wps:bodyPr vert="horz" wrap="square" anchor="t" anchorCtr="0" upright="1"/>
                      </wps:wsp>
                      <wps:wsp>
                        <wps:cNvPr id="122" name="直接连接符 122"/>
                        <wps:cNvCnPr/>
                        <wps:spPr>
                          <a:xfrm flipV="1">
                            <a:off x="3942653" y="0"/>
                            <a:ext cx="635" cy="396608"/>
                          </a:xfrm>
                          <a:prstGeom prst="line">
                            <a:avLst/>
                          </a:prstGeom>
                          <a:ln w="57150" cap="flat" cmpd="sng">
                            <a:solidFill>
                              <a:srgbClr val="000000"/>
                            </a:solidFill>
                            <a:prstDash val="solid"/>
                            <a:headEnd type="none" w="med" len="med"/>
                            <a:tailEnd type="triangle" w="med" len="med"/>
                          </a:ln>
                          <a:effectLst/>
                        </wps:spPr>
                        <wps:bodyPr upright="1"/>
                      </wps:wsp>
                      <wps:wsp>
                        <wps:cNvPr id="123" name="文本框 123"/>
                        <wps:cNvSpPr txBox="1"/>
                        <wps:spPr>
                          <a:xfrm>
                            <a:off x="3912803" y="430929"/>
                            <a:ext cx="227998" cy="298091"/>
                          </a:xfrm>
                          <a:prstGeom prst="rect">
                            <a:avLst/>
                          </a:prstGeom>
                          <a:solidFill>
                            <a:srgbClr val="FFFFFF"/>
                          </a:solidFill>
                          <a:ln>
                            <a:noFill/>
                          </a:ln>
                          <a:effectLst/>
                        </wps:spPr>
                        <wps:txbx>
                          <w:txbxContent>
                            <w:p>
                              <w:pPr>
                                <w:rPr>
                                  <w:rFonts w:ascii="Calibri" w:hAnsi="Calibri" w:eastAsia="宋体" w:cs="Times New Roman"/>
                                  <w:szCs w:val="24"/>
                                </w:rPr>
                              </w:pPr>
                              <w:r>
                                <w:rPr>
                                  <w:rFonts w:hint="eastAsia" w:ascii="Calibri" w:hAnsi="Calibri" w:eastAsia="宋体" w:cs="Times New Roman"/>
                                  <w:szCs w:val="24"/>
                                </w:rPr>
                                <w:t>北</w:t>
                              </w:r>
                            </w:p>
                          </w:txbxContent>
                        </wps:txbx>
                        <wps:bodyPr vert="horz" wrap="square" anchor="t" anchorCtr="0" upright="1"/>
                      </wps:wsp>
                      <wps:wsp>
                        <wps:cNvPr id="124" name="文本框 124"/>
                        <wps:cNvSpPr txBox="1"/>
                        <wps:spPr>
                          <a:xfrm>
                            <a:off x="1848753" y="260592"/>
                            <a:ext cx="1073941" cy="296184"/>
                          </a:xfrm>
                          <a:prstGeom prst="rect">
                            <a:avLst/>
                          </a:prstGeom>
                          <a:noFill/>
                          <a:ln>
                            <a:noFill/>
                          </a:ln>
                          <a:effectLst/>
                        </wps:spPr>
                        <wps:txbx>
                          <w:txbxContent>
                            <w:p>
                              <w:pPr>
                                <w:ind w:firstLine="210" w:firstLineChars="100"/>
                                <w:rPr>
                                  <w:rFonts w:ascii="Calibri" w:hAnsi="Calibri" w:eastAsia="宋体" w:cs="Times New Roman"/>
                                  <w:szCs w:val="24"/>
                                </w:rPr>
                              </w:pPr>
                              <w:r>
                                <w:rPr>
                                  <w:rFonts w:hint="eastAsia" w:ascii="Calibri" w:hAnsi="Calibri" w:eastAsia="宋体" w:cs="Times New Roman"/>
                                  <w:szCs w:val="24"/>
                                </w:rPr>
                                <w:t>▲北厂界</w:t>
                              </w:r>
                            </w:p>
                          </w:txbxContent>
                        </wps:txbx>
                        <wps:bodyPr vert="horz" wrap="square" anchor="t" anchorCtr="0" upright="1"/>
                      </wps:wsp>
                      <wps:wsp>
                        <wps:cNvPr id="125" name="文本框 125"/>
                        <wps:cNvSpPr txBox="1"/>
                        <wps:spPr>
                          <a:xfrm>
                            <a:off x="15877" y="1726260"/>
                            <a:ext cx="1829066" cy="297456"/>
                          </a:xfrm>
                          <a:prstGeom prst="rect">
                            <a:avLst/>
                          </a:prstGeom>
                          <a:noFill/>
                          <a:ln>
                            <a:noFill/>
                          </a:ln>
                          <a:effectLst/>
                        </wps:spPr>
                        <wps:txbx>
                          <w:txbxContent>
                            <w:p>
                              <w:pPr>
                                <w:ind w:firstLine="525" w:firstLineChars="250"/>
                                <w:rPr>
                                  <w:rFonts w:ascii="Calibri" w:hAnsi="Calibri" w:eastAsia="宋体" w:cs="Times New Roman"/>
                                  <w:szCs w:val="24"/>
                                </w:rPr>
                              </w:pPr>
                              <w:r>
                                <w:rPr>
                                  <w:rFonts w:hint="eastAsia" w:ascii="Calibri" w:hAnsi="Calibri" w:eastAsia="宋体" w:cs="Times New Roman"/>
                                  <w:szCs w:val="24"/>
                                </w:rPr>
                                <w:t>说明：▲表示监测点位</w:t>
                              </w:r>
                              <w:r>
                                <w:rPr>
                                  <w:rFonts w:ascii="Calibri" w:hAnsi="Calibri" w:eastAsia="宋体" w:cs="Times New Roman"/>
                                  <w:szCs w:val="24"/>
                                </w:rPr>
                                <w:t xml:space="preserve"> </w:t>
                              </w:r>
                            </w:p>
                          </w:txbxContent>
                        </wps:txbx>
                        <wps:bodyPr vert="horz" wrap="square" anchor="t" anchorCtr="0" upright="1"/>
                      </wps:wsp>
                      <wps:wsp>
                        <wps:cNvPr id="126" name="矩形 126"/>
                        <wps:cNvSpPr/>
                        <wps:spPr>
                          <a:xfrm>
                            <a:off x="1675373" y="593640"/>
                            <a:ext cx="1092359" cy="58410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ascii="Calibri" w:hAnsi="Calibri" w:eastAsia="宋体" w:cs="Times New Roman"/>
                                  <w:sz w:val="28"/>
                                  <w:szCs w:val="36"/>
                                </w:rPr>
                              </w:pPr>
                              <w:r>
                                <w:rPr>
                                  <w:rFonts w:hint="eastAsia" w:ascii="Calibri" w:hAnsi="Calibri" w:eastAsia="宋体" w:cs="Times New Roman"/>
                                  <w:sz w:val="28"/>
                                  <w:szCs w:val="36"/>
                                </w:rPr>
                                <w:t>厂区</w:t>
                              </w:r>
                            </w:p>
                          </w:txbxContent>
                        </wps:txbx>
                        <wps:bodyPr vert="horz" wrap="square" anchor="t" anchorCtr="0" upright="1"/>
                      </wps:wsp>
                      <wps:wsp>
                        <wps:cNvPr id="127" name="文本框 127"/>
                        <wps:cNvSpPr txBox="1"/>
                        <wps:spPr>
                          <a:xfrm>
                            <a:off x="2814094" y="729021"/>
                            <a:ext cx="847848" cy="333684"/>
                          </a:xfrm>
                          <a:prstGeom prst="rect">
                            <a:avLst/>
                          </a:prstGeom>
                          <a:solidFill>
                            <a:srgbClr val="FFFFFF">
                              <a:alpha val="0"/>
                            </a:srgbClr>
                          </a:solidFill>
                          <a:ln w="9525" cap="flat" cmpd="sng">
                            <a:solidFill>
                              <a:srgbClr val="FFFFFF"/>
                            </a:solidFill>
                            <a:prstDash val="solid"/>
                            <a:miter/>
                            <a:headEnd type="none" w="med" len="med"/>
                            <a:tailEnd type="none" w="med" len="med"/>
                          </a:ln>
                          <a:effectLst/>
                        </wps:spPr>
                        <wps:txbx>
                          <w:txbxContent>
                            <w:p>
                              <w:pPr>
                                <w:rPr>
                                  <w:rFonts w:ascii="Calibri" w:hAnsi="Calibri" w:eastAsia="宋体" w:cs="Times New Roman"/>
                                  <w:szCs w:val="24"/>
                                </w:rPr>
                              </w:pPr>
                              <w:r>
                                <w:rPr>
                                  <w:rFonts w:hint="eastAsia" w:ascii="Calibri" w:hAnsi="Calibri" w:eastAsia="宋体" w:cs="Times New Roman"/>
                                  <w:szCs w:val="24"/>
                                </w:rPr>
                                <w:t>▲东厂界</w:t>
                              </w:r>
                            </w:p>
                            <w:p>
                              <w:pPr>
                                <w:rPr>
                                  <w:rFonts w:ascii="Calibri" w:hAnsi="Calibri" w:eastAsia="宋体" w:cs="Times New Roman"/>
                                  <w:szCs w:val="24"/>
                                </w:rPr>
                              </w:pPr>
                            </w:p>
                          </w:txbxContent>
                        </wps:txbx>
                        <wps:bodyPr vert="horz" wrap="square" anchor="t" anchorCtr="0" upright="1"/>
                      </wps:wsp>
                      <wps:wsp>
                        <wps:cNvPr id="128" name="文本框 128"/>
                        <wps:cNvSpPr txBox="1"/>
                        <wps:spPr>
                          <a:xfrm>
                            <a:off x="660496" y="729021"/>
                            <a:ext cx="968516" cy="330506"/>
                          </a:xfrm>
                          <a:prstGeom prst="rect">
                            <a:avLst/>
                          </a:prstGeom>
                          <a:solidFill>
                            <a:srgbClr val="FFFFFF">
                              <a:alpha val="0"/>
                            </a:srgbClr>
                          </a:solidFill>
                          <a:ln w="9525" cap="flat" cmpd="sng">
                            <a:solidFill>
                              <a:srgbClr val="FFFFFF"/>
                            </a:solidFill>
                            <a:prstDash val="solid"/>
                            <a:miter/>
                            <a:headEnd type="none" w="med" len="med"/>
                            <a:tailEnd type="none" w="med" len="med"/>
                          </a:ln>
                          <a:effectLst/>
                        </wps:spPr>
                        <wps:txbx>
                          <w:txbxContent>
                            <w:p>
                              <w:pPr>
                                <w:ind w:firstLine="210" w:firstLineChars="100"/>
                                <w:rPr>
                                  <w:rFonts w:ascii="Calibri" w:hAnsi="Calibri" w:eastAsia="宋体" w:cs="Times New Roman"/>
                                  <w:szCs w:val="24"/>
                                </w:rPr>
                              </w:pPr>
                              <w:r>
                                <w:rPr>
                                  <w:rFonts w:hint="eastAsia" w:ascii="Calibri" w:hAnsi="Calibri" w:eastAsia="宋体" w:cs="Times New Roman"/>
                                  <w:szCs w:val="24"/>
                                </w:rPr>
                                <w:t>西厂界▲</w:t>
                              </w:r>
                            </w:p>
                          </w:txbxContent>
                        </wps:txbx>
                        <wps:bodyPr vert="horz" wrap="square" anchor="t" anchorCtr="0" upright="1"/>
                      </wps:wsp>
                    </wpc:wpc>
                  </a:graphicData>
                </a:graphic>
              </wp:inline>
            </w:drawing>
          </mc:Choice>
          <mc:Fallback>
            <w:pict>
              <v:group id="画布 129" o:spid="_x0000_s1026" o:spt="203" style="height:161.85pt;width:344.3pt;" coordsize="4372610,2055495" editas="canvas" o:gfxdata="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">
                <o:lock v:ext="edit" aspectratio="f"/>
                <v:shape id="画布 129" o:spid="_x0000_s1026" style="position:absolute;left:0;top:0;height:2055495;width:4372610;" filled="f" stroked="f" coordsize="21600,21600" o:gfxdata="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">
                  <v:fill on="f" focussize="0,0"/>
                  <v:stroke on="f"/>
                  <v:imagedata o:title=""/>
                  <o:lock v:ext="edit" aspectratio="t"/>
                </v:shape>
                <v:shape id="_x0000_s1026" o:spid="_x0000_s1026" o:spt="202" type="#_x0000_t202" style="position:absolute;left:2010067;top:1243848;height:349574;width:903736;" filled="f" stroked="f" coordsize="21600,21600" o:gfxdata="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xsjHVtQAAAAFAQAADwAAAAAAAAAB&#10;ACAAAAAiAAAAZHJzL2Rvd25yZXYueG1sUEsBAhQAFAAAAAgAh07iQApDQmrbAQAAngMAAA4AAAAA&#10;AAAAAQAgAAAAIwEAAGRycy9lMm9Eb2MueG1sUEsFBgAAAAAGAAYAWQEAAHAFAAAAAA==&#10;">
                  <v:fill on="f" focussize="0,0"/>
                  <v:stroke on="f"/>
                  <v:imagedata o:title=""/>
                  <o:lock v:ext="edit" aspectratio="f"/>
                  <v:textbox>
                    <w:txbxContent>
                      <w:p>
                        <w:pPr>
                          <w:rPr>
                            <w:rFonts w:ascii="Calibri" w:hAnsi="Calibri" w:eastAsia="宋体" w:cs="Times New Roman"/>
                            <w:szCs w:val="24"/>
                          </w:rPr>
                        </w:pPr>
                        <w:r>
                          <w:rPr>
                            <w:rFonts w:hint="eastAsia" w:ascii="Calibri" w:hAnsi="Calibri" w:eastAsia="宋体" w:cs="Times New Roman"/>
                            <w:szCs w:val="24"/>
                          </w:rPr>
                          <w:t>▲南厂界</w:t>
                        </w:r>
                      </w:p>
                    </w:txbxContent>
                  </v:textbox>
                </v:shape>
                <v:line id="_x0000_s1026" o:spid="_x0000_s1026" o:spt="20" style="position:absolute;left:3942653;top:0;flip:y;height:396608;width:635;" filled="f" stroked="t" coordsize="21600,21600" o:gfxdata="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tjMAtQAAAAFAQAADwAAAAAAAAAB&#10;ACAAAAAiAAAAZHJzL2Rvd25yZXYueG1sUEsBAhQAFAAAAAgAh07iQBkvABAUAgAADAQAAA4AAAAA&#10;AAAAAQAgAAAAIwEAAGRycy9lMm9Eb2MueG1sUEsFBgAAAAAGAAYAWQEAAKkFAAAAAA==&#10;">
                  <v:fill on="f" focussize="0,0"/>
                  <v:stroke weight="4.5pt" color="#000000" joinstyle="round" endarrow="block"/>
                  <v:imagedata o:title=""/>
                  <o:lock v:ext="edit" aspectratio="f"/>
                </v:line>
                <v:shape id="_x0000_s1026" o:spid="_x0000_s1026" o:spt="202" type="#_x0000_t202" style="position:absolute;left:3912803;top:430929;height:298091;width:227998;" fillcolor="#FFFFFF" filled="t" stroked="f" coordsize="21600,21600" o:gfxdata="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uw3NzVAAAABQEAAA8AAAAAAAAAAQAgAAAAIgAAAGRycy9kb3ducmV2LnhtbFBLAQIUABQAAAAI&#10;AIdO4kCgD+jy8AEAAMYDAAAOAAAAAAAAAAEAIAAAACQBAABkcnMvZTJvRG9jLnhtbFBLBQYAAAAA&#10;BgAGAFkBAACGBQAAAAA=&#10;">
                  <v:fill on="t" focussize="0,0"/>
                  <v:stroke on="f"/>
                  <v:imagedata o:title=""/>
                  <o:lock v:ext="edit" aspectratio="f"/>
                  <v:textbox>
                    <w:txbxContent>
                      <w:p>
                        <w:pPr>
                          <w:rPr>
                            <w:rFonts w:ascii="Calibri" w:hAnsi="Calibri" w:eastAsia="宋体" w:cs="Times New Roman"/>
                            <w:szCs w:val="24"/>
                          </w:rPr>
                        </w:pPr>
                        <w:r>
                          <w:rPr>
                            <w:rFonts w:hint="eastAsia" w:ascii="Calibri" w:hAnsi="Calibri" w:eastAsia="宋体" w:cs="Times New Roman"/>
                            <w:szCs w:val="24"/>
                          </w:rPr>
                          <w:t>北</w:t>
                        </w:r>
                      </w:p>
                    </w:txbxContent>
                  </v:textbox>
                </v:shape>
                <v:shape id="_x0000_s1026" o:spid="_x0000_s1026" o:spt="202" type="#_x0000_t202" style="position:absolute;left:1848753;top:260592;height:296184;width:1073941;" filled="f" stroked="f" coordsize="21600,21600" o:gfxdata="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bIx1bUAAAABQEAAA8AAAAAAAAA&#10;AQAgAAAAIgAAAGRycy9kb3ducmV2LnhtbFBLAQIUABQAAAAIAIdO4kDWw0S23AEAAJ4DAAAOAAAA&#10;AAAAAAEAIAAAACMBAABkcnMvZTJvRG9jLnhtbFBLBQYAAAAABgAGAFkBAABxBQAAAAA=&#10;">
                  <v:fill on="f" focussize="0,0"/>
                  <v:stroke on="f"/>
                  <v:imagedata o:title=""/>
                  <o:lock v:ext="edit" aspectratio="f"/>
                  <v:textbox>
                    <w:txbxContent>
                      <w:p>
                        <w:pPr>
                          <w:ind w:firstLine="210" w:firstLineChars="100"/>
                          <w:rPr>
                            <w:rFonts w:ascii="Calibri" w:hAnsi="Calibri" w:eastAsia="宋体" w:cs="Times New Roman"/>
                            <w:szCs w:val="24"/>
                          </w:rPr>
                        </w:pPr>
                        <w:r>
                          <w:rPr>
                            <w:rFonts w:hint="eastAsia" w:ascii="Calibri" w:hAnsi="Calibri" w:eastAsia="宋体" w:cs="Times New Roman"/>
                            <w:szCs w:val="24"/>
                          </w:rPr>
                          <w:t>▲北厂界</w:t>
                        </w:r>
                      </w:p>
                    </w:txbxContent>
                  </v:textbox>
                </v:shape>
                <v:shape id="_x0000_s1026" o:spid="_x0000_s1026" o:spt="202" type="#_x0000_t202" style="position:absolute;left:15877;top:1726260;height:297456;width:1829066;" filled="f" stroked="f" coordsize="21600,21600" o:gfxdata="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GyMdW1AAAAAUBAAAPAAAAAAAAAAEA&#10;IAAAACIAAABkcnMvZG93bnJldi54bWxQSwECFAAUAAAACACHTuJA6hGDHtoBAACdAwAADgAAAAAA&#10;AAABACAAAAAjAQAAZHJzL2Uyb0RvYy54bWxQSwUGAAAAAAYABgBZAQAAbwUAAAAA&#10;">
                  <v:fill on="f" focussize="0,0"/>
                  <v:stroke on="f"/>
                  <v:imagedata o:title=""/>
                  <o:lock v:ext="edit" aspectratio="f"/>
                  <v:textbox>
                    <w:txbxContent>
                      <w:p>
                        <w:pPr>
                          <w:ind w:firstLine="525" w:firstLineChars="250"/>
                          <w:rPr>
                            <w:rFonts w:ascii="Calibri" w:hAnsi="Calibri" w:eastAsia="宋体" w:cs="Times New Roman"/>
                            <w:szCs w:val="24"/>
                          </w:rPr>
                        </w:pPr>
                        <w:r>
                          <w:rPr>
                            <w:rFonts w:hint="eastAsia" w:ascii="Calibri" w:hAnsi="Calibri" w:eastAsia="宋体" w:cs="Times New Roman"/>
                            <w:szCs w:val="24"/>
                          </w:rPr>
                          <w:t>说明：▲表示监测点位</w:t>
                        </w:r>
                        <w:r>
                          <w:rPr>
                            <w:rFonts w:ascii="Calibri" w:hAnsi="Calibri" w:eastAsia="宋体" w:cs="Times New Roman"/>
                            <w:szCs w:val="24"/>
                          </w:rPr>
                          <w:t xml:space="preserve"> </w:t>
                        </w:r>
                      </w:p>
                    </w:txbxContent>
                  </v:textbox>
                </v:shape>
                <v:rect id="_x0000_s1026" o:spid="_x0000_s1026" o:spt="1" style="position:absolute;left:1675373;top:593640;height:584106;width:1092359;" fillcolor="#FFFFFF" filled="t" stroked="t" coordsize="21600,21600" o:gfxdata="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73ekQdUAAAAFAQAADwAAAAAAAAABACAAAAAiAAAAZHJzL2Rvd25yZXYueG1s&#10;UEsBAhQAFAAAAAgAh07iQFldQos0AgAAeQQAAA4AAAAAAAAAAQAgAAAAJAEAAGRycy9lMm9Eb2Mu&#10;eG1sUEsFBgAAAAAGAAYAWQEAAMoFAAAAAA==&#10;">
                  <v:fill on="t" focussize="0,0"/>
                  <v:stroke color="#000000" joinstyle="miter"/>
                  <v:imagedata o:title=""/>
                  <o:lock v:ext="edit" aspectratio="f"/>
                  <v:textbox>
                    <w:txbxContent>
                      <w:p>
                        <w:pPr>
                          <w:jc w:val="center"/>
                          <w:rPr>
                            <w:rFonts w:ascii="Calibri" w:hAnsi="Calibri" w:eastAsia="宋体" w:cs="Times New Roman"/>
                            <w:sz w:val="28"/>
                            <w:szCs w:val="36"/>
                          </w:rPr>
                        </w:pPr>
                        <w:r>
                          <w:rPr>
                            <w:rFonts w:hint="eastAsia" w:ascii="Calibri" w:hAnsi="Calibri" w:eastAsia="宋体" w:cs="Times New Roman"/>
                            <w:sz w:val="28"/>
                            <w:szCs w:val="36"/>
                          </w:rPr>
                          <w:t>厂区</w:t>
                        </w:r>
                      </w:p>
                    </w:txbxContent>
                  </v:textbox>
                </v:rect>
                <v:shape id="_x0000_s1026" o:spid="_x0000_s1026" o:spt="202" type="#_x0000_t202" style="position:absolute;left:2814094;top:729021;height:333684;width:847848;" fillcolor="#FFFFFF" filled="t" stroked="t" coordsize="21600,21600" o:gfxdata="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YqXft1gAAAAUBAAAPAAAAAAAAAAEA&#10;IAAAACIAAABkcnMvZG93bnJldi54bWxQSwECFAAUAAAACACHTuJAihQGPkoCAACiBAAADgAAAAAA&#10;AAABACAAAAAlAQAAZHJzL2Uyb0RvYy54bWxQSwUGAAAAAAYABgBZAQAA4QUAAAAA&#10;">
                  <v:fill on="t" opacity="0f" focussize="0,0"/>
                  <v:stroke color="#FFFFFF" joinstyle="miter"/>
                  <v:imagedata o:title=""/>
                  <o:lock v:ext="edit" aspectratio="f"/>
                  <v:textbox>
                    <w:txbxContent>
                      <w:p>
                        <w:pPr>
                          <w:rPr>
                            <w:rFonts w:ascii="Calibri" w:hAnsi="Calibri" w:eastAsia="宋体" w:cs="Times New Roman"/>
                            <w:szCs w:val="24"/>
                          </w:rPr>
                        </w:pPr>
                        <w:r>
                          <w:rPr>
                            <w:rFonts w:hint="eastAsia" w:ascii="Calibri" w:hAnsi="Calibri" w:eastAsia="宋体" w:cs="Times New Roman"/>
                            <w:szCs w:val="24"/>
                          </w:rPr>
                          <w:t>▲东厂界</w:t>
                        </w:r>
                      </w:p>
                      <w:p>
                        <w:pPr>
                          <w:rPr>
                            <w:rFonts w:ascii="Calibri" w:hAnsi="Calibri" w:eastAsia="宋体" w:cs="Times New Roman"/>
                            <w:szCs w:val="24"/>
                          </w:rPr>
                        </w:pPr>
                      </w:p>
                    </w:txbxContent>
                  </v:textbox>
                </v:shape>
                <v:shape id="_x0000_s1026" o:spid="_x0000_s1026" o:spt="202" type="#_x0000_t202" style="position:absolute;left:660496;top:729021;height:330506;width:968516;" fillcolor="#FFFFFF" filled="t" stroked="t" coordsize="21600,21600" o:gfxdata="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YqXft1gAAAAUBAAAPAAAAAAAAAAEAIAAA&#10;ACIAAABkcnMvZG93bnJldi54bWxQSwECFAAUAAAACACHTuJAqDPnHkcCAAChBAAADgAAAAAAAAAB&#10;ACAAAAAlAQAAZHJzL2Uyb0RvYy54bWxQSwUGAAAAAAYABgBZAQAA3gUAAAAA&#10;">
                  <v:fill on="t" opacity="0f" focussize="0,0"/>
                  <v:stroke color="#FFFFFF" joinstyle="miter"/>
                  <v:imagedata o:title=""/>
                  <o:lock v:ext="edit" aspectratio="f"/>
                  <v:textbox>
                    <w:txbxContent>
                      <w:p>
                        <w:pPr>
                          <w:ind w:firstLine="210" w:firstLineChars="100"/>
                          <w:rPr>
                            <w:rFonts w:ascii="Calibri" w:hAnsi="Calibri" w:eastAsia="宋体" w:cs="Times New Roman"/>
                            <w:szCs w:val="24"/>
                          </w:rPr>
                        </w:pPr>
                        <w:r>
                          <w:rPr>
                            <w:rFonts w:hint="eastAsia" w:ascii="Calibri" w:hAnsi="Calibri" w:eastAsia="宋体" w:cs="Times New Roman"/>
                            <w:szCs w:val="24"/>
                          </w:rPr>
                          <w:t>西厂界▲</w:t>
                        </w:r>
                      </w:p>
                    </w:txbxContent>
                  </v:textbox>
                </v:shape>
                <w10:wrap type="none"/>
                <w10:anchorlock/>
              </v:group>
            </w:pict>
          </mc:Fallback>
        </mc:AlternateContent>
      </w:r>
    </w:p>
    <w:p>
      <w:pPr>
        <w:jc w:val="center"/>
        <w:rPr>
          <w:rFonts w:hint="default" w:ascii="Times New Roman" w:hAnsi="Times New Roman" w:eastAsia="宋体" w:cs="Times New Roman"/>
          <w:b/>
          <w:sz w:val="22"/>
          <w:szCs w:val="24"/>
        </w:rPr>
      </w:pPr>
      <w:r>
        <w:rPr>
          <w:rFonts w:hint="default" w:ascii="Times New Roman" w:hAnsi="Times New Roman" w:eastAsia="宋体" w:cs="Times New Roman"/>
          <w:b/>
          <w:sz w:val="22"/>
          <w:szCs w:val="24"/>
        </w:rPr>
        <w:t>图7-2  噪声监测布点图</w:t>
      </w:r>
    </w:p>
    <w:p>
      <w:pPr>
        <w:widowControl/>
        <w:jc w:val="center"/>
        <w:rPr>
          <w:rFonts w:hint="default" w:ascii="Times New Roman" w:hAnsi="Times New Roman" w:eastAsia="宋体" w:cs="Times New Roman"/>
          <w:kern w:val="0"/>
          <w:sz w:val="24"/>
          <w:szCs w:val="24"/>
        </w:rPr>
      </w:pP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2、监测技术规范及使用仪器</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8"/>
        </w:rPr>
        <w:t>监测技术规范及使用仪器见</w:t>
      </w:r>
      <w:r>
        <w:rPr>
          <w:rFonts w:hint="default" w:ascii="Times New Roman" w:hAnsi="Times New Roman" w:eastAsia="宋体" w:cs="Times New Roman"/>
          <w:color w:val="000000"/>
          <w:sz w:val="24"/>
          <w:szCs w:val="24"/>
        </w:rPr>
        <w:t>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表7-3  监测项目、方法及仪器</w:t>
      </w:r>
    </w:p>
    <w:tbl>
      <w:tblPr>
        <w:tblStyle w:val="25"/>
        <w:tblW w:w="96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1427"/>
        <w:gridCol w:w="1603"/>
        <w:gridCol w:w="1592"/>
        <w:gridCol w:w="2344"/>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01"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类别</w:t>
            </w:r>
          </w:p>
        </w:tc>
        <w:tc>
          <w:tcPr>
            <w:tcW w:w="1427"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项目名称</w:t>
            </w:r>
          </w:p>
        </w:tc>
        <w:tc>
          <w:tcPr>
            <w:tcW w:w="1603"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分析方法</w:t>
            </w:r>
          </w:p>
        </w:tc>
        <w:tc>
          <w:tcPr>
            <w:tcW w:w="1592"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方法依据</w:t>
            </w:r>
          </w:p>
        </w:tc>
        <w:tc>
          <w:tcPr>
            <w:tcW w:w="2344"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仪器设备、型号及编号</w:t>
            </w:r>
          </w:p>
        </w:tc>
        <w:tc>
          <w:tcPr>
            <w:tcW w:w="1409" w:type="dxa"/>
            <w:noWrap w:val="0"/>
            <w:vAlign w:val="center"/>
          </w:tcPr>
          <w:p>
            <w:pPr>
              <w:adjustRightInd w:val="0"/>
              <w:snapToGrid w:val="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1" w:type="dxa"/>
            <w:noWrap w:val="0"/>
            <w:vAlign w:val="center"/>
          </w:tcPr>
          <w:p>
            <w:pPr>
              <w:adjustRightInd w:val="0"/>
              <w:snapToGrid w:val="0"/>
              <w:jc w:val="center"/>
              <w:rPr>
                <w:rFonts w:hint="default" w:ascii="Times New Roman" w:hAnsi="Times New Roman" w:eastAsia="宋体" w:cs="Times New Roman"/>
                <w:color w:val="000000"/>
                <w:kern w:val="0"/>
                <w:szCs w:val="21"/>
                <w:lang w:eastAsia="zh-CN"/>
              </w:rPr>
            </w:pPr>
            <w:r>
              <w:rPr>
                <w:rFonts w:hint="default" w:ascii="Times New Roman" w:hAnsi="Times New Roman" w:eastAsia="宋体" w:cs="Times New Roman"/>
                <w:szCs w:val="21"/>
                <w:lang w:val="en-US" w:eastAsia="zh-CN"/>
              </w:rPr>
              <w:t>噪声</w:t>
            </w:r>
          </w:p>
        </w:tc>
        <w:tc>
          <w:tcPr>
            <w:tcW w:w="1427" w:type="dxa"/>
            <w:noWrap w:val="0"/>
            <w:vAlign w:val="center"/>
          </w:tcPr>
          <w:p>
            <w:pPr>
              <w:adjustRightInd w:val="0"/>
              <w:snapToGrid w:val="0"/>
              <w:jc w:val="center"/>
              <w:rPr>
                <w:rFonts w:hint="default" w:ascii="Times New Roman" w:hAnsi="Times New Roman" w:eastAsia="宋体" w:cs="Times New Roman"/>
                <w:color w:val="000000"/>
                <w:kern w:val="0"/>
                <w:sz w:val="22"/>
                <w:szCs w:val="22"/>
                <w:lang w:val="en-US" w:eastAsia="zh-CN" w:bidi="ar"/>
              </w:rPr>
            </w:pPr>
            <w:r>
              <w:rPr>
                <w:rFonts w:hint="default" w:ascii="Times New Roman" w:hAnsi="Times New Roman" w:eastAsia="宋体" w:cs="Times New Roman"/>
                <w:szCs w:val="21"/>
                <w:lang w:val="en-US" w:eastAsia="zh-CN"/>
              </w:rPr>
              <w:t>Leq（A）</w:t>
            </w:r>
          </w:p>
        </w:tc>
        <w:tc>
          <w:tcPr>
            <w:tcW w:w="1603" w:type="dxa"/>
            <w:noWrap w:val="0"/>
            <w:vAlign w:val="center"/>
          </w:tcPr>
          <w:p>
            <w:pPr>
              <w:adjustRightInd w:val="0"/>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szCs w:val="21"/>
                <w:lang w:val="en-US" w:eastAsia="zh-CN"/>
              </w:rPr>
              <w:t>——</w:t>
            </w:r>
          </w:p>
        </w:tc>
        <w:tc>
          <w:tcPr>
            <w:tcW w:w="1592" w:type="dxa"/>
            <w:noWrap w:val="0"/>
            <w:vAlign w:val="center"/>
          </w:tcPr>
          <w:p>
            <w:pPr>
              <w:adjustRightInd w:val="0"/>
              <w:snapToGrid w:val="0"/>
              <w:jc w:val="center"/>
              <w:rPr>
                <w:rFonts w:hint="default" w:ascii="Times New Roman" w:hAnsi="Times New Roman" w:eastAsia="宋体" w:cs="Times New Roman"/>
                <w:color w:val="000000"/>
                <w:kern w:val="0"/>
                <w:sz w:val="22"/>
                <w:szCs w:val="22"/>
                <w:lang w:val="en-US" w:eastAsia="zh-CN" w:bidi="ar"/>
              </w:rPr>
            </w:pPr>
            <w:r>
              <w:rPr>
                <w:rFonts w:hint="default" w:ascii="Times New Roman" w:hAnsi="Times New Roman" w:eastAsia="宋体" w:cs="Times New Roman"/>
                <w:szCs w:val="21"/>
                <w:lang w:val="en-US" w:eastAsia="zh-CN"/>
              </w:rPr>
              <w:t>GB 12348-2008</w:t>
            </w:r>
          </w:p>
        </w:tc>
        <w:tc>
          <w:tcPr>
            <w:tcW w:w="2344" w:type="dxa"/>
            <w:noWrap w:val="0"/>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声校准器HS6020</w:t>
            </w:r>
          </w:p>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SSYQ-02-124</w:t>
            </w:r>
          </w:p>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多功能声级计AWA5688</w:t>
            </w:r>
          </w:p>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SSYQ-02-125</w:t>
            </w:r>
          </w:p>
        </w:tc>
        <w:tc>
          <w:tcPr>
            <w:tcW w:w="1409" w:type="dxa"/>
            <w:noWrap w:val="0"/>
            <w:vAlign w:val="center"/>
          </w:tcPr>
          <w:p>
            <w:pPr>
              <w:snapToGrid w:val="0"/>
              <w:jc w:val="center"/>
              <w:rPr>
                <w:rFonts w:hint="default" w:ascii="Times New Roman" w:hAnsi="Times New Roman" w:eastAsia="宋体" w:cs="Times New Roman"/>
                <w:kern w:val="0"/>
                <w:szCs w:val="21"/>
              </w:rPr>
            </w:pPr>
            <w:r>
              <w:rPr>
                <w:rFonts w:hint="default" w:ascii="Times New Roman" w:hAnsi="Times New Roman" w:eastAsia="宋体" w:cs="Times New Roman"/>
                <w:b/>
                <w:bCs/>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76" w:type="dxa"/>
            <w:gridSpan w:val="6"/>
            <w:noWrap w:val="0"/>
            <w:vAlign w:val="center"/>
          </w:tcPr>
          <w:p>
            <w:pPr>
              <w:widowControl/>
              <w:tabs>
                <w:tab w:val="left" w:pos="970"/>
              </w:tabs>
              <w:adjustRightInd w:val="0"/>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Cs w:val="21"/>
              </w:rPr>
              <w:t>备注：/</w:t>
            </w:r>
          </w:p>
        </w:tc>
      </w:tr>
    </w:tbl>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3、监测时间与频次</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噪声</w:t>
      </w:r>
      <w:r>
        <w:rPr>
          <w:rFonts w:hint="default" w:ascii="Times New Roman" w:hAnsi="Times New Roman" w:eastAsia="宋体" w:cs="Times New Roman"/>
          <w:color w:val="000000"/>
          <w:sz w:val="24"/>
          <w:szCs w:val="28"/>
          <w:highlight w:val="none"/>
        </w:rPr>
        <w:t>于</w:t>
      </w:r>
      <w:r>
        <w:rPr>
          <w:rFonts w:hint="default" w:ascii="Times New Roman" w:hAnsi="Times New Roman" w:eastAsia="宋体" w:cs="Times New Roman"/>
          <w:color w:val="000000"/>
          <w:sz w:val="24"/>
          <w:szCs w:val="28"/>
          <w:highlight w:val="none"/>
          <w:lang w:val="en-US" w:eastAsia="zh-CN"/>
        </w:rPr>
        <w:t>2024年01月02日、01月03日</w:t>
      </w:r>
      <w:r>
        <w:rPr>
          <w:rFonts w:hint="default" w:ascii="Times New Roman" w:hAnsi="Times New Roman" w:eastAsia="宋体" w:cs="Times New Roman"/>
          <w:color w:val="000000"/>
          <w:sz w:val="24"/>
          <w:szCs w:val="28"/>
          <w:lang w:val="en-US" w:eastAsia="zh-CN"/>
        </w:rPr>
        <w:t>昼间各监测一次</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lang w:val="en-US" w:eastAsia="zh-CN"/>
        </w:rPr>
        <w:t>2024年01月29日、01月30日夜间各监测1次</w:t>
      </w:r>
      <w:r>
        <w:rPr>
          <w:rFonts w:hint="default" w:ascii="Times New Roman" w:hAnsi="Times New Roman" w:eastAsia="宋体" w:cs="Times New Roman"/>
          <w:color w:val="000000"/>
          <w:sz w:val="24"/>
          <w:szCs w:val="28"/>
        </w:rPr>
        <w:t>。</w:t>
      </w:r>
    </w:p>
    <w:p>
      <w:pPr>
        <w:numPr>
          <w:ilvl w:val="0"/>
          <w:numId w:val="0"/>
        </w:numPr>
        <w:spacing w:beforeAutospacing="0"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7.1.3地下水监测</w:t>
      </w:r>
    </w:p>
    <w:p>
      <w:pPr>
        <w:numPr>
          <w:ilvl w:val="0"/>
          <w:numId w:val="0"/>
        </w:numPr>
        <w:spacing w:beforeAutospacing="0" w:line="360" w:lineRule="auto"/>
        <w:ind w:firstLine="480" w:firstLineChars="200"/>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kern w:val="2"/>
          <w:sz w:val="24"/>
          <w:szCs w:val="24"/>
          <w:lang w:val="en-US" w:eastAsia="zh-CN" w:bidi="ar-SA"/>
        </w:rPr>
        <w:t>1、</w:t>
      </w:r>
      <w:r>
        <w:rPr>
          <w:rFonts w:hint="default" w:ascii="Times New Roman" w:hAnsi="Times New Roman" w:eastAsia="宋体" w:cs="Times New Roman"/>
          <w:b w:val="0"/>
          <w:bCs w:val="0"/>
          <w:color w:val="000000"/>
          <w:sz w:val="24"/>
          <w:szCs w:val="24"/>
          <w:lang w:val="en-US" w:eastAsia="zh-CN"/>
        </w:rPr>
        <w:t>监测点位</w:t>
      </w:r>
    </w:p>
    <w:p>
      <w:pPr>
        <w:numPr>
          <w:ilvl w:val="0"/>
          <w:numId w:val="0"/>
        </w:numPr>
        <w:spacing w:beforeAutospacing="0" w:line="360" w:lineRule="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99200" behindDoc="0" locked="0" layoutInCell="1" allowOverlap="1">
                <wp:simplePos x="0" y="0"/>
                <wp:positionH relativeFrom="column">
                  <wp:posOffset>3244850</wp:posOffset>
                </wp:positionH>
                <wp:positionV relativeFrom="paragraph">
                  <wp:posOffset>562610</wp:posOffset>
                </wp:positionV>
                <wp:extent cx="127000" cy="111125"/>
                <wp:effectExtent l="4445" t="4445" r="20955" b="17780"/>
                <wp:wrapNone/>
                <wp:docPr id="43" name="椭圆 65"/>
                <wp:cNvGraphicFramePr/>
                <a:graphic xmlns:a="http://schemas.openxmlformats.org/drawingml/2006/main">
                  <a:graphicData uri="http://schemas.microsoft.com/office/word/2010/wordprocessingShape">
                    <wps:wsp>
                      <wps:cNvSpPr/>
                      <wps:spPr>
                        <a:xfrm>
                          <a:off x="0" y="0"/>
                          <a:ext cx="127000" cy="111125"/>
                        </a:xfrm>
                        <a:prstGeom prst="ellipse">
                          <a:avLst/>
                        </a:prstGeom>
                        <a:solidFill>
                          <a:srgbClr val="FFFFFF"/>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65" o:spid="_x0000_s1026" o:spt="3" type="#_x0000_t3" style="position:absolute;left:0pt;margin-left:255.5pt;margin-top:44.3pt;height:8.75pt;width:10pt;z-index:251699200;mso-width-relative:page;mso-height-relative:page;" fillcolor="#FFFFFF" filled="t" stroked="t" coordsize="21600,21600" o:gfxdata="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CXg/1wAAAAoBAAAPAAAA&#10;AAAAAAEAIAAAACIAAABkcnMvZG93bnJldi54bWxQSwECFAAUAAAACACHTuJAcHguWhYCAABLBAAA&#10;DgAAAAAAAAABACAAAAAmAQAAZHJzL2Uyb0RvYy54bWxQSwUGAAAAAAYABgBZAQAArgUAAAAA&#10;">
                <v:fill on="t" focussize="0,0"/>
                <v:stroke color="#000000" joinstyle="round"/>
                <v:imagedata o:title=""/>
                <o:lock v:ext="edit" aspectratio="f"/>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01248" behindDoc="0" locked="0" layoutInCell="1" allowOverlap="1">
                <wp:simplePos x="0" y="0"/>
                <wp:positionH relativeFrom="column">
                  <wp:posOffset>4528820</wp:posOffset>
                </wp:positionH>
                <wp:positionV relativeFrom="paragraph">
                  <wp:posOffset>277495</wp:posOffset>
                </wp:positionV>
                <wp:extent cx="635" cy="396240"/>
                <wp:effectExtent l="85090" t="0" r="85725" b="3810"/>
                <wp:wrapNone/>
                <wp:docPr id="45" name="直接连接符 122"/>
                <wp:cNvGraphicFramePr/>
                <a:graphic xmlns:a="http://schemas.openxmlformats.org/drawingml/2006/main">
                  <a:graphicData uri="http://schemas.microsoft.com/office/word/2010/wordprocessingShape">
                    <wps:wsp>
                      <wps:cNvCnPr/>
                      <wps:spPr>
                        <a:xfrm flipV="1">
                          <a:off x="3942653" y="0"/>
                          <a:ext cx="635" cy="396608"/>
                        </a:xfrm>
                        <a:prstGeom prst="line">
                          <a:avLst/>
                        </a:prstGeom>
                        <a:ln w="57150"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122" o:spid="_x0000_s1026" o:spt="20" style="position:absolute;left:0pt;flip:y;margin-left:356.6pt;margin-top:21.85pt;height:31.2pt;width:0.05pt;z-index:251701248;mso-width-relative:page;mso-height-relative:page;" filled="f" stroked="t" coordsize="21600,21600" o:gfxdata="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SAjctcAAAAKAQAADwAAAAAA&#10;AAABACAAAAAiAAAAZHJzL2Rvd25yZXYueG1sUEsBAhQAFAAAAAgAh07iQCGtW7cUAgAACwQAAA4A&#10;AAAAAAAAAQAgAAAAJgEAAGRycy9lMm9Eb2MueG1sUEsFBgAAAAAGAAYAWQEAAKwFAAAAAA==&#10;">
                <v:fill on="f" focussize="0,0"/>
                <v:stroke weight="4.5pt" color="#000000" joinstyle="round" endarrow="block"/>
                <v:imagedata o:title=""/>
                <o:lock v:ext="edit" aspectratio="f"/>
              </v:line>
            </w:pict>
          </mc:Fallback>
        </mc:AlternateContent>
      </w:r>
      <w:r>
        <w:rPr>
          <w:rFonts w:hint="default" w:ascii="Times New Roman" w:hAnsi="Times New Roman" w:eastAsia="宋体" w:cs="Times New Roman"/>
          <w:b w:val="0"/>
          <w:bCs w:val="0"/>
          <w:color w:val="000000"/>
          <w:sz w:val="24"/>
          <w:szCs w:val="24"/>
          <w:lang w:val="en-US" w:eastAsia="zh-CN"/>
        </w:rPr>
        <w:t xml:space="preserve"> 布设1个监测井，设置在地下水流向下游且距离埋地油罐5m处，监测点位见图。</w:t>
      </w:r>
    </w:p>
    <w:p>
      <w:pPr>
        <w:pStyle w:val="2"/>
        <w:rPr>
          <w:rFonts w:hint="default" w:ascii="Times New Roman" w:hAnsi="Times New Roman" w:eastAsia="宋体" w:cs="Times New Roman"/>
          <w:lang w:val="en-US" w:eastAsia="zh-CN"/>
        </w:rPr>
      </w:pPr>
    </w:p>
    <w:p>
      <w:pPr>
        <w:pStyle w:val="31"/>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98176" behindDoc="0" locked="0" layoutInCell="1" allowOverlap="1">
                <wp:simplePos x="0" y="0"/>
                <wp:positionH relativeFrom="column">
                  <wp:posOffset>1395730</wp:posOffset>
                </wp:positionH>
                <wp:positionV relativeFrom="paragraph">
                  <wp:posOffset>179070</wp:posOffset>
                </wp:positionV>
                <wp:extent cx="1460500" cy="492125"/>
                <wp:effectExtent l="4445" t="5080" r="20955" b="17145"/>
                <wp:wrapNone/>
                <wp:docPr id="42" name="矩形 64"/>
                <wp:cNvGraphicFramePr/>
                <a:graphic xmlns:a="http://schemas.openxmlformats.org/drawingml/2006/main">
                  <a:graphicData uri="http://schemas.microsoft.com/office/word/2010/wordprocessingShape">
                    <wps:wsp>
                      <wps:cNvSpPr/>
                      <wps:spPr>
                        <a:xfrm>
                          <a:off x="0" y="0"/>
                          <a:ext cx="1460500" cy="492125"/>
                        </a:xfrm>
                        <a:prstGeom prst="rect">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64" o:spid="_x0000_s1026" o:spt="1" style="position:absolute;left:0pt;margin-left:109.9pt;margin-top:14.1pt;height:38.75pt;width:115pt;z-index:251698176;mso-width-relative:page;mso-height-relative:page;" fillcolor="#FFFFFF" filled="t" stroked="t" coordsize="21600,21600" o:gfxdata="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RH3411wAAAAoBAAAP&#10;AAAAAAAAAAEAIAAAACIAAABkcnMvZG93bnJldi54bWxQSwECFAAUAAAACACHTuJAiNvsDxkCAABT&#10;BAAADgAAAAAAAAABACAAAAAmAQAAZHJzL2Uyb0RvYy54bWxQSwUGAAAAAAYABgBZAQAAsQUAAAAA&#10;">
                <v:fill on="t" focussize="0,0"/>
                <v:stroke color="#000000" joinstyle="miter"/>
                <v:imagedata o:title=""/>
                <o:lock v:ext="edit" aspectratio="f"/>
              </v:rect>
            </w:pict>
          </mc:Fallback>
        </mc:AlternateContent>
      </w:r>
    </w:p>
    <w:p>
      <w:pPr>
        <w:pStyle w:val="31"/>
        <w:numPr>
          <w:ilvl w:val="0"/>
          <w:numId w:val="0"/>
        </w:numP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700224" behindDoc="0" locked="0" layoutInCell="1" allowOverlap="1">
                <wp:simplePos x="0" y="0"/>
                <wp:positionH relativeFrom="column">
                  <wp:posOffset>1530985</wp:posOffset>
                </wp:positionH>
                <wp:positionV relativeFrom="paragraph">
                  <wp:posOffset>22225</wp:posOffset>
                </wp:positionV>
                <wp:extent cx="1301750" cy="365125"/>
                <wp:effectExtent l="0" t="0" r="0" b="0"/>
                <wp:wrapNone/>
                <wp:docPr id="44" name="文本框 68"/>
                <wp:cNvGraphicFramePr/>
                <a:graphic xmlns:a="http://schemas.openxmlformats.org/drawingml/2006/main">
                  <a:graphicData uri="http://schemas.microsoft.com/office/word/2010/wordprocessingShape">
                    <wps:wsp>
                      <wps:cNvSpPr txBox="1"/>
                      <wps:spPr>
                        <a:xfrm>
                          <a:off x="0" y="0"/>
                          <a:ext cx="1301750" cy="365125"/>
                        </a:xfrm>
                        <a:prstGeom prst="rect">
                          <a:avLst/>
                        </a:prstGeom>
                        <a:noFill/>
                        <a:ln>
                          <a:noFill/>
                        </a:ln>
                      </wps:spPr>
                      <wps:txbx>
                        <w:txbxContent>
                          <w:p>
                            <w:pPr>
                              <w:rPr>
                                <w:rFonts w:hint="default" w:eastAsia="宋体"/>
                                <w:lang w:val="en-US" w:eastAsia="zh-CN"/>
                              </w:rPr>
                            </w:pPr>
                            <w:r>
                              <w:rPr>
                                <w:rFonts w:hint="eastAsia"/>
                                <w:lang w:val="en-US" w:eastAsia="zh-CN"/>
                              </w:rPr>
                              <w:t>储罐区</w:t>
                            </w:r>
                          </w:p>
                        </w:txbxContent>
                      </wps:txbx>
                      <wps:bodyPr vert="horz" wrap="square" anchor="t" anchorCtr="0" upright="1"/>
                    </wps:wsp>
                  </a:graphicData>
                </a:graphic>
              </wp:anchor>
            </w:drawing>
          </mc:Choice>
          <mc:Fallback>
            <w:pict>
              <v:shape id="文本框 68" o:spid="_x0000_s1026" o:spt="202" type="#_x0000_t202" style="position:absolute;left:0pt;margin-left:120.55pt;margin-top:1.75pt;height:28.75pt;width:102.5pt;z-index:251700224;mso-width-relative:page;mso-height-relative:page;" filled="f" stroked="f" coordsize="21600,21600" o:gfxdata="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MMNb+3VAAAACAEAAA8AAAAAAAAAAQAgAAAAIgAAAGRycy9k&#10;b3ducmV2LnhtbFBLAQIUABQAAAAIAIdO4kDVBjpmzAEAAIMDAAAOAAAAAAAAAAEAIAAAACQBAABk&#10;cnMvZTJvRG9jLnhtbFBLBQYAAAAABgAGAFkBAABiBQAAAAA=&#10;">
                <v:fill on="f" focussize="0,0"/>
                <v:stroke on="f"/>
                <v:imagedata o:title=""/>
                <o:lock v:ext="edit" aspectratio="f"/>
                <v:textbox>
                  <w:txbxContent>
                    <w:p>
                      <w:pPr>
                        <w:rPr>
                          <w:rFonts w:hint="default" w:eastAsia="宋体"/>
                          <w:lang w:val="en-US" w:eastAsia="zh-CN"/>
                        </w:rPr>
                      </w:pPr>
                      <w:r>
                        <w:rPr>
                          <w:rFonts w:hint="eastAsia"/>
                          <w:lang w:val="en-US" w:eastAsia="zh-CN"/>
                        </w:rPr>
                        <w:t>储罐区</w:t>
                      </w:r>
                    </w:p>
                  </w:txbxContent>
                </v:textbox>
              </v:shape>
            </w:pict>
          </mc:Fallback>
        </mc:AlternateContent>
      </w:r>
      <w:r>
        <w:rPr>
          <w:rFonts w:hint="default" w:ascii="Times New Roman" w:hAnsi="Times New Roman" w:eastAsia="宋体" w:cs="Times New Roman"/>
          <w:b w:val="0"/>
          <w:bCs w:val="0"/>
          <w:color w:val="000000"/>
          <w:sz w:val="24"/>
          <w:szCs w:val="24"/>
          <w:lang w:val="en-US" w:eastAsia="zh-CN"/>
        </w:rPr>
        <w:t xml:space="preserve">    </w:t>
      </w:r>
    </w:p>
    <w:p>
      <w:pPr>
        <w:pStyle w:val="31"/>
        <w:numPr>
          <w:ilvl w:val="0"/>
          <w:numId w:val="0"/>
        </w:numP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702272" behindDoc="0" locked="0" layoutInCell="1" allowOverlap="1">
                <wp:simplePos x="0" y="0"/>
                <wp:positionH relativeFrom="column">
                  <wp:posOffset>4364355</wp:posOffset>
                </wp:positionH>
                <wp:positionV relativeFrom="paragraph">
                  <wp:posOffset>121920</wp:posOffset>
                </wp:positionV>
                <wp:extent cx="793750" cy="309245"/>
                <wp:effectExtent l="0" t="0" r="0" b="0"/>
                <wp:wrapNone/>
                <wp:docPr id="46" name="文本框 70"/>
                <wp:cNvGraphicFramePr/>
                <a:graphic xmlns:a="http://schemas.openxmlformats.org/drawingml/2006/main">
                  <a:graphicData uri="http://schemas.microsoft.com/office/word/2010/wordprocessingShape">
                    <wps:wsp>
                      <wps:cNvSpPr txBox="1"/>
                      <wps:spPr>
                        <a:xfrm>
                          <a:off x="0" y="0"/>
                          <a:ext cx="793750" cy="309245"/>
                        </a:xfrm>
                        <a:prstGeom prst="rect">
                          <a:avLst/>
                        </a:prstGeom>
                        <a:noFill/>
                        <a:ln>
                          <a:noFill/>
                        </a:ln>
                      </wps:spPr>
                      <wps:txbx>
                        <w:txbxContent>
                          <w:p>
                            <w:pPr>
                              <w:rPr>
                                <w:rFonts w:hint="eastAsia" w:eastAsia="宋体"/>
                                <w:lang w:val="en-US" w:eastAsia="zh-CN"/>
                              </w:rPr>
                            </w:pPr>
                            <w:r>
                              <w:rPr>
                                <w:rFonts w:hint="eastAsia"/>
                                <w:lang w:val="en-US" w:eastAsia="zh-CN"/>
                              </w:rPr>
                              <w:t>北</w:t>
                            </w:r>
                          </w:p>
                        </w:txbxContent>
                      </wps:txbx>
                      <wps:bodyPr vert="horz" wrap="square" anchor="t" anchorCtr="0" upright="1"/>
                    </wps:wsp>
                  </a:graphicData>
                </a:graphic>
              </wp:anchor>
            </w:drawing>
          </mc:Choice>
          <mc:Fallback>
            <w:pict>
              <v:shape id="文本框 70" o:spid="_x0000_s1026" o:spt="202" type="#_x0000_t202" style="position:absolute;left:0pt;margin-left:343.65pt;margin-top:9.6pt;height:24.35pt;width:62.5pt;z-index:251702272;mso-width-relative:page;mso-height-relative:page;" filled="f" stroked="f" coordsize="21600,21600" o:gfxdata="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BK1Tk1gAAAAkBAAAPAAAAAAAAAAEAIAAAACIAAABkcnMv&#10;ZG93bnJldi54bWxQSwECFAAUAAAACACHTuJAUka4C8wBAACCAwAADgAAAAAAAAABACAAAAAlAQAA&#10;ZHJzL2Uyb0RvYy54bWxQSwUGAAAAAAYABgBZAQAAYwUAAAAA&#10;">
                <v:fill on="f" focussize="0,0"/>
                <v:stroke on="f"/>
                <v:imagedata o:title=""/>
                <o:lock v:ext="edit" aspectratio="f"/>
                <v:textbox>
                  <w:txbxContent>
                    <w:p>
                      <w:pPr>
                        <w:rPr>
                          <w:rFonts w:hint="eastAsia" w:eastAsia="宋体"/>
                          <w:lang w:val="en-US" w:eastAsia="zh-CN"/>
                        </w:rPr>
                      </w:pPr>
                      <w:r>
                        <w:rPr>
                          <w:rFonts w:hint="eastAsia"/>
                          <w:lang w:val="en-US" w:eastAsia="zh-CN"/>
                        </w:rPr>
                        <w:t>北</w:t>
                      </w:r>
                    </w:p>
                  </w:txbxContent>
                </v:textbox>
              </v:shape>
            </w:pict>
          </mc:Fallback>
        </mc:AlternateContent>
      </w:r>
    </w:p>
    <w:p>
      <w:pPr>
        <w:pStyle w:val="31"/>
        <w:numPr>
          <w:ilvl w:val="0"/>
          <w:numId w:val="0"/>
        </w:numPr>
        <w:rPr>
          <w:rFonts w:hint="default" w:ascii="Times New Roman" w:hAnsi="Times New Roman" w:eastAsia="宋体" w:cs="Times New Roman"/>
          <w:b w:val="0"/>
          <w:bCs w:val="0"/>
          <w:color w:val="000000"/>
          <w:sz w:val="24"/>
          <w:szCs w:val="24"/>
          <w:lang w:val="en-US" w:eastAsia="zh-CN"/>
        </w:rPr>
      </w:pPr>
    </w:p>
    <w:p>
      <w:pPr>
        <w:pStyle w:val="31"/>
        <w:numPr>
          <w:ilvl w:val="0"/>
          <w:numId w:val="0"/>
        </w:numP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703296" behindDoc="0" locked="0" layoutInCell="1" allowOverlap="1">
                <wp:simplePos x="0" y="0"/>
                <wp:positionH relativeFrom="column">
                  <wp:posOffset>975360</wp:posOffset>
                </wp:positionH>
                <wp:positionV relativeFrom="paragraph">
                  <wp:posOffset>-222885</wp:posOffset>
                </wp:positionV>
                <wp:extent cx="71755" cy="606425"/>
                <wp:effectExtent l="0" t="154305" r="0" b="173990"/>
                <wp:wrapNone/>
                <wp:docPr id="47" name="自选图形 71"/>
                <wp:cNvGraphicFramePr/>
                <a:graphic xmlns:a="http://schemas.openxmlformats.org/drawingml/2006/main">
                  <a:graphicData uri="http://schemas.microsoft.com/office/word/2010/wordprocessingShape">
                    <wps:wsp>
                      <wps:cNvSpPr/>
                      <wps:spPr>
                        <a:xfrm rot="-7560000">
                          <a:off x="0" y="0"/>
                          <a:ext cx="71755" cy="606425"/>
                        </a:xfrm>
                        <a:prstGeom prst="downArrow">
                          <a:avLst>
                            <a:gd name="adj1" fmla="val 50000"/>
                            <a:gd name="adj2" fmla="val 211283"/>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71" o:spid="_x0000_s1026" o:spt="67" type="#_x0000_t67" style="position:absolute;left:0pt;margin-left:76.8pt;margin-top:-17.55pt;height:47.75pt;width:5.65pt;rotation:-8257536f;z-index:251703296;mso-width-relative:page;mso-height-relative:page;" fillcolor="#FFFFFF" filled="t" stroked="t" coordsize="21600,21600" o:gfxdata="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s1nk9cA&#10;AAAKAQAADwAAAAAAAAABACAAAAAiAAAAZHJzL2Rvd25yZXYueG1sUEsBAhQAFAAAAAgAh07iQJET&#10;bt5ZAgAAvQQAAA4AAAAAAAAAAQAgAAAAJgEAAGRycy9lMm9Eb2MueG1sUEsFBgAAAAAGAAYAWQEA&#10;APEFAAAAAA==&#10;" adj="16201,5400">
                <v:fill on="t" focussize="0,0"/>
                <v:stroke color="#000000" joinstyle="miter"/>
                <v:imagedata o:title=""/>
                <o:lock v:ext="edit" aspectratio="f"/>
              </v:shape>
            </w:pict>
          </mc:Fallback>
        </mc:AlternateContent>
      </w:r>
    </w:p>
    <w:p>
      <w:pPr>
        <w:pStyle w:val="31"/>
        <w:numPr>
          <w:ilvl w:val="0"/>
          <w:numId w:val="0"/>
        </w:numPr>
        <w:rPr>
          <w:rFonts w:hint="default" w:ascii="Times New Roman" w:hAnsi="Times New Roman" w:eastAsia="宋体" w:cs="Times New Roman"/>
          <w:b w:val="0"/>
          <w:bCs w:val="0"/>
          <w:color w:val="000000"/>
          <w:sz w:val="24"/>
          <w:szCs w:val="24"/>
          <w:lang w:val="en-US" w:eastAsia="zh-CN"/>
        </w:rPr>
      </w:pPr>
    </w:p>
    <w:p>
      <w:pPr>
        <w:pStyle w:val="31"/>
        <w:numPr>
          <w:ilvl w:val="0"/>
          <w:numId w:val="0"/>
        </w:numPr>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704320" behindDoc="0" locked="0" layoutInCell="1" allowOverlap="1">
                <wp:simplePos x="0" y="0"/>
                <wp:positionH relativeFrom="column">
                  <wp:posOffset>-64135</wp:posOffset>
                </wp:positionH>
                <wp:positionV relativeFrom="paragraph">
                  <wp:posOffset>44450</wp:posOffset>
                </wp:positionV>
                <wp:extent cx="1238250" cy="372745"/>
                <wp:effectExtent l="0" t="0" r="0" b="0"/>
                <wp:wrapNone/>
                <wp:docPr id="48" name="文本框 72"/>
                <wp:cNvGraphicFramePr/>
                <a:graphic xmlns:a="http://schemas.openxmlformats.org/drawingml/2006/main">
                  <a:graphicData uri="http://schemas.microsoft.com/office/word/2010/wordprocessingShape">
                    <wps:wsp>
                      <wps:cNvSpPr txBox="1"/>
                      <wps:spPr>
                        <a:xfrm>
                          <a:off x="0" y="0"/>
                          <a:ext cx="1238250" cy="372745"/>
                        </a:xfrm>
                        <a:prstGeom prst="rect">
                          <a:avLst/>
                        </a:prstGeom>
                        <a:noFill/>
                        <a:ln>
                          <a:noFill/>
                        </a:ln>
                      </wps:spPr>
                      <wps:txbx>
                        <w:txbxContent>
                          <w:p>
                            <w:pPr>
                              <w:rPr>
                                <w:rFonts w:hint="default" w:eastAsia="宋体"/>
                                <w:lang w:val="en-US" w:eastAsia="zh-CN"/>
                              </w:rPr>
                            </w:pPr>
                            <w:r>
                              <w:rPr>
                                <w:rFonts w:hint="eastAsia"/>
                                <w:lang w:val="en-US" w:eastAsia="zh-CN"/>
                              </w:rPr>
                              <w:t>地下水流向</w:t>
                            </w:r>
                          </w:p>
                        </w:txbxContent>
                      </wps:txbx>
                      <wps:bodyPr vert="horz" wrap="square" anchor="t" anchorCtr="0" upright="1"/>
                    </wps:wsp>
                  </a:graphicData>
                </a:graphic>
              </wp:anchor>
            </w:drawing>
          </mc:Choice>
          <mc:Fallback>
            <w:pict>
              <v:shape id="文本框 72" o:spid="_x0000_s1026" o:spt="202" type="#_x0000_t202" style="position:absolute;left:0pt;margin-left:-5.05pt;margin-top:3.5pt;height:29.35pt;width:97.5pt;z-index:251704320;mso-width-relative:page;mso-height-relative:page;" filled="f" stroked="f" coordsize="21600,21600" o:gfxdata="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Mxc/MjVAAAACAEAAA8AAAAAAAAAAQAgAAAAIgAAAGRycy9k&#10;b3ducmV2LnhtbFBLAQIUABQAAAAIAIdO4kBo+smVzAEAAIMDAAAOAAAAAAAAAAEAIAAAACQBAABk&#10;cnMvZTJvRG9jLnhtbFBLBQYAAAAABgAGAFkBAABiBQAAAAA=&#10;">
                <v:fill on="f" focussize="0,0"/>
                <v:stroke on="f"/>
                <v:imagedata o:title=""/>
                <o:lock v:ext="edit" aspectratio="f"/>
                <v:textbox>
                  <w:txbxContent>
                    <w:p>
                      <w:pPr>
                        <w:rPr>
                          <w:rFonts w:hint="default" w:eastAsia="宋体"/>
                          <w:lang w:val="en-US" w:eastAsia="zh-CN"/>
                        </w:rPr>
                      </w:pPr>
                      <w:r>
                        <w:rPr>
                          <w:rFonts w:hint="eastAsia"/>
                          <w:lang w:val="en-US" w:eastAsia="zh-CN"/>
                        </w:rPr>
                        <w:t>地下水流向</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706368" behindDoc="0" locked="0" layoutInCell="1" allowOverlap="1">
                <wp:simplePos x="0" y="0"/>
                <wp:positionH relativeFrom="column">
                  <wp:posOffset>3181350</wp:posOffset>
                </wp:positionH>
                <wp:positionV relativeFrom="paragraph">
                  <wp:posOffset>119380</wp:posOffset>
                </wp:positionV>
                <wp:extent cx="127000" cy="111125"/>
                <wp:effectExtent l="4445" t="4445" r="20955" b="17780"/>
                <wp:wrapNone/>
                <wp:docPr id="50" name="椭圆 1098"/>
                <wp:cNvGraphicFramePr/>
                <a:graphic xmlns:a="http://schemas.openxmlformats.org/drawingml/2006/main">
                  <a:graphicData uri="http://schemas.microsoft.com/office/word/2010/wordprocessingShape">
                    <wps:wsp>
                      <wps:cNvSpPr/>
                      <wps:spPr>
                        <a:xfrm>
                          <a:off x="0" y="0"/>
                          <a:ext cx="127000" cy="111125"/>
                        </a:xfrm>
                        <a:prstGeom prst="ellipse">
                          <a:avLst/>
                        </a:prstGeom>
                        <a:solidFill>
                          <a:srgbClr val="FFFFFF"/>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1098" o:spid="_x0000_s1026" o:spt="3" type="#_x0000_t3" style="position:absolute;left:0pt;margin-left:250.5pt;margin-top:9.4pt;height:8.75pt;width:10pt;z-index:251706368;mso-width-relative:page;mso-height-relative:page;" fillcolor="#FFFFFF" filled="t" stroked="t" coordsize="21600,21600" o:gfxdata="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4vCC9YAAAAJAQAADwAAAAAAAAABACAAAAAiAAAAZHJzL2Rv&#10;d25yZXYueG1sUEsBAhQAFAAAAAgAh07iQKP7Py0DAgAAKAQAAA4AAAAAAAAAAQAgAAAAJQEAAGRy&#10;cy9lMm9Eb2MueG1sUEsFBgAAAAAGAAYAWQEAAJoFAAAAAA==&#10;">
                <v:fill on="t" focussize="0,0"/>
                <v:stroke color="#000000" joinstyle="round"/>
                <v:imagedata o:title=""/>
                <o:lock v:ext="edit" aspectratio="f"/>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05344" behindDoc="0" locked="0" layoutInCell="1" allowOverlap="1">
                <wp:simplePos x="0" y="0"/>
                <wp:positionH relativeFrom="column">
                  <wp:posOffset>2393950</wp:posOffset>
                </wp:positionH>
                <wp:positionV relativeFrom="paragraph">
                  <wp:posOffset>36195</wp:posOffset>
                </wp:positionV>
                <wp:extent cx="1828800" cy="297180"/>
                <wp:effectExtent l="0" t="0" r="0" b="0"/>
                <wp:wrapNone/>
                <wp:docPr id="49" name="文本框 125"/>
                <wp:cNvGraphicFramePr/>
                <a:graphic xmlns:a="http://schemas.openxmlformats.org/drawingml/2006/main">
                  <a:graphicData uri="http://schemas.microsoft.com/office/word/2010/wordprocessingShape">
                    <wps:wsp>
                      <wps:cNvSpPr txBox="1"/>
                      <wps:spPr>
                        <a:xfrm>
                          <a:off x="15877" y="1726260"/>
                          <a:ext cx="1829066" cy="297456"/>
                        </a:xfrm>
                        <a:prstGeom prst="rect">
                          <a:avLst/>
                        </a:prstGeom>
                        <a:noFill/>
                        <a:ln>
                          <a:noFill/>
                        </a:ln>
                        <a:effectLst/>
                      </wps:spPr>
                      <wps:txbx>
                        <w:txbxContent>
                          <w:p>
                            <w:pPr>
                              <w:ind w:firstLine="525" w:firstLineChars="250"/>
                              <w:rPr>
                                <w:rFonts w:ascii="Calibri" w:hAnsi="Calibri" w:eastAsia="宋体" w:cs="Times New Roman"/>
                                <w:szCs w:val="24"/>
                              </w:rPr>
                            </w:pPr>
                            <w:r>
                              <w:rPr>
                                <w:rFonts w:hint="eastAsia" w:ascii="Calibri" w:hAnsi="Calibri" w:eastAsia="宋体" w:cs="Times New Roman"/>
                                <w:szCs w:val="24"/>
                              </w:rPr>
                              <w:t>说明：</w:t>
                            </w:r>
                            <w:r>
                              <w:rPr>
                                <w:rFonts w:hint="eastAsia" w:eastAsia="宋体" w:cs="Times New Roman"/>
                                <w:szCs w:val="24"/>
                                <w:lang w:val="en-US" w:eastAsia="zh-CN"/>
                              </w:rPr>
                              <w:t xml:space="preserve">  </w:t>
                            </w:r>
                            <w:r>
                              <w:rPr>
                                <w:rFonts w:hint="eastAsia" w:ascii="Calibri" w:hAnsi="Calibri" w:eastAsia="宋体" w:cs="Times New Roman"/>
                                <w:szCs w:val="24"/>
                              </w:rPr>
                              <w:t>表示监测</w:t>
                            </w:r>
                            <w:r>
                              <w:rPr>
                                <w:rFonts w:hint="eastAsia" w:eastAsia="宋体" w:cs="Times New Roman"/>
                                <w:szCs w:val="24"/>
                                <w:lang w:val="en-US" w:eastAsia="zh-CN"/>
                              </w:rPr>
                              <w:t>井</w:t>
                            </w:r>
                            <w:r>
                              <w:rPr>
                                <w:rFonts w:ascii="Calibri" w:hAnsi="Calibri" w:eastAsia="宋体" w:cs="Times New Roman"/>
                                <w:szCs w:val="24"/>
                              </w:rPr>
                              <w:t xml:space="preserve"> </w:t>
                            </w:r>
                          </w:p>
                        </w:txbxContent>
                      </wps:txbx>
                      <wps:bodyPr wrap="square" upright="1"/>
                    </wps:wsp>
                  </a:graphicData>
                </a:graphic>
              </wp:anchor>
            </w:drawing>
          </mc:Choice>
          <mc:Fallback>
            <w:pict>
              <v:shape id="文本框 125" o:spid="_x0000_s1026" o:spt="202" type="#_x0000_t202" style="position:absolute;left:0pt;margin-left:188.5pt;margin-top:2.85pt;height:23.4pt;width:144pt;z-index:251705344;mso-width-relative:page;mso-height-relative:page;" filled="f" stroked="f" coordsize="21600,21600" o:gfxdata="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HR9a9YAAAAIAQAADwAAAAAAAAABACAAAAAiAAAAZHJzL2Rvd25y&#10;ZXYueG1sUEsBAhQAFAAAAAgAh07iQHhaF4vHAQAAdwMAAA4AAAAAAAAAAQAgAAAAJQEAAGRycy9l&#10;Mm9Eb2MueG1sUEsFBgAAAAAGAAYAWQEAAF4FAAAAAA==&#10;">
                <v:fill on="f" focussize="0,0"/>
                <v:stroke on="f"/>
                <v:imagedata o:title=""/>
                <o:lock v:ext="edit" aspectratio="f"/>
                <v:textbox>
                  <w:txbxContent>
                    <w:p>
                      <w:pPr>
                        <w:ind w:firstLine="525" w:firstLineChars="250"/>
                        <w:rPr>
                          <w:rFonts w:ascii="Calibri" w:hAnsi="Calibri" w:eastAsia="宋体" w:cs="Times New Roman"/>
                          <w:szCs w:val="24"/>
                        </w:rPr>
                      </w:pPr>
                      <w:r>
                        <w:rPr>
                          <w:rFonts w:hint="eastAsia" w:ascii="Calibri" w:hAnsi="Calibri" w:eastAsia="宋体" w:cs="Times New Roman"/>
                          <w:szCs w:val="24"/>
                        </w:rPr>
                        <w:t>说明：</w:t>
                      </w:r>
                      <w:r>
                        <w:rPr>
                          <w:rFonts w:hint="eastAsia" w:eastAsia="宋体" w:cs="Times New Roman"/>
                          <w:szCs w:val="24"/>
                          <w:lang w:val="en-US" w:eastAsia="zh-CN"/>
                        </w:rPr>
                        <w:t xml:space="preserve">  </w:t>
                      </w:r>
                      <w:r>
                        <w:rPr>
                          <w:rFonts w:hint="eastAsia" w:ascii="Calibri" w:hAnsi="Calibri" w:eastAsia="宋体" w:cs="Times New Roman"/>
                          <w:szCs w:val="24"/>
                        </w:rPr>
                        <w:t>表示监测</w:t>
                      </w:r>
                      <w:r>
                        <w:rPr>
                          <w:rFonts w:hint="eastAsia" w:eastAsia="宋体" w:cs="Times New Roman"/>
                          <w:szCs w:val="24"/>
                          <w:lang w:val="en-US" w:eastAsia="zh-CN"/>
                        </w:rPr>
                        <w:t>井</w:t>
                      </w:r>
                      <w:r>
                        <w:rPr>
                          <w:rFonts w:ascii="Calibri" w:hAnsi="Calibri" w:eastAsia="宋体" w:cs="Times New Roman"/>
                          <w:szCs w:val="24"/>
                        </w:rPr>
                        <w:t xml:space="preserve"> </w:t>
                      </w:r>
                    </w:p>
                  </w:txbxContent>
                </v:textbox>
              </v:shape>
            </w:pict>
          </mc:Fallback>
        </mc:AlternateContent>
      </w:r>
    </w:p>
    <w:p>
      <w:pPr>
        <w:jc w:val="center"/>
        <w:rPr>
          <w:rFonts w:hint="default" w:ascii="Times New Roman" w:hAnsi="Times New Roman" w:eastAsia="宋体" w:cs="Times New Roman"/>
          <w:b/>
          <w:sz w:val="22"/>
          <w:szCs w:val="24"/>
        </w:rPr>
      </w:pPr>
    </w:p>
    <w:p>
      <w:pPr>
        <w:jc w:val="center"/>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图7-</w:t>
      </w:r>
      <w:r>
        <w:rPr>
          <w:rFonts w:hint="default" w:ascii="Times New Roman" w:hAnsi="Times New Roman" w:eastAsia="宋体" w:cs="Times New Roman"/>
          <w:b/>
          <w:sz w:val="24"/>
          <w:szCs w:val="24"/>
          <w:lang w:val="en-US" w:eastAsia="zh-CN"/>
        </w:rPr>
        <w:t>3</w:t>
      </w:r>
      <w:r>
        <w:rPr>
          <w:rFonts w:hint="default" w:ascii="Times New Roman" w:hAnsi="Times New Roman" w:eastAsia="宋体" w:cs="Times New Roman"/>
          <w:b/>
          <w:sz w:val="24"/>
          <w:szCs w:val="24"/>
        </w:rPr>
        <w:t xml:space="preserve">  </w:t>
      </w:r>
      <w:r>
        <w:rPr>
          <w:rFonts w:hint="default" w:ascii="Times New Roman" w:hAnsi="Times New Roman" w:eastAsia="宋体" w:cs="Times New Roman"/>
          <w:b/>
          <w:sz w:val="24"/>
          <w:szCs w:val="24"/>
          <w:lang w:val="en-US" w:eastAsia="zh-CN"/>
        </w:rPr>
        <w:t>地下水</w:t>
      </w:r>
      <w:r>
        <w:rPr>
          <w:rFonts w:hint="default" w:ascii="Times New Roman" w:hAnsi="Times New Roman" w:eastAsia="宋体" w:cs="Times New Roman"/>
          <w:b/>
          <w:sz w:val="24"/>
          <w:szCs w:val="24"/>
        </w:rPr>
        <w:t>监测布点图</w:t>
      </w:r>
    </w:p>
    <w:p>
      <w:pPr>
        <w:pStyle w:val="31"/>
        <w:numPr>
          <w:ilvl w:val="0"/>
          <w:numId w:val="0"/>
        </w:numPr>
        <w:rPr>
          <w:rFonts w:hint="default" w:ascii="Times New Roman" w:hAnsi="Times New Roman" w:eastAsia="宋体" w:cs="Times New Roman"/>
          <w:b w:val="0"/>
          <w:bCs w:val="0"/>
          <w:color w:val="000000"/>
          <w:sz w:val="24"/>
          <w:szCs w:val="24"/>
          <w:lang w:val="en-US" w:eastAsia="zh-CN"/>
        </w:rPr>
      </w:pPr>
    </w:p>
    <w:p>
      <w:pPr>
        <w:pStyle w:val="3"/>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2、监测时间与频次</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highlight w:val="none"/>
          <w:lang w:val="en-US" w:eastAsia="zh-CN"/>
        </w:rPr>
        <w:t>2024年01月02日、2024年01月03日检测</w:t>
      </w:r>
      <w:r>
        <w:rPr>
          <w:rFonts w:hint="default" w:ascii="Times New Roman" w:hAnsi="Times New Roman" w:eastAsia="宋体" w:cs="Times New Roman"/>
          <w:color w:val="000000"/>
          <w:sz w:val="24"/>
          <w:szCs w:val="28"/>
          <w:lang w:val="en-US" w:eastAsia="zh-CN"/>
        </w:rPr>
        <w:t>2天，每天各检测2次</w:t>
      </w:r>
      <w:r>
        <w:rPr>
          <w:rFonts w:hint="default" w:ascii="Times New Roman" w:hAnsi="Times New Roman" w:eastAsia="宋体" w:cs="Times New Roman"/>
          <w:color w:val="000000"/>
          <w:sz w:val="24"/>
          <w:szCs w:val="28"/>
        </w:rPr>
        <w:t>。</w:t>
      </w:r>
    </w:p>
    <w:p>
      <w:pPr>
        <w:pStyle w:val="3"/>
        <w:numPr>
          <w:ilvl w:val="0"/>
          <w:numId w:val="0"/>
        </w:numPr>
        <w:spacing w:after="0" w:line="360" w:lineRule="auto"/>
        <w:ind w:left="0" w:leftChars="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kern w:val="2"/>
          <w:sz w:val="24"/>
          <w:szCs w:val="28"/>
          <w:lang w:val="en-US" w:eastAsia="zh-CN" w:bidi="ar-SA"/>
        </w:rPr>
        <w:t>3、</w:t>
      </w:r>
      <w:r>
        <w:rPr>
          <w:rFonts w:hint="default" w:ascii="Times New Roman" w:hAnsi="Times New Roman" w:eastAsia="宋体" w:cs="Times New Roman"/>
          <w:color w:val="000000"/>
          <w:sz w:val="24"/>
          <w:szCs w:val="28"/>
        </w:rPr>
        <w:t>监测技术规范及使用仪器</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监测技术规范及使用仪器见表。</w:t>
      </w:r>
    </w:p>
    <w:p>
      <w:pPr>
        <w:pStyle w:val="32"/>
        <w:spacing w:after="0" w:afterLines="0" w:afterAutospacing="0" w:line="240" w:lineRule="auto"/>
        <w:jc w:val="center"/>
        <w:rPr>
          <w:rFonts w:hint="default" w:ascii="Times New Roman" w:hAnsi="Times New Roman" w:eastAsia="宋体" w:cs="Times New Roman"/>
          <w:highlight w:val="none"/>
        </w:rPr>
      </w:pPr>
      <w:r>
        <w:rPr>
          <w:rFonts w:hint="default" w:ascii="Times New Roman" w:hAnsi="Times New Roman" w:eastAsia="宋体" w:cs="Times New Roman"/>
          <w:b/>
          <w:bCs/>
          <w:color w:val="000000"/>
          <w:sz w:val="24"/>
          <w:szCs w:val="28"/>
          <w:highlight w:val="none"/>
        </w:rPr>
        <w:t>表7-</w:t>
      </w:r>
      <w:r>
        <w:rPr>
          <w:rFonts w:hint="default" w:ascii="Times New Roman" w:hAnsi="Times New Roman" w:eastAsia="宋体" w:cs="Times New Roman"/>
          <w:b/>
          <w:bCs/>
          <w:color w:val="000000"/>
          <w:sz w:val="24"/>
          <w:szCs w:val="28"/>
          <w:highlight w:val="none"/>
          <w:lang w:val="en-US" w:eastAsia="zh-CN"/>
        </w:rPr>
        <w:t xml:space="preserve">4 </w:t>
      </w:r>
      <w:r>
        <w:rPr>
          <w:rFonts w:hint="default" w:ascii="Times New Roman" w:hAnsi="Times New Roman" w:eastAsia="宋体" w:cs="Times New Roman"/>
          <w:b/>
          <w:bCs/>
          <w:color w:val="000000"/>
          <w:sz w:val="24"/>
          <w:szCs w:val="28"/>
          <w:highlight w:val="none"/>
        </w:rPr>
        <w:t>监测技术规范及使用仪器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1691"/>
        <w:gridCol w:w="2315"/>
        <w:gridCol w:w="2531"/>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8" w:hRule="atLeast"/>
          <w:tblHeader/>
          <w:jc w:val="center"/>
        </w:trPr>
        <w:tc>
          <w:tcPr>
            <w:tcW w:w="369"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检测类别</w:t>
            </w:r>
          </w:p>
        </w:tc>
        <w:tc>
          <w:tcPr>
            <w:tcW w:w="992"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检测项目</w:t>
            </w:r>
          </w:p>
        </w:tc>
        <w:tc>
          <w:tcPr>
            <w:tcW w:w="1358" w:type="pct"/>
            <w:noWrap w:val="0"/>
            <w:vAlign w:val="center"/>
          </w:tcPr>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主要</w:t>
            </w:r>
            <w:r>
              <w:rPr>
                <w:rFonts w:hint="default" w:ascii="Times New Roman" w:hAnsi="Times New Roman" w:eastAsia="宋体" w:cs="Times New Roman"/>
                <w:b/>
                <w:color w:val="000000"/>
                <w:sz w:val="21"/>
                <w:szCs w:val="21"/>
              </w:rPr>
              <w:t>仪器设备</w:t>
            </w:r>
            <w:r>
              <w:rPr>
                <w:rFonts w:hint="default" w:ascii="Times New Roman" w:hAnsi="Times New Roman" w:eastAsia="宋体" w:cs="Times New Roman"/>
                <w:b/>
                <w:color w:val="000000"/>
                <w:sz w:val="21"/>
                <w:szCs w:val="21"/>
                <w:lang w:val="en-US" w:eastAsia="zh-CN"/>
              </w:rPr>
              <w:t>及</w:t>
            </w:r>
          </w:p>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编号</w:t>
            </w:r>
          </w:p>
        </w:tc>
        <w:tc>
          <w:tcPr>
            <w:tcW w:w="1484" w:type="pct"/>
            <w:noWrap w:val="0"/>
            <w:vAlign w:val="center"/>
          </w:tcPr>
          <w:p>
            <w:pPr>
              <w:adjustRightInd w:val="0"/>
              <w:snapToGrid w:val="0"/>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方法依据</w:t>
            </w:r>
          </w:p>
        </w:tc>
        <w:tc>
          <w:tcPr>
            <w:tcW w:w="795" w:type="pct"/>
            <w:noWrap w:val="0"/>
            <w:vAlign w:val="center"/>
          </w:tcPr>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exact"/>
          <w:jc w:val="center"/>
        </w:trPr>
        <w:tc>
          <w:tcPr>
            <w:tcW w:w="369" w:type="pct"/>
            <w:vMerge w:val="restar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地下水</w:t>
            </w: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bidi="ar"/>
              </w:rPr>
              <w:t>pH</w:t>
            </w:r>
          </w:p>
        </w:tc>
        <w:tc>
          <w:tcPr>
            <w:tcW w:w="1358"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highlight w:val="none"/>
                <w:lang w:eastAsia="zh-CN" w:bidi="ar"/>
              </w:rPr>
              <w:t>酸度计THYQ-015</w:t>
            </w:r>
          </w:p>
        </w:tc>
        <w:tc>
          <w:tcPr>
            <w:tcW w:w="1484"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val="en-US" w:eastAsia="zh-CN" w:bidi="ar"/>
              </w:rPr>
              <w:t xml:space="preserve">HJ 1147-2020  </w:t>
            </w:r>
            <w:r>
              <w:rPr>
                <w:rFonts w:hint="default" w:ascii="Times New Roman" w:hAnsi="Times New Roman" w:eastAsia="宋体" w:cs="Times New Roman"/>
                <w:kern w:val="0"/>
                <w:sz w:val="21"/>
                <w:szCs w:val="21"/>
                <w:highlight w:val="none"/>
                <w:lang w:eastAsia="zh-CN" w:bidi="ar"/>
              </w:rPr>
              <w:t>电极法</w:t>
            </w:r>
          </w:p>
        </w:tc>
        <w:tc>
          <w:tcPr>
            <w:tcW w:w="7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rPr>
              <w:t>总硬度</w:t>
            </w:r>
          </w:p>
        </w:tc>
        <w:tc>
          <w:tcPr>
            <w:tcW w:w="1358"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color w:val="000000"/>
                <w:sz w:val="21"/>
                <w:szCs w:val="21"/>
              </w:rPr>
              <w:t>滴定管</w:t>
            </w:r>
            <w:r>
              <w:rPr>
                <w:rFonts w:hint="default" w:ascii="Times New Roman" w:hAnsi="Times New Roman" w:eastAsia="宋体" w:cs="Times New Roman"/>
                <w:color w:val="000000"/>
                <w:sz w:val="21"/>
                <w:szCs w:val="21"/>
                <w:lang w:val="en-US" w:eastAsia="zh-CN"/>
              </w:rPr>
              <w:t>HJ-02-01</w:t>
            </w:r>
          </w:p>
        </w:tc>
        <w:tc>
          <w:tcPr>
            <w:tcW w:w="148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GB/T 5750.4-2023滴定法</w:t>
            </w:r>
          </w:p>
        </w:tc>
        <w:tc>
          <w:tcPr>
            <w:tcW w:w="79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rPr>
              <w:t>硫酸</w:t>
            </w:r>
            <w:r>
              <w:rPr>
                <w:rFonts w:hint="default" w:ascii="Times New Roman" w:hAnsi="Times New Roman" w:eastAsia="宋体" w:cs="Times New Roman"/>
                <w:sz w:val="21"/>
                <w:szCs w:val="21"/>
                <w:highlight w:val="none"/>
                <w:lang w:eastAsia="zh-CN"/>
              </w:rPr>
              <w:t>盐</w:t>
            </w:r>
          </w:p>
        </w:tc>
        <w:tc>
          <w:tcPr>
            <w:tcW w:w="1358"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紫外分光光度计THYQ-092</w:t>
            </w:r>
          </w:p>
        </w:tc>
        <w:tc>
          <w:tcPr>
            <w:tcW w:w="1484"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lang w:val="en-US" w:eastAsia="zh-CN"/>
              </w:rPr>
              <w:t>GB/T 5750.5-</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b w:val="0"/>
                <w:bCs w:val="0"/>
                <w:kern w:val="2"/>
                <w:sz w:val="21"/>
                <w:szCs w:val="21"/>
                <w:lang w:val="en-US" w:eastAsia="zh-CN" w:bidi="ar-SA"/>
              </w:rPr>
              <w:t>硫酸钡比浊法</w:t>
            </w:r>
          </w:p>
        </w:tc>
        <w:tc>
          <w:tcPr>
            <w:tcW w:w="79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5</w:t>
            </w:r>
            <w:r>
              <w:rPr>
                <w:rFonts w:hint="default" w:ascii="Times New Roman" w:hAnsi="Times New Roman" w:eastAsia="宋体" w:cs="Times New Roman"/>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硝酸盐</w:t>
            </w:r>
          </w:p>
        </w:tc>
        <w:tc>
          <w:tcPr>
            <w:tcW w:w="1358"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紫外分光光度计THYQ-092</w:t>
            </w:r>
          </w:p>
        </w:tc>
        <w:tc>
          <w:tcPr>
            <w:tcW w:w="148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sz w:val="21"/>
                <w:szCs w:val="21"/>
                <w:lang w:val="en-US" w:eastAsia="zh-CN"/>
              </w:rPr>
              <w:t>GB/T 5750.5-2023紫外分光光度法</w:t>
            </w:r>
          </w:p>
        </w:tc>
        <w:tc>
          <w:tcPr>
            <w:tcW w:w="79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0"/>
                <w:sz w:val="21"/>
                <w:szCs w:val="21"/>
                <w:highlight w:val="none"/>
                <w:lang w:eastAsia="zh-CN" w:bidi="ar"/>
              </w:rPr>
            </w:pPr>
            <w:r>
              <w:rPr>
                <w:rFonts w:hint="default" w:ascii="Times New Roman" w:hAnsi="Times New Roman" w:eastAsia="宋体" w:cs="Times New Roman"/>
                <w:bCs/>
                <w:color w:val="000000"/>
                <w:kern w:val="2"/>
                <w:sz w:val="21"/>
                <w:szCs w:val="21"/>
                <w:highlight w:val="none"/>
                <w:lang w:val="en-US" w:eastAsia="zh-CN" w:bidi="ar-SA"/>
              </w:rPr>
              <w:t>亚硝酸盐</w:t>
            </w:r>
          </w:p>
        </w:tc>
        <w:tc>
          <w:tcPr>
            <w:tcW w:w="1358"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紫外分光光度计THYQ-092</w:t>
            </w:r>
          </w:p>
        </w:tc>
        <w:tc>
          <w:tcPr>
            <w:tcW w:w="1484"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GB/T 7493-1987</w:t>
            </w:r>
            <w:r>
              <w:rPr>
                <w:rFonts w:hint="default" w:ascii="Times New Roman" w:hAnsi="Times New Roman" w:eastAsia="宋体" w:cs="Times New Roman"/>
                <w:sz w:val="21"/>
                <w:szCs w:val="21"/>
                <w:highlight w:val="none"/>
                <w:lang w:eastAsia="zh-CN"/>
              </w:rPr>
              <w:t>分光光度法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0.003</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69" w:type="pct"/>
            <w:vMerge w:val="continue"/>
            <w:noWrap w:val="0"/>
            <w:vAlign w:val="center"/>
          </w:tcPr>
          <w:p>
            <w:pPr>
              <w:widowControl/>
              <w:jc w:val="center"/>
              <w:textAlignment w:val="bottom"/>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widowControl/>
              <w:jc w:val="center"/>
              <w:textAlignment w:val="bottom"/>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浑浊度</w:t>
            </w:r>
          </w:p>
        </w:tc>
        <w:tc>
          <w:tcPr>
            <w:tcW w:w="135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kern w:val="0"/>
                <w:sz w:val="21"/>
                <w:szCs w:val="21"/>
                <w:highlight w:val="none"/>
                <w:lang w:val="en-US" w:eastAsia="zh-CN"/>
              </w:rPr>
              <w:t>浊度仪THYQ-019</w:t>
            </w:r>
          </w:p>
        </w:tc>
        <w:tc>
          <w:tcPr>
            <w:tcW w:w="1484" w:type="pct"/>
            <w:noWrap w:val="0"/>
            <w:vAlign w:val="center"/>
          </w:tcPr>
          <w:p>
            <w:pPr>
              <w:spacing w:line="240" w:lineRule="exact"/>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eastAsia="zh-CN" w:bidi="ar"/>
              </w:rPr>
              <w:t>HJ1075-2019</w:t>
            </w:r>
            <w:r>
              <w:rPr>
                <w:rFonts w:hint="default" w:ascii="Times New Roman" w:hAnsi="Times New Roman" w:eastAsia="宋体" w:cs="Times New Roman"/>
                <w:kern w:val="0"/>
                <w:sz w:val="21"/>
                <w:szCs w:val="21"/>
                <w:highlight w:val="none"/>
                <w:lang w:val="en-US" w:eastAsia="zh-CN" w:bidi="ar"/>
              </w:rPr>
              <w:t xml:space="preserve"> 浊度计法</w:t>
            </w:r>
          </w:p>
        </w:tc>
        <w:tc>
          <w:tcPr>
            <w:tcW w:w="795"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 xml:space="preserve">0.3 </w:t>
            </w:r>
            <w:r>
              <w:rPr>
                <w:rFonts w:hint="default" w:ascii="Times New Roman" w:hAnsi="Times New Roman" w:eastAsia="宋体" w:cs="Times New Roman"/>
                <w:kern w:val="0"/>
                <w:sz w:val="21"/>
                <w:szCs w:val="21"/>
                <w:highlight w:val="none"/>
                <w:lang w:val="en-US" w:eastAsia="zh-CN" w:bidi="ar"/>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氨氮</w:t>
            </w:r>
          </w:p>
        </w:tc>
        <w:tc>
          <w:tcPr>
            <w:tcW w:w="1358"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紫外分光光度计THYQ-0</w:t>
            </w:r>
            <w:r>
              <w:rPr>
                <w:rFonts w:hint="default" w:ascii="Times New Roman" w:hAnsi="Times New Roman" w:eastAsia="宋体" w:cs="Times New Roman"/>
                <w:kern w:val="0"/>
                <w:sz w:val="21"/>
                <w:szCs w:val="21"/>
                <w:highlight w:val="none"/>
                <w:lang w:val="en-US" w:eastAsia="zh-CN" w:bidi="ar"/>
              </w:rPr>
              <w:t>92</w:t>
            </w:r>
          </w:p>
        </w:tc>
        <w:tc>
          <w:tcPr>
            <w:tcW w:w="1484"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GB/T 5750.5-20</w:t>
            </w:r>
            <w:r>
              <w:rPr>
                <w:rFonts w:hint="default" w:ascii="Times New Roman" w:hAnsi="Times New Roman" w:eastAsia="宋体" w:cs="Times New Roman"/>
                <w:sz w:val="21"/>
                <w:szCs w:val="21"/>
                <w:highlight w:val="none"/>
                <w:lang w:val="en-US" w:eastAsia="zh-CN"/>
              </w:rPr>
              <w:t>23</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rPr>
              <w:t>纳氏试剂分光光度法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氟化物</w:t>
            </w:r>
          </w:p>
        </w:tc>
        <w:tc>
          <w:tcPr>
            <w:tcW w:w="1358"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w:t>
            </w:r>
            <w:r>
              <w:rPr>
                <w:rFonts w:hint="default" w:ascii="Times New Roman" w:hAnsi="Times New Roman" w:eastAsia="宋体" w:cs="Times New Roman"/>
                <w:kern w:val="0"/>
                <w:sz w:val="21"/>
                <w:szCs w:val="21"/>
                <w:highlight w:val="none"/>
                <w:lang w:val="en-US" w:eastAsia="zh-CN" w:bidi="ar"/>
              </w:rPr>
              <w:t xml:space="preserve">   </w:t>
            </w:r>
            <w:r>
              <w:rPr>
                <w:rFonts w:hint="default" w:ascii="Times New Roman" w:hAnsi="Times New Roman" w:eastAsia="宋体" w:cs="Times New Roman"/>
                <w:kern w:val="0"/>
                <w:sz w:val="21"/>
                <w:szCs w:val="21"/>
                <w:highlight w:val="none"/>
                <w:lang w:eastAsia="zh-CN" w:bidi="ar"/>
              </w:rPr>
              <w:t>THYQ-0</w:t>
            </w:r>
            <w:r>
              <w:rPr>
                <w:rFonts w:hint="default" w:ascii="Times New Roman" w:hAnsi="Times New Roman" w:eastAsia="宋体" w:cs="Times New Roman"/>
                <w:kern w:val="0"/>
                <w:sz w:val="21"/>
                <w:szCs w:val="21"/>
                <w:highlight w:val="none"/>
                <w:lang w:val="en-US" w:eastAsia="zh-CN" w:bidi="ar"/>
              </w:rPr>
              <w:t>92</w:t>
            </w:r>
          </w:p>
        </w:tc>
        <w:tc>
          <w:tcPr>
            <w:tcW w:w="1484"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HJ488-2009</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氟试剂分光光度法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氰化物</w:t>
            </w:r>
          </w:p>
        </w:tc>
        <w:tc>
          <w:tcPr>
            <w:tcW w:w="1358"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rPr>
              <w:t>紫外分光光度计THYQ-092</w:t>
            </w:r>
          </w:p>
        </w:tc>
        <w:tc>
          <w:tcPr>
            <w:tcW w:w="1484"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lang w:val="en-US" w:eastAsia="zh-CN"/>
              </w:rPr>
              <w:t>GB/T 5750.5-</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sz w:val="21"/>
                <w:szCs w:val="21"/>
              </w:rPr>
              <w:t>分光光度法</w:t>
            </w:r>
          </w:p>
        </w:tc>
        <w:tc>
          <w:tcPr>
            <w:tcW w:w="795"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exact"/>
          <w:jc w:val="center"/>
        </w:trPr>
        <w:tc>
          <w:tcPr>
            <w:tcW w:w="36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阴离子表面活性剂</w:t>
            </w:r>
          </w:p>
        </w:tc>
        <w:tc>
          <w:tcPr>
            <w:tcW w:w="1358" w:type="pct"/>
            <w:noWrap w:val="0"/>
            <w:vAlign w:val="center"/>
          </w:tcPr>
          <w:p>
            <w:pPr>
              <w:spacing w:line="2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紫外分光光度计</w:t>
            </w:r>
          </w:p>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THYQ-092</w:t>
            </w:r>
          </w:p>
        </w:tc>
        <w:tc>
          <w:tcPr>
            <w:tcW w:w="1484" w:type="pct"/>
            <w:noWrap w:val="0"/>
            <w:vAlign w:val="center"/>
          </w:tcPr>
          <w:p>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7494-1987</w:t>
            </w:r>
          </w:p>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亚甲蓝分光光度法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0.05</w:t>
            </w:r>
            <w:r>
              <w:rPr>
                <w:rFonts w:hint="default" w:ascii="Times New Roman" w:hAnsi="Times New Roman" w:eastAsia="宋体" w:cs="Times New Roman"/>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exact"/>
          <w:jc w:val="center"/>
        </w:trPr>
        <w:tc>
          <w:tcPr>
            <w:tcW w:w="36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highlight w:val="none"/>
                <w:lang w:val="en-US" w:eastAsia="zh-CN" w:bidi="ar"/>
              </w:rPr>
              <w:t>溶解性总固体</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电热恒温鼓风干燥箱THYQ-096</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GB/T 5750.4-2023称量法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exact"/>
          <w:jc w:val="center"/>
        </w:trPr>
        <w:tc>
          <w:tcPr>
            <w:tcW w:w="36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highlight w:val="none"/>
                <w:lang w:val="en-US" w:eastAsia="zh-CN" w:bidi="ar"/>
              </w:rPr>
              <w:t>臭和味</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highlight w:val="none"/>
                <w:lang w:val="en-US" w:eastAsia="zh-CN"/>
              </w:rPr>
              <w:t>/</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rPr>
              <w:t>嗅气和尝味法、直接观察法</w:t>
            </w:r>
          </w:p>
        </w:tc>
        <w:tc>
          <w:tcPr>
            <w:tcW w:w="79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肉眼可见物</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kern w:val="0"/>
                <w:sz w:val="21"/>
                <w:szCs w:val="21"/>
              </w:rPr>
              <w:t>直接观察法</w:t>
            </w:r>
          </w:p>
        </w:tc>
        <w:tc>
          <w:tcPr>
            <w:tcW w:w="79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砷</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电感耦合等离子体质谱仪THYQ-222</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5" w:type="pct"/>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0.00012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2"/>
                <w:sz w:val="21"/>
                <w:szCs w:val="21"/>
                <w:u w:val="none" w:color="000000"/>
                <w:lang w:val="en-US" w:eastAsia="zh-CN" w:bidi="ar-SA"/>
              </w:rPr>
            </w:pPr>
            <w:r>
              <w:rPr>
                <w:rFonts w:hint="default" w:ascii="Times New Roman" w:hAnsi="Times New Roman" w:eastAsia="宋体" w:cs="Times New Roman"/>
                <w:sz w:val="21"/>
                <w:szCs w:val="21"/>
                <w:highlight w:val="none"/>
                <w:lang w:val="en-US" w:eastAsia="zh-CN"/>
              </w:rPr>
              <w:t>汞</w:t>
            </w:r>
          </w:p>
        </w:tc>
        <w:tc>
          <w:tcPr>
            <w:tcW w:w="1358"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原子荧光分光光度计 THYQ-181</w:t>
            </w:r>
          </w:p>
          <w:p>
            <w:pPr>
              <w:jc w:val="center"/>
              <w:rPr>
                <w:rFonts w:hint="default" w:ascii="Times New Roman" w:hAnsi="Times New Roman" w:eastAsia="宋体" w:cs="Times New Roman"/>
                <w:color w:val="auto"/>
                <w:kern w:val="2"/>
                <w:sz w:val="21"/>
                <w:szCs w:val="21"/>
                <w:u w:val="none" w:color="000000"/>
                <w:lang w:val="en-US" w:eastAsia="zh-CN" w:bidi="ar-SA"/>
              </w:rPr>
            </w:pPr>
          </w:p>
        </w:tc>
        <w:tc>
          <w:tcPr>
            <w:tcW w:w="1484"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GB/T 5750.6-2023</w:t>
            </w:r>
          </w:p>
          <w:p>
            <w:pPr>
              <w:jc w:val="center"/>
              <w:rPr>
                <w:rFonts w:hint="default" w:ascii="Times New Roman" w:hAnsi="Times New Roman" w:eastAsia="宋体" w:cs="Times New Roman"/>
                <w:color w:val="FF0000"/>
                <w:kern w:val="2"/>
                <w:sz w:val="21"/>
                <w:szCs w:val="21"/>
                <w:u w:val="none" w:color="000000"/>
                <w:lang w:val="en-US" w:eastAsia="zh-CN" w:bidi="ar-SA"/>
              </w:rPr>
            </w:pPr>
            <w:r>
              <w:rPr>
                <w:rFonts w:hint="default" w:ascii="Times New Roman" w:hAnsi="Times New Roman" w:eastAsia="宋体" w:cs="Times New Roman"/>
                <w:sz w:val="21"/>
                <w:szCs w:val="21"/>
                <w:highlight w:val="none"/>
                <w:lang w:val="en-US" w:eastAsia="zh-CN"/>
              </w:rPr>
              <w:t>原子荧光分光光度法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铅</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5" w:type="pct"/>
            <w:noWrap w:val="0"/>
            <w:vAlign w:val="center"/>
          </w:tcPr>
          <w:p>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superscript"/>
                <w:lang w:val="en-US" w:eastAsia="zh-CN"/>
              </w:rPr>
              <w:t>-5</w:t>
            </w:r>
            <w:r>
              <w:rPr>
                <w:rFonts w:hint="default" w:ascii="Times New Roman" w:hAnsi="Times New Roman" w:eastAsia="宋体" w:cs="Times New Roman"/>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铁</w:t>
            </w:r>
          </w:p>
        </w:tc>
        <w:tc>
          <w:tcPr>
            <w:tcW w:w="1358"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48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11911-1989</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rPr>
              <w:t>原子吸收分光光度法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03</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exact"/>
          <w:jc w:val="center"/>
        </w:trPr>
        <w:tc>
          <w:tcPr>
            <w:tcW w:w="36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锰</w:t>
            </w:r>
          </w:p>
        </w:tc>
        <w:tc>
          <w:tcPr>
            <w:tcW w:w="1358"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48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11911-1989</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rPr>
              <w:t>原子吸收分光光度法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挥发酚</w:t>
            </w:r>
          </w:p>
        </w:tc>
        <w:tc>
          <w:tcPr>
            <w:tcW w:w="1358" w:type="pct"/>
            <w:noWrap w:val="0"/>
            <w:vAlign w:val="center"/>
          </w:tcPr>
          <w:p>
            <w:pPr>
              <w:wordWrap/>
              <w:adjustRightInd/>
              <w:snapToGrid/>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紫外分光光度计</w:t>
            </w:r>
          </w:p>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THYQ-092</w:t>
            </w:r>
          </w:p>
        </w:tc>
        <w:tc>
          <w:tcPr>
            <w:tcW w:w="1484" w:type="pct"/>
            <w:noWrap w:val="0"/>
            <w:vAlign w:val="center"/>
          </w:tcPr>
          <w:p>
            <w:pPr>
              <w:wordWrap/>
              <w:adjustRightInd/>
              <w:snapToGrid/>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HJ 503-2009</w:t>
            </w:r>
          </w:p>
          <w:p>
            <w:pPr>
              <w:wordWrap/>
              <w:adjustRightInd/>
              <w:snapToGrid/>
              <w:spacing w:line="2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分光光度法</w:t>
            </w:r>
          </w:p>
        </w:tc>
        <w:tc>
          <w:tcPr>
            <w:tcW w:w="795"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bidi="ar"/>
              </w:rPr>
              <w:t>色度</w:t>
            </w:r>
          </w:p>
        </w:tc>
        <w:tc>
          <w:tcPr>
            <w:tcW w:w="1358" w:type="pct"/>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p>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铂-钴标准比色法</w:t>
            </w:r>
          </w:p>
        </w:tc>
        <w:tc>
          <w:tcPr>
            <w:tcW w:w="795" w:type="pct"/>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铜</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原子吸收分光光度计THYQ-350</w:t>
            </w:r>
          </w:p>
        </w:tc>
        <w:tc>
          <w:tcPr>
            <w:tcW w:w="1484" w:type="pct"/>
            <w:noWrap w:val="0"/>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 5750.6-2023</w:t>
            </w: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原子吸收分光光度法</w:t>
            </w:r>
          </w:p>
        </w:tc>
        <w:tc>
          <w:tcPr>
            <w:tcW w:w="79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sz w:val="21"/>
                <w:szCs w:val="21"/>
                <w:highlight w:val="green"/>
                <w:lang w:val="en-US" w:eastAsia="zh-CN"/>
              </w:rPr>
            </w:pP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0.2</w:t>
            </w:r>
            <w:r>
              <w:rPr>
                <w:rFonts w:hint="default" w:ascii="Times New Roman" w:hAnsi="Times New Roman" w:eastAsia="宋体" w:cs="Times New Roman"/>
                <w:kern w:val="0"/>
                <w:sz w:val="21"/>
                <w:szCs w:val="21"/>
                <w:highlight w:val="none"/>
                <w:lang w:bidi="ar"/>
              </w:rPr>
              <w:t>m</w:t>
            </w:r>
            <w:r>
              <w:rPr>
                <w:rFonts w:hint="default" w:ascii="Times New Roman" w:hAnsi="Times New Roman" w:eastAsia="宋体" w:cs="Times New Roman"/>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锌</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原子吸收分光光度计 THYQ-350</w:t>
            </w:r>
          </w:p>
        </w:tc>
        <w:tc>
          <w:tcPr>
            <w:tcW w:w="1484" w:type="pct"/>
            <w:noWrap w:val="0"/>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 5750.6-2023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sz w:val="21"/>
                <w:szCs w:val="21"/>
                <w:highlight w:val="none"/>
                <w:lang w:val="en-US" w:eastAsia="zh-CN"/>
              </w:rPr>
              <w:t>铬（六价）</w:t>
            </w:r>
          </w:p>
        </w:tc>
        <w:tc>
          <w:tcPr>
            <w:tcW w:w="1358" w:type="pct"/>
            <w:noWrap w:val="0"/>
            <w:vAlign w:val="center"/>
          </w:tcPr>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紫外分光光度计THYQ-092</w:t>
            </w:r>
          </w:p>
        </w:tc>
        <w:tc>
          <w:tcPr>
            <w:tcW w:w="1484" w:type="pct"/>
            <w:noWrap w:val="0"/>
            <w:vAlign w:val="center"/>
          </w:tcPr>
          <w:p>
            <w:pPr>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GB/T 5750.6-20</w:t>
            </w:r>
            <w:r>
              <w:rPr>
                <w:rFonts w:hint="default" w:ascii="Times New Roman" w:hAnsi="Times New Roman" w:eastAsia="宋体" w:cs="Times New Roman"/>
                <w:sz w:val="21"/>
                <w:szCs w:val="21"/>
                <w:highlight w:val="none"/>
                <w:lang w:val="en-US" w:eastAsia="zh-CN"/>
              </w:rPr>
              <w:t>23</w:t>
            </w:r>
          </w:p>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二苯碳酰二肼分光光度法</w:t>
            </w:r>
          </w:p>
        </w:tc>
        <w:tc>
          <w:tcPr>
            <w:tcW w:w="795" w:type="pct"/>
            <w:noWrap w:val="0"/>
            <w:vAlign w:val="center"/>
          </w:tcPr>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耗氧量</w:t>
            </w:r>
          </w:p>
        </w:tc>
        <w:tc>
          <w:tcPr>
            <w:tcW w:w="135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水浴锅THYQ-013</w:t>
            </w:r>
          </w:p>
        </w:tc>
        <w:tc>
          <w:tcPr>
            <w:tcW w:w="1484"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GB/T 5750.7-</w:t>
            </w:r>
            <w:r>
              <w:rPr>
                <w:rFonts w:hint="default" w:ascii="Times New Roman" w:hAnsi="Times New Roman" w:eastAsia="宋体" w:cs="Times New Roman"/>
                <w:b w:val="0"/>
                <w:bCs w:val="0"/>
                <w:sz w:val="21"/>
                <w:szCs w:val="21"/>
                <w:lang w:val="en-US" w:eastAsia="zh-CN"/>
              </w:rPr>
              <w:t>2023</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高锰酸钾滴定法</w:t>
            </w: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superscript"/>
                <w:lang w:val="en-US" w:eastAsia="zh-CN"/>
              </w:rPr>
              <w:t>-5</w:t>
            </w:r>
            <w:r>
              <w:rPr>
                <w:rFonts w:hint="default" w:ascii="Times New Roman" w:hAnsi="Times New Roman" w:eastAsia="宋体" w:cs="Times New Roman"/>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氯化物</w:t>
            </w:r>
          </w:p>
        </w:tc>
        <w:tc>
          <w:tcPr>
            <w:tcW w:w="1358"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酸式滴定管</w:t>
            </w:r>
          </w:p>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HJ-01-01</w:t>
            </w:r>
          </w:p>
        </w:tc>
        <w:tc>
          <w:tcPr>
            <w:tcW w:w="148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GB/T5750.5-2023</w:t>
            </w:r>
          </w:p>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sz w:val="21"/>
                <w:szCs w:val="21"/>
                <w:lang w:val="en-US" w:eastAsia="zh-CN"/>
              </w:rPr>
              <w:t>硝酸银容量法</w:t>
            </w:r>
          </w:p>
        </w:tc>
        <w:tc>
          <w:tcPr>
            <w:tcW w:w="79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铝</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原子吸收分光光度计THYQ-350</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GB/T 5750.6-2023</w:t>
            </w:r>
            <w:r>
              <w:rPr>
                <w:rFonts w:hint="default" w:ascii="Times New Roman" w:hAnsi="Times New Roman" w:eastAsia="宋体" w:cs="Times New Roman"/>
                <w:sz w:val="21"/>
                <w:szCs w:val="21"/>
                <w:highlight w:val="none"/>
              </w:rPr>
              <w:t>分光光度法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0.008</w:t>
            </w:r>
            <w:r>
              <w:rPr>
                <w:rFonts w:hint="default" w:ascii="Times New Roman" w:hAnsi="Times New Roman" w:eastAsia="宋体" w:cs="Times New Roman"/>
                <w:kern w:val="2"/>
                <w:sz w:val="21"/>
                <w:szCs w:val="21"/>
                <w:highlight w:val="none"/>
                <w:lang w:val="en-US" w:eastAsia="zh-CN" w:bidi="ar-SA"/>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钠</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原子吸收分光光度计THYQ-350</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5750.6-2023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碘化物</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紫外分光光度计</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THYQ-092</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GB/T 5750.</w:t>
            </w: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23</w:t>
            </w:r>
            <w:r>
              <w:rPr>
                <w:rFonts w:hint="default" w:ascii="Times New Roman" w:hAnsi="Times New Roman" w:eastAsia="宋体" w:cs="Times New Roman"/>
                <w:sz w:val="21"/>
                <w:szCs w:val="21"/>
                <w:highlight w:val="none"/>
              </w:rPr>
              <w:t>分光光度法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0.0053mg/L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kern w:val="0"/>
                <w:sz w:val="21"/>
                <w:szCs w:val="21"/>
                <w:highlight w:val="none"/>
                <w:lang w:bidi="ar"/>
              </w:rPr>
              <w:t>硒</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电感耦合等离子体质谱仪THYQ-222</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5"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0.00041</w:t>
            </w:r>
            <w:r>
              <w:rPr>
                <w:rFonts w:hint="default" w:ascii="Times New Roman" w:hAnsi="Times New Roman" w:eastAsia="宋体" w:cs="Times New Roman"/>
                <w:kern w:val="0"/>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三氯甲烷</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四氯化碳</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1.5</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溶解氧</w:t>
            </w:r>
          </w:p>
        </w:tc>
        <w:tc>
          <w:tcPr>
            <w:tcW w:w="1358" w:type="pct"/>
            <w:noWrap w:val="0"/>
            <w:vAlign w:val="center"/>
          </w:tcPr>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highlight w:val="none"/>
                <w:lang w:val="en-US" w:eastAsia="zh-CN"/>
              </w:rPr>
              <w:t>滴定管  HJ-01-05</w:t>
            </w:r>
          </w:p>
        </w:tc>
        <w:tc>
          <w:tcPr>
            <w:tcW w:w="148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0"/>
                <w:sz w:val="21"/>
                <w:szCs w:val="21"/>
                <w:lang w:bidi="ar"/>
              </w:rPr>
              <w:t>GB/T 7489-1987</w:t>
            </w:r>
            <w:r>
              <w:rPr>
                <w:rFonts w:hint="default" w:ascii="Times New Roman" w:hAnsi="Times New Roman" w:eastAsia="宋体" w:cs="Times New Roman"/>
                <w:color w:val="auto"/>
                <w:kern w:val="0"/>
                <w:sz w:val="21"/>
                <w:szCs w:val="21"/>
                <w:lang w:val="en-US" w:eastAsia="zh-CN" w:bidi="ar"/>
              </w:rPr>
              <w:t>碘量法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化学需氧量（CODcr）</w:t>
            </w:r>
          </w:p>
        </w:tc>
        <w:tc>
          <w:tcPr>
            <w:tcW w:w="1358"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紫外分光光度计</w:t>
            </w:r>
          </w:p>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2"/>
                <w:sz w:val="21"/>
                <w:szCs w:val="21"/>
                <w:highlight w:val="none"/>
                <w:lang w:val="en-US" w:eastAsia="zh-CN" w:bidi="ar-SA"/>
              </w:rPr>
              <w:t>THYQ-092</w:t>
            </w:r>
          </w:p>
        </w:tc>
        <w:tc>
          <w:tcPr>
            <w:tcW w:w="148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HJ/T 399—2007</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快速消解分光光度法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*总有机碳</w:t>
            </w:r>
          </w:p>
        </w:tc>
        <w:tc>
          <w:tcPr>
            <w:tcW w:w="1358"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HTY-CT1000B</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总有机碳（TOC）分析仪</w:t>
            </w:r>
          </w:p>
        </w:tc>
        <w:tc>
          <w:tcPr>
            <w:tcW w:w="148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501-2009燃烧氧化-非分散红外吸收法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36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萘</w:t>
            </w:r>
          </w:p>
        </w:tc>
        <w:tc>
          <w:tcPr>
            <w:tcW w:w="135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液相色谱仪</w:t>
            </w:r>
          </w:p>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lang w:val="en-US" w:eastAsia="zh-CN"/>
              </w:rPr>
              <w:t>THYQ-288</w:t>
            </w:r>
          </w:p>
        </w:tc>
        <w:tc>
          <w:tcPr>
            <w:tcW w:w="148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478-2009</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高效液相色谱法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0.012</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highlight w:val="none"/>
                <w:lang w:val="en-US" w:eastAsia="zh-CN" w:bidi="ar-SA"/>
              </w:rPr>
              <w:t>悬浮物</w:t>
            </w:r>
          </w:p>
        </w:tc>
        <w:tc>
          <w:tcPr>
            <w:tcW w:w="1358"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电热恒温鼓风干燥箱THYQ-096</w:t>
            </w:r>
          </w:p>
        </w:tc>
        <w:tc>
          <w:tcPr>
            <w:tcW w:w="148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GB/T 11901-1989</w:t>
            </w:r>
            <w:r>
              <w:rPr>
                <w:rFonts w:hint="default" w:ascii="Times New Roman" w:hAnsi="Times New Roman" w:eastAsia="宋体" w:cs="Times New Roman"/>
                <w:sz w:val="21"/>
                <w:szCs w:val="21"/>
                <w:lang w:val="en-US" w:eastAsia="zh-CN"/>
              </w:rPr>
              <w:t>重量法</w:t>
            </w:r>
          </w:p>
        </w:tc>
        <w:tc>
          <w:tcPr>
            <w:tcW w:w="79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苯</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5"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甲苯</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5"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邻二甲苯</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 吹扫捕集/气相色谱-质谱法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间，对-二甲苯</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 吹扫捕集/气相色谱-质谱法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2.2</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碳酸根</w:t>
            </w:r>
          </w:p>
        </w:tc>
        <w:tc>
          <w:tcPr>
            <w:tcW w:w="1358" w:type="pct"/>
            <w:noWrap w:val="0"/>
            <w:vAlign w:val="center"/>
          </w:tcPr>
          <w:p>
            <w:pPr>
              <w:widowControl/>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酸式滴定管</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HJ-0</w:t>
            </w:r>
            <w:r>
              <w:rPr>
                <w:rFonts w:hint="default" w:ascii="Times New Roman" w:hAnsi="Times New Roman" w:eastAsia="宋体" w:cs="Times New Roman"/>
                <w:sz w:val="21"/>
                <w:szCs w:val="21"/>
                <w:lang w:val="en-US" w:eastAsia="zh-CN"/>
              </w:rPr>
              <w:t>1-03</w:t>
            </w:r>
          </w:p>
        </w:tc>
        <w:tc>
          <w:tcPr>
            <w:tcW w:w="148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DZ/T 0064.49-</w:t>
            </w:r>
            <w:r>
              <w:rPr>
                <w:rFonts w:hint="default" w:ascii="Times New Roman" w:hAnsi="Times New Roman" w:eastAsia="宋体" w:cs="Times New Roman"/>
                <w:sz w:val="21"/>
                <w:szCs w:val="21"/>
                <w:lang w:val="en-US" w:eastAsia="zh-CN"/>
              </w:rPr>
              <w:t>2021</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eastAsia="zh-CN"/>
              </w:rPr>
              <w:t>滴定法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碳酸氢根</w:t>
            </w:r>
          </w:p>
        </w:tc>
        <w:tc>
          <w:tcPr>
            <w:tcW w:w="1358" w:type="pct"/>
            <w:noWrap w:val="0"/>
            <w:vAlign w:val="center"/>
          </w:tcPr>
          <w:p>
            <w:pPr>
              <w:widowControl/>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酸式滴定管</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HJ-0</w:t>
            </w:r>
            <w:r>
              <w:rPr>
                <w:rFonts w:hint="default" w:ascii="Times New Roman" w:hAnsi="Times New Roman" w:eastAsia="宋体" w:cs="Times New Roman"/>
                <w:sz w:val="21"/>
                <w:szCs w:val="21"/>
                <w:lang w:val="en-US" w:eastAsia="zh-CN"/>
              </w:rPr>
              <w:t>1-03</w:t>
            </w:r>
          </w:p>
        </w:tc>
        <w:tc>
          <w:tcPr>
            <w:tcW w:w="148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DZ/T 0064.49-</w:t>
            </w:r>
            <w:r>
              <w:rPr>
                <w:rFonts w:hint="default" w:ascii="Times New Roman" w:hAnsi="Times New Roman" w:eastAsia="宋体" w:cs="Times New Roman"/>
                <w:sz w:val="21"/>
                <w:szCs w:val="21"/>
                <w:lang w:val="en-US" w:eastAsia="zh-CN"/>
              </w:rPr>
              <w:t>2021</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eastAsia="zh-CN"/>
              </w:rPr>
              <w:t>滴定法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石油烃（C6-C9）</w:t>
            </w:r>
          </w:p>
        </w:tc>
        <w:tc>
          <w:tcPr>
            <w:tcW w:w="135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气相色谱仪THYQ-158</w:t>
            </w:r>
          </w:p>
        </w:tc>
        <w:tc>
          <w:tcPr>
            <w:tcW w:w="148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893-2017</w:t>
            </w:r>
          </w:p>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吹扫捕集/气相色谱法</w:t>
            </w:r>
          </w:p>
          <w:p>
            <w:pPr>
              <w:jc w:val="center"/>
              <w:rPr>
                <w:rFonts w:hint="default" w:ascii="Times New Roman" w:hAnsi="Times New Roman" w:eastAsia="宋体" w:cs="Times New Roman"/>
                <w:kern w:val="2"/>
                <w:sz w:val="21"/>
                <w:szCs w:val="21"/>
                <w:highlight w:val="none"/>
                <w:lang w:val="en-US" w:eastAsia="zh-CN" w:bidi="ar-SA"/>
              </w:rPr>
            </w:pPr>
          </w:p>
        </w:tc>
        <w:tc>
          <w:tcPr>
            <w:tcW w:w="79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石油烃（C10-C40）</w:t>
            </w:r>
          </w:p>
        </w:tc>
        <w:tc>
          <w:tcPr>
            <w:tcW w:w="135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气相色谱仪THYQ-158</w:t>
            </w:r>
          </w:p>
        </w:tc>
        <w:tc>
          <w:tcPr>
            <w:tcW w:w="148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894-2017</w:t>
            </w:r>
          </w:p>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吹扫捕集/气相色谱法</w:t>
            </w:r>
          </w:p>
          <w:p>
            <w:pPr>
              <w:jc w:val="center"/>
              <w:rPr>
                <w:rFonts w:hint="default" w:ascii="Times New Roman" w:hAnsi="Times New Roman" w:eastAsia="宋体" w:cs="Times New Roman"/>
                <w:kern w:val="2"/>
                <w:sz w:val="21"/>
                <w:szCs w:val="21"/>
                <w:lang w:val="en-US" w:eastAsia="zh-CN" w:bidi="ar-SA"/>
              </w:rPr>
            </w:pPr>
          </w:p>
        </w:tc>
        <w:tc>
          <w:tcPr>
            <w:tcW w:w="79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钾</w:t>
            </w:r>
          </w:p>
        </w:tc>
        <w:tc>
          <w:tcPr>
            <w:tcW w:w="1358"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48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0.0045mg/L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钙</w:t>
            </w:r>
          </w:p>
        </w:tc>
        <w:tc>
          <w:tcPr>
            <w:tcW w:w="135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48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GB/T 11905-1989</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镁</w:t>
            </w:r>
          </w:p>
        </w:tc>
        <w:tc>
          <w:tcPr>
            <w:tcW w:w="1358"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48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11905-1989</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总大肠菌群</w:t>
            </w:r>
          </w:p>
        </w:tc>
        <w:tc>
          <w:tcPr>
            <w:tcW w:w="1358" w:type="pct"/>
            <w:noWrap w:val="0"/>
            <w:vAlign w:val="center"/>
          </w:tcPr>
          <w:p>
            <w:pPr>
              <w:widowControl/>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生化培养箱</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THYQ-057</w:t>
            </w:r>
          </w:p>
        </w:tc>
        <w:tc>
          <w:tcPr>
            <w:tcW w:w="1484" w:type="pct"/>
            <w:noWrap w:val="0"/>
            <w:vAlign w:val="center"/>
          </w:tcPr>
          <w:p>
            <w:pPr>
              <w:spacing w:line="24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GB/T</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5750.12-20</w:t>
            </w:r>
            <w:r>
              <w:rPr>
                <w:rFonts w:hint="default" w:ascii="Times New Roman" w:hAnsi="Times New Roman" w:eastAsia="宋体" w:cs="Times New Roman"/>
                <w:kern w:val="0"/>
                <w:sz w:val="21"/>
                <w:szCs w:val="21"/>
                <w:lang w:val="en-US" w:eastAsia="zh-CN"/>
              </w:rPr>
              <w:t>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rPr>
              <w:t>多管发酵法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乙苯</w:t>
            </w:r>
          </w:p>
        </w:tc>
        <w:tc>
          <w:tcPr>
            <w:tcW w:w="1358"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THYQ-175</w:t>
            </w:r>
          </w:p>
        </w:tc>
        <w:tc>
          <w:tcPr>
            <w:tcW w:w="148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HJ 639-2012 吹扫捕集/气相色谱-质谱法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0.8</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6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菌落总数</w:t>
            </w:r>
          </w:p>
        </w:tc>
        <w:tc>
          <w:tcPr>
            <w:tcW w:w="1358" w:type="pct"/>
            <w:noWrap w:val="0"/>
            <w:vAlign w:val="center"/>
          </w:tcPr>
          <w:p>
            <w:pPr>
              <w:widowControl/>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生化培养箱</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THYQ-057</w:t>
            </w:r>
          </w:p>
        </w:tc>
        <w:tc>
          <w:tcPr>
            <w:tcW w:w="1484" w:type="pct"/>
            <w:noWrap w:val="0"/>
            <w:vAlign w:val="center"/>
          </w:tcPr>
          <w:p>
            <w:pPr>
              <w:spacing w:line="24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GB/T</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5750.12-20</w:t>
            </w:r>
            <w:r>
              <w:rPr>
                <w:rFonts w:hint="default" w:ascii="Times New Roman" w:hAnsi="Times New Roman" w:eastAsia="宋体" w:cs="Times New Roman"/>
                <w:kern w:val="0"/>
                <w:sz w:val="21"/>
                <w:szCs w:val="21"/>
                <w:lang w:val="en-US" w:eastAsia="zh-CN"/>
              </w:rPr>
              <w:t>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平皿计数法</w:t>
            </w:r>
          </w:p>
        </w:tc>
        <w:tc>
          <w:tcPr>
            <w:tcW w:w="795"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bl>
    <w:p>
      <w:pPr>
        <w:pStyle w:val="3"/>
        <w:numPr>
          <w:ilvl w:val="0"/>
          <w:numId w:val="0"/>
        </w:numPr>
        <w:spacing w:after="0" w:line="360" w:lineRule="auto"/>
        <w:ind w:left="0" w:leftChars="0" w:firstLine="482"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b/>
          <w:sz w:val="24"/>
          <w:szCs w:val="24"/>
          <w:lang w:val="en-US" w:eastAsia="zh-CN"/>
        </w:rPr>
        <w:t>7.1.4油气回收处理系统监测</w:t>
      </w:r>
    </w:p>
    <w:p>
      <w:pPr>
        <w:pStyle w:val="3"/>
        <w:numPr>
          <w:ilvl w:val="0"/>
          <w:numId w:val="0"/>
        </w:numPr>
        <w:spacing w:after="0" w:line="360" w:lineRule="auto"/>
        <w:ind w:left="0" w:leftChars="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kern w:val="2"/>
          <w:sz w:val="24"/>
          <w:szCs w:val="28"/>
          <w:lang w:val="en-US" w:eastAsia="zh-CN" w:bidi="ar-SA"/>
        </w:rPr>
        <w:t>1、</w:t>
      </w:r>
      <w:r>
        <w:rPr>
          <w:rFonts w:hint="default" w:ascii="Times New Roman" w:hAnsi="Times New Roman" w:eastAsia="宋体" w:cs="Times New Roman"/>
          <w:color w:val="000000"/>
          <w:sz w:val="24"/>
          <w:szCs w:val="28"/>
        </w:rPr>
        <w:t>监测技术规范及使用仪器</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监测技术规范及使用仪器见表。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firstLine="482" w:firstLineChars="200"/>
        <w:jc w:val="center"/>
        <w:textAlignment w:val="auto"/>
        <w:rPr>
          <w:rFonts w:hint="default" w:ascii="Times New Roman" w:hAnsi="Times New Roman" w:eastAsia="宋体" w:cs="Times New Roman"/>
          <w:b/>
          <w:bCs/>
          <w:color w:val="000000"/>
          <w:sz w:val="24"/>
          <w:szCs w:val="28"/>
        </w:rPr>
      </w:pPr>
      <w:r>
        <w:rPr>
          <w:rFonts w:hint="default" w:ascii="Times New Roman" w:hAnsi="Times New Roman" w:eastAsia="宋体" w:cs="Times New Roman"/>
          <w:b/>
          <w:bCs/>
          <w:color w:val="000000"/>
          <w:sz w:val="24"/>
          <w:szCs w:val="28"/>
          <w:lang w:val="en-US" w:eastAsia="zh-CN"/>
        </w:rPr>
        <w:t>表7-5</w:t>
      </w:r>
      <w:r>
        <w:rPr>
          <w:rFonts w:hint="default" w:ascii="Times New Roman" w:hAnsi="Times New Roman" w:eastAsia="宋体" w:cs="Times New Roman"/>
          <w:b/>
          <w:bCs/>
          <w:color w:val="000000"/>
          <w:sz w:val="24"/>
          <w:szCs w:val="28"/>
        </w:rPr>
        <w:t>监测技术规范及使用仪器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1120"/>
        <w:gridCol w:w="2047"/>
        <w:gridCol w:w="3533"/>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blHeader/>
          <w:jc w:val="center"/>
        </w:trPr>
        <w:tc>
          <w:tcPr>
            <w:tcW w:w="0" w:type="auto"/>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检测类别</w:t>
            </w:r>
          </w:p>
        </w:tc>
        <w:tc>
          <w:tcPr>
            <w:tcW w:w="0" w:type="auto"/>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检测项目</w:t>
            </w:r>
          </w:p>
        </w:tc>
        <w:tc>
          <w:tcPr>
            <w:tcW w:w="0" w:type="auto"/>
            <w:noWrap w:val="0"/>
            <w:vAlign w:val="center"/>
          </w:tcPr>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主要</w:t>
            </w:r>
            <w:r>
              <w:rPr>
                <w:rFonts w:hint="default" w:ascii="Times New Roman" w:hAnsi="Times New Roman" w:eastAsia="宋体" w:cs="Times New Roman"/>
                <w:b/>
                <w:color w:val="000000"/>
                <w:sz w:val="21"/>
                <w:szCs w:val="21"/>
              </w:rPr>
              <w:t>仪器设备</w:t>
            </w:r>
            <w:r>
              <w:rPr>
                <w:rFonts w:hint="default" w:ascii="Times New Roman" w:hAnsi="Times New Roman" w:eastAsia="宋体" w:cs="Times New Roman"/>
                <w:b/>
                <w:color w:val="000000"/>
                <w:sz w:val="21"/>
                <w:szCs w:val="21"/>
                <w:lang w:val="en-US" w:eastAsia="zh-CN"/>
              </w:rPr>
              <w:t>及</w:t>
            </w:r>
          </w:p>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编号</w:t>
            </w:r>
          </w:p>
        </w:tc>
        <w:tc>
          <w:tcPr>
            <w:tcW w:w="0" w:type="auto"/>
            <w:noWrap w:val="0"/>
            <w:vAlign w:val="center"/>
          </w:tcPr>
          <w:p>
            <w:pPr>
              <w:adjustRightInd w:val="0"/>
              <w:snapToGrid w:val="0"/>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方法依据</w:t>
            </w:r>
          </w:p>
        </w:tc>
        <w:tc>
          <w:tcPr>
            <w:tcW w:w="0" w:type="auto"/>
            <w:noWrap w:val="0"/>
            <w:vAlign w:val="center"/>
          </w:tcPr>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0" w:type="auto"/>
            <w:vMerge w:val="restar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油气回收</w:t>
            </w:r>
          </w:p>
        </w:tc>
        <w:tc>
          <w:tcPr>
            <w:tcW w:w="0" w:type="auto"/>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密闭性</w:t>
            </w:r>
          </w:p>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（5分钟后压力）</w:t>
            </w:r>
          </w:p>
        </w:tc>
        <w:tc>
          <w:tcPr>
            <w:tcW w:w="0" w:type="auto"/>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油</w:t>
            </w:r>
            <w:r>
              <w:rPr>
                <w:rFonts w:hint="default" w:ascii="Times New Roman" w:hAnsi="Times New Roman" w:eastAsia="宋体" w:cs="Times New Roman"/>
                <w:color w:val="auto"/>
                <w:sz w:val="21"/>
                <w:szCs w:val="21"/>
                <w:lang w:val="en-US" w:eastAsia="zh-CN"/>
              </w:rPr>
              <w:t>气回收多参数检测仪THYQ-147</w:t>
            </w:r>
          </w:p>
        </w:tc>
        <w:tc>
          <w:tcPr>
            <w:tcW w:w="0" w:type="auto"/>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 20952-2020 附录B</w:t>
            </w:r>
          </w:p>
          <w:p>
            <w:pPr>
              <w:pStyle w:val="31"/>
              <w:jc w:val="center"/>
              <w:rPr>
                <w:rFonts w:hint="default" w:ascii="Times New Roman" w:hAnsi="Times New Roman" w:eastAsia="宋体" w:cs="Times New Roman"/>
                <w:color w:val="000000"/>
                <w:kern w:val="2"/>
                <w:sz w:val="21"/>
                <w:szCs w:val="21"/>
                <w:shd w:val="clear" w:color="auto" w:fill="FFFFFF"/>
              </w:rPr>
            </w:pPr>
            <w:r>
              <w:rPr>
                <w:rFonts w:hint="default" w:ascii="Times New Roman" w:hAnsi="Times New Roman" w:eastAsia="宋体" w:cs="Times New Roman"/>
                <w:color w:val="000000"/>
                <w:sz w:val="21"/>
                <w:szCs w:val="21"/>
              </w:rPr>
              <w:t>密闭性检测方法</w:t>
            </w:r>
          </w:p>
        </w:tc>
        <w:tc>
          <w:tcPr>
            <w:tcW w:w="0" w:type="auto"/>
            <w:noWrap w:val="0"/>
            <w:vAlign w:val="center"/>
          </w:tcPr>
          <w:p>
            <w:pPr>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0" w:type="auto"/>
            <w:vMerge w:val="continue"/>
            <w:noWrap w:val="0"/>
            <w:vAlign w:val="center"/>
          </w:tcPr>
          <w:p>
            <w:pPr>
              <w:jc w:val="center"/>
              <w:rPr>
                <w:rFonts w:hint="default" w:ascii="Times New Roman" w:hAnsi="Times New Roman" w:eastAsia="宋体" w:cs="Times New Roman"/>
                <w:color w:val="000000"/>
                <w:sz w:val="21"/>
                <w:szCs w:val="21"/>
              </w:rPr>
            </w:pPr>
          </w:p>
        </w:tc>
        <w:tc>
          <w:tcPr>
            <w:tcW w:w="0" w:type="auto"/>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液阻</w:t>
            </w:r>
          </w:p>
        </w:tc>
        <w:tc>
          <w:tcPr>
            <w:tcW w:w="0" w:type="auto"/>
            <w:vMerge w:val="continue"/>
            <w:noWrap w:val="0"/>
            <w:vAlign w:val="center"/>
          </w:tcPr>
          <w:p>
            <w:pPr>
              <w:widowControl/>
              <w:adjustRightInd w:val="0"/>
              <w:snapToGrid w:val="0"/>
              <w:spacing w:line="300" w:lineRule="exact"/>
              <w:jc w:val="center"/>
              <w:rPr>
                <w:rFonts w:hint="default" w:ascii="Times New Roman" w:hAnsi="Times New Roman" w:eastAsia="宋体" w:cs="Times New Roman"/>
                <w:color w:val="000000"/>
                <w:kern w:val="0"/>
                <w:sz w:val="21"/>
                <w:szCs w:val="21"/>
              </w:rPr>
            </w:pPr>
          </w:p>
        </w:tc>
        <w:tc>
          <w:tcPr>
            <w:tcW w:w="0" w:type="auto"/>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GB 20952-2020 附录A</w:t>
            </w:r>
          </w:p>
          <w:p>
            <w:pPr>
              <w:jc w:val="center"/>
              <w:rPr>
                <w:rFonts w:hint="default" w:ascii="Times New Roman" w:hAnsi="Times New Roman" w:eastAsia="宋体" w:cs="Times New Roman"/>
                <w:color w:val="000000"/>
                <w:sz w:val="21"/>
                <w:szCs w:val="21"/>
                <w:shd w:val="clear" w:color="auto" w:fill="FFFFFF"/>
              </w:rPr>
            </w:pPr>
            <w:r>
              <w:rPr>
                <w:rFonts w:hint="default" w:ascii="Times New Roman" w:hAnsi="Times New Roman" w:eastAsia="宋体" w:cs="Times New Roman"/>
                <w:bCs/>
                <w:color w:val="000000"/>
                <w:sz w:val="21"/>
                <w:szCs w:val="21"/>
              </w:rPr>
              <w:t>液阻检测方法</w:t>
            </w:r>
          </w:p>
        </w:tc>
        <w:tc>
          <w:tcPr>
            <w:tcW w:w="0" w:type="auto"/>
            <w:noWrap w:val="0"/>
            <w:vAlign w:val="center"/>
          </w:tcPr>
          <w:p>
            <w:pPr>
              <w:widowControl/>
              <w:adjustRightInd w:val="0"/>
              <w:snapToGrid w:val="0"/>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0" w:type="auto"/>
            <w:vMerge w:val="continue"/>
            <w:noWrap w:val="0"/>
            <w:vAlign w:val="center"/>
          </w:tcPr>
          <w:p>
            <w:pPr>
              <w:jc w:val="center"/>
              <w:rPr>
                <w:rFonts w:hint="default" w:ascii="Times New Roman" w:hAnsi="Times New Roman" w:eastAsia="宋体" w:cs="Times New Roman"/>
                <w:color w:val="000000"/>
                <w:sz w:val="21"/>
                <w:szCs w:val="21"/>
              </w:rPr>
            </w:pPr>
          </w:p>
        </w:tc>
        <w:tc>
          <w:tcPr>
            <w:tcW w:w="0" w:type="auto"/>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气液比</w:t>
            </w:r>
          </w:p>
        </w:tc>
        <w:tc>
          <w:tcPr>
            <w:tcW w:w="0" w:type="auto"/>
            <w:vMerge w:val="continue"/>
            <w:noWrap w:val="0"/>
            <w:vAlign w:val="center"/>
          </w:tcPr>
          <w:p>
            <w:pPr>
              <w:pStyle w:val="31"/>
              <w:jc w:val="center"/>
              <w:rPr>
                <w:rFonts w:hint="default" w:ascii="Times New Roman" w:hAnsi="Times New Roman" w:eastAsia="宋体" w:cs="Times New Roman"/>
                <w:color w:val="000000"/>
                <w:sz w:val="21"/>
                <w:szCs w:val="21"/>
              </w:rPr>
            </w:pPr>
          </w:p>
        </w:tc>
        <w:tc>
          <w:tcPr>
            <w:tcW w:w="0" w:type="auto"/>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 20952-2020 附录C</w:t>
            </w:r>
          </w:p>
          <w:p>
            <w:pPr>
              <w:pStyle w:val="31"/>
              <w:jc w:val="center"/>
              <w:rPr>
                <w:rFonts w:hint="default" w:ascii="Times New Roman" w:hAnsi="Times New Roman" w:eastAsia="宋体" w:cs="Times New Roman"/>
                <w:color w:val="000000"/>
                <w:kern w:val="2"/>
                <w:sz w:val="21"/>
                <w:szCs w:val="21"/>
                <w:shd w:val="clear" w:color="auto" w:fill="FFFFFF"/>
              </w:rPr>
            </w:pPr>
            <w:r>
              <w:rPr>
                <w:rFonts w:hint="default" w:ascii="Times New Roman" w:hAnsi="Times New Roman" w:eastAsia="宋体" w:cs="Times New Roman"/>
                <w:color w:val="000000"/>
                <w:sz w:val="21"/>
                <w:szCs w:val="21"/>
              </w:rPr>
              <w:t>气液比检测方法</w:t>
            </w:r>
          </w:p>
        </w:tc>
        <w:tc>
          <w:tcPr>
            <w:tcW w:w="0" w:type="auto"/>
            <w:noWrap w:val="0"/>
            <w:vAlign w:val="center"/>
          </w:tcPr>
          <w:p>
            <w:pPr>
              <w:pStyle w:val="31"/>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0" w:type="auto"/>
            <w:vMerge w:val="continue"/>
            <w:noWrap w:val="0"/>
            <w:vAlign w:val="center"/>
          </w:tcPr>
          <w:p>
            <w:pPr>
              <w:jc w:val="center"/>
              <w:rPr>
                <w:rFonts w:hint="default" w:ascii="Times New Roman" w:hAnsi="Times New Roman" w:eastAsia="宋体" w:cs="Times New Roman"/>
                <w:color w:val="FF0000"/>
                <w:sz w:val="21"/>
                <w:szCs w:val="21"/>
              </w:rPr>
            </w:pPr>
          </w:p>
        </w:tc>
        <w:tc>
          <w:tcPr>
            <w:tcW w:w="0" w:type="auto"/>
            <w:noWrap w:val="0"/>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油气浓度</w:t>
            </w:r>
          </w:p>
        </w:tc>
        <w:tc>
          <w:tcPr>
            <w:tcW w:w="0" w:type="auto"/>
            <w:noWrap w:val="0"/>
            <w:vAlign w:val="center"/>
          </w:tcPr>
          <w:p>
            <w:pPr>
              <w:snapToGrid w:val="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气相色谱仪</w:t>
            </w:r>
            <w:r>
              <w:rPr>
                <w:rFonts w:hint="default" w:ascii="Times New Roman" w:hAnsi="Times New Roman" w:eastAsia="宋体" w:cs="Times New Roman"/>
                <w:color w:val="auto"/>
                <w:sz w:val="21"/>
                <w:szCs w:val="21"/>
              </w:rPr>
              <w:t>THYQ-</w:t>
            </w:r>
            <w:r>
              <w:rPr>
                <w:rFonts w:hint="default" w:ascii="Times New Roman" w:hAnsi="Times New Roman" w:eastAsia="宋体" w:cs="Times New Roman"/>
                <w:color w:val="auto"/>
                <w:sz w:val="21"/>
                <w:szCs w:val="21"/>
                <w:lang w:val="en-US" w:eastAsia="zh-CN"/>
              </w:rPr>
              <w:t>032</w:t>
            </w:r>
          </w:p>
        </w:tc>
        <w:tc>
          <w:tcPr>
            <w:tcW w:w="0" w:type="auto"/>
            <w:noWrap w:val="0"/>
            <w:vAlign w:val="center"/>
          </w:tcPr>
          <w:p>
            <w:pPr>
              <w:spacing w:line="2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HJ 38-2017 固定污染源废气 总烃、甲烷和非甲烷总烃的测定 气相色谱法</w:t>
            </w:r>
          </w:p>
        </w:tc>
        <w:tc>
          <w:tcPr>
            <w:tcW w:w="0" w:type="auto"/>
            <w:noWrap w:val="0"/>
            <w:vAlign w:val="center"/>
          </w:tcPr>
          <w:p>
            <w:pPr>
              <w:spacing w:line="240" w:lineRule="exact"/>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rPr>
              <w:t>0.07m</w:t>
            </w:r>
            <w:r>
              <w:rPr>
                <w:rFonts w:hint="default" w:ascii="Times New Roman" w:hAnsi="Times New Roman" w:eastAsia="宋体" w:cs="Times New Roman"/>
                <w:color w:val="auto"/>
                <w:sz w:val="21"/>
                <w:szCs w:val="21"/>
              </w:rPr>
              <w:t>g/m</w:t>
            </w:r>
            <w:r>
              <w:rPr>
                <w:rFonts w:hint="default" w:ascii="Times New Roman" w:hAnsi="Times New Roman" w:eastAsia="宋体" w:cs="Times New Roman"/>
                <w:color w:val="auto"/>
                <w:sz w:val="21"/>
                <w:szCs w:val="21"/>
                <w:vertAlign w:val="superscript"/>
              </w:rPr>
              <w:t>3</w:t>
            </w:r>
          </w:p>
        </w:tc>
      </w:tr>
    </w:tbl>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6" w:name="_Toc29198"/>
      <w:r>
        <w:rPr>
          <w:rFonts w:hint="default" w:ascii="Times New Roman" w:hAnsi="Times New Roman" w:eastAsia="宋体" w:cs="Times New Roman"/>
          <w:b/>
          <w:sz w:val="28"/>
          <w:szCs w:val="32"/>
        </w:rPr>
        <w:t>7.2环境质量监测</w:t>
      </w:r>
      <w:bookmarkEnd w:id="46"/>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所在位置周边无自然保护区、风景名胜等其他环境敏感点，生态环境不敏感。根据该项目环境影响评价报告表中结论，项目在严格落实评价中提出的各项有关环保措施，并确保各种治理设施正常运转的前提下，项目对周围环境质量的影响不大。</w:t>
      </w:r>
    </w:p>
    <w:p>
      <w:pPr>
        <w:widowControl/>
        <w:jc w:val="center"/>
        <w:outlineLvl w:val="0"/>
        <w:rPr>
          <w:rFonts w:hint="default" w:ascii="Times New Roman" w:hAnsi="Times New Roman" w:eastAsia="宋体" w:cs="Times New Roman"/>
          <w:b/>
          <w:color w:val="auto"/>
          <w:sz w:val="32"/>
          <w:szCs w:val="32"/>
        </w:rPr>
      </w:pPr>
      <w:r>
        <w:rPr>
          <w:rFonts w:hint="default" w:ascii="Times New Roman" w:hAnsi="Times New Roman" w:eastAsia="宋体" w:cs="Times New Roman"/>
          <w:b/>
          <w:sz w:val="28"/>
          <w:szCs w:val="28"/>
        </w:rPr>
        <w:br w:type="page"/>
      </w:r>
      <w:bookmarkStart w:id="47" w:name="_Toc9463"/>
      <w:r>
        <w:rPr>
          <w:rFonts w:hint="default" w:ascii="Times New Roman" w:hAnsi="Times New Roman" w:eastAsia="宋体" w:cs="Times New Roman"/>
          <w:b/>
          <w:color w:val="auto"/>
          <w:sz w:val="32"/>
          <w:szCs w:val="32"/>
        </w:rPr>
        <w:t>8、质量保证及质量控制</w:t>
      </w:r>
      <w:bookmarkEnd w:id="47"/>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8" w:name="_Toc17354"/>
      <w:r>
        <w:rPr>
          <w:rFonts w:hint="default" w:ascii="Times New Roman" w:hAnsi="Times New Roman" w:eastAsia="宋体" w:cs="Times New Roman"/>
          <w:b/>
          <w:sz w:val="28"/>
          <w:szCs w:val="32"/>
        </w:rPr>
        <w:t>8.1监测分析方法及监测仪器</w:t>
      </w:r>
      <w:bookmarkEnd w:id="48"/>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1、声级计在测试前后用标准发生源进行校准，测量前后仪器的灵敏度相差不大于0.5dB。测量在无雨、无雪天气条件下进行，风速5m/s以上停止测量；测量时传声器加风罩。</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2、被测排放物的浓度在仪器量程的有效范围内。</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表8-1  监测仪器设备及监测方法</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1598"/>
        <w:gridCol w:w="2123"/>
        <w:gridCol w:w="2886"/>
        <w:gridCol w:w="1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blHeader/>
          <w:jc w:val="center"/>
        </w:trPr>
        <w:tc>
          <w:tcPr>
            <w:tcW w:w="329"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检测类别</w:t>
            </w:r>
          </w:p>
        </w:tc>
        <w:tc>
          <w:tcPr>
            <w:tcW w:w="937" w:type="pct"/>
            <w:noWrap w:val="0"/>
            <w:vAlign w:val="center"/>
          </w:tcPr>
          <w:p>
            <w:pPr>
              <w:adjustRightInd w:val="0"/>
              <w:snapToGrid w:val="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检测项目</w:t>
            </w:r>
          </w:p>
        </w:tc>
        <w:tc>
          <w:tcPr>
            <w:tcW w:w="1245" w:type="pct"/>
            <w:noWrap w:val="0"/>
            <w:vAlign w:val="center"/>
          </w:tcPr>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主要</w:t>
            </w:r>
            <w:r>
              <w:rPr>
                <w:rFonts w:hint="default" w:ascii="Times New Roman" w:hAnsi="Times New Roman" w:eastAsia="宋体" w:cs="Times New Roman"/>
                <w:b/>
                <w:color w:val="000000"/>
                <w:sz w:val="21"/>
                <w:szCs w:val="21"/>
              </w:rPr>
              <w:t>仪器设备</w:t>
            </w:r>
            <w:r>
              <w:rPr>
                <w:rFonts w:hint="default" w:ascii="Times New Roman" w:hAnsi="Times New Roman" w:eastAsia="宋体" w:cs="Times New Roman"/>
                <w:b/>
                <w:color w:val="000000"/>
                <w:sz w:val="21"/>
                <w:szCs w:val="21"/>
                <w:lang w:val="en-US" w:eastAsia="zh-CN"/>
              </w:rPr>
              <w:t>及</w:t>
            </w:r>
          </w:p>
          <w:p>
            <w:pPr>
              <w:adjustRightInd w:val="0"/>
              <w:snapToGrid w:val="0"/>
              <w:jc w:val="center"/>
              <w:rPr>
                <w:rFonts w:hint="default" w:ascii="Times New Roman" w:hAnsi="Times New Roman" w:eastAsia="宋体" w:cs="Times New Roman"/>
                <w:b/>
                <w:color w:val="000000"/>
                <w:sz w:val="21"/>
                <w:szCs w:val="21"/>
                <w:lang w:val="en-US" w:eastAsia="zh-CN"/>
              </w:rPr>
            </w:pPr>
            <w:r>
              <w:rPr>
                <w:rFonts w:hint="default" w:ascii="Times New Roman" w:hAnsi="Times New Roman" w:eastAsia="宋体" w:cs="Times New Roman"/>
                <w:b/>
                <w:color w:val="000000"/>
                <w:sz w:val="21"/>
                <w:szCs w:val="21"/>
                <w:lang w:val="en-US" w:eastAsia="zh-CN"/>
              </w:rPr>
              <w:t>编号</w:t>
            </w:r>
          </w:p>
        </w:tc>
        <w:tc>
          <w:tcPr>
            <w:tcW w:w="1692" w:type="pct"/>
            <w:noWrap w:val="0"/>
            <w:vAlign w:val="center"/>
          </w:tcPr>
          <w:p>
            <w:pPr>
              <w:adjustRightInd w:val="0"/>
              <w:snapToGrid w:val="0"/>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方法依据</w:t>
            </w:r>
          </w:p>
        </w:tc>
        <w:tc>
          <w:tcPr>
            <w:tcW w:w="794" w:type="pct"/>
            <w:noWrap w:val="0"/>
            <w:vAlign w:val="center"/>
          </w:tcPr>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29" w:type="pct"/>
            <w:vMerge w:val="restar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油气回收</w:t>
            </w:r>
          </w:p>
        </w:tc>
        <w:tc>
          <w:tcPr>
            <w:tcW w:w="937" w:type="pct"/>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密闭性</w:t>
            </w:r>
          </w:p>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（5分钟后压力）</w:t>
            </w:r>
          </w:p>
        </w:tc>
        <w:tc>
          <w:tcPr>
            <w:tcW w:w="1245"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油</w:t>
            </w:r>
            <w:r>
              <w:rPr>
                <w:rFonts w:hint="default" w:ascii="Times New Roman" w:hAnsi="Times New Roman" w:eastAsia="宋体" w:cs="Times New Roman"/>
                <w:color w:val="auto"/>
                <w:sz w:val="21"/>
                <w:szCs w:val="21"/>
                <w:lang w:val="en-US" w:eastAsia="zh-CN"/>
              </w:rPr>
              <w:t>气回收多参数检测仪THYQ-147</w:t>
            </w:r>
          </w:p>
        </w:tc>
        <w:tc>
          <w:tcPr>
            <w:tcW w:w="1692"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 20952-2020 附录B</w:t>
            </w:r>
          </w:p>
          <w:p>
            <w:pPr>
              <w:pStyle w:val="31"/>
              <w:jc w:val="center"/>
              <w:rPr>
                <w:rFonts w:hint="default" w:ascii="Times New Roman" w:hAnsi="Times New Roman" w:eastAsia="宋体" w:cs="Times New Roman"/>
                <w:color w:val="000000"/>
                <w:kern w:val="2"/>
                <w:sz w:val="21"/>
                <w:szCs w:val="21"/>
                <w:shd w:val="clear" w:color="auto" w:fill="FFFFFF"/>
              </w:rPr>
            </w:pPr>
            <w:r>
              <w:rPr>
                <w:rFonts w:hint="default" w:ascii="Times New Roman" w:hAnsi="Times New Roman" w:eastAsia="宋体" w:cs="Times New Roman"/>
                <w:color w:val="000000"/>
                <w:sz w:val="21"/>
                <w:szCs w:val="21"/>
              </w:rPr>
              <w:t>密闭性检测方法</w:t>
            </w:r>
          </w:p>
        </w:tc>
        <w:tc>
          <w:tcPr>
            <w:tcW w:w="794" w:type="pct"/>
            <w:noWrap w:val="0"/>
            <w:vAlign w:val="center"/>
          </w:tcPr>
          <w:p>
            <w:pPr>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29" w:type="pct"/>
            <w:vMerge w:val="continue"/>
            <w:noWrap w:val="0"/>
            <w:vAlign w:val="center"/>
          </w:tcPr>
          <w:p>
            <w:pPr>
              <w:jc w:val="center"/>
              <w:rPr>
                <w:rFonts w:hint="default" w:ascii="Times New Roman" w:hAnsi="Times New Roman" w:eastAsia="宋体" w:cs="Times New Roman"/>
                <w:color w:val="000000"/>
                <w:sz w:val="21"/>
                <w:szCs w:val="21"/>
              </w:rPr>
            </w:pPr>
          </w:p>
        </w:tc>
        <w:tc>
          <w:tcPr>
            <w:tcW w:w="937" w:type="pct"/>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液阻</w:t>
            </w:r>
          </w:p>
        </w:tc>
        <w:tc>
          <w:tcPr>
            <w:tcW w:w="1245" w:type="pct"/>
            <w:vMerge w:val="continue"/>
            <w:noWrap w:val="0"/>
            <w:vAlign w:val="center"/>
          </w:tcPr>
          <w:p>
            <w:pPr>
              <w:widowControl/>
              <w:adjustRightInd w:val="0"/>
              <w:snapToGrid w:val="0"/>
              <w:spacing w:line="300" w:lineRule="exact"/>
              <w:jc w:val="center"/>
              <w:rPr>
                <w:rFonts w:hint="default" w:ascii="Times New Roman" w:hAnsi="Times New Roman" w:eastAsia="宋体" w:cs="Times New Roman"/>
                <w:color w:val="000000"/>
                <w:kern w:val="0"/>
                <w:sz w:val="21"/>
                <w:szCs w:val="21"/>
              </w:rPr>
            </w:pPr>
          </w:p>
        </w:tc>
        <w:tc>
          <w:tcPr>
            <w:tcW w:w="1692"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GB 20952-2020 附录A</w:t>
            </w:r>
          </w:p>
          <w:p>
            <w:pPr>
              <w:jc w:val="center"/>
              <w:rPr>
                <w:rFonts w:hint="default" w:ascii="Times New Roman" w:hAnsi="Times New Roman" w:eastAsia="宋体" w:cs="Times New Roman"/>
                <w:color w:val="000000"/>
                <w:sz w:val="21"/>
                <w:szCs w:val="21"/>
                <w:shd w:val="clear" w:color="auto" w:fill="FFFFFF"/>
              </w:rPr>
            </w:pPr>
            <w:r>
              <w:rPr>
                <w:rFonts w:hint="default" w:ascii="Times New Roman" w:hAnsi="Times New Roman" w:eastAsia="宋体" w:cs="Times New Roman"/>
                <w:bCs/>
                <w:color w:val="000000"/>
                <w:sz w:val="21"/>
                <w:szCs w:val="21"/>
              </w:rPr>
              <w:t>液阻检测方法</w:t>
            </w:r>
          </w:p>
        </w:tc>
        <w:tc>
          <w:tcPr>
            <w:tcW w:w="794" w:type="pct"/>
            <w:noWrap w:val="0"/>
            <w:vAlign w:val="center"/>
          </w:tcPr>
          <w:p>
            <w:pPr>
              <w:widowControl/>
              <w:adjustRightInd w:val="0"/>
              <w:snapToGrid w:val="0"/>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29" w:type="pct"/>
            <w:vMerge w:val="continue"/>
            <w:noWrap w:val="0"/>
            <w:vAlign w:val="center"/>
          </w:tcPr>
          <w:p>
            <w:pPr>
              <w:jc w:val="center"/>
              <w:rPr>
                <w:rFonts w:hint="default" w:ascii="Times New Roman" w:hAnsi="Times New Roman" w:eastAsia="宋体" w:cs="Times New Roman"/>
                <w:color w:val="000000"/>
                <w:sz w:val="21"/>
                <w:szCs w:val="21"/>
              </w:rPr>
            </w:pPr>
          </w:p>
        </w:tc>
        <w:tc>
          <w:tcPr>
            <w:tcW w:w="937" w:type="pct"/>
            <w:noWrap w:val="0"/>
            <w:vAlign w:val="center"/>
          </w:tcPr>
          <w:p>
            <w:pPr>
              <w:snapToGrid w:val="0"/>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气液比</w:t>
            </w:r>
          </w:p>
        </w:tc>
        <w:tc>
          <w:tcPr>
            <w:tcW w:w="1245" w:type="pct"/>
            <w:vMerge w:val="continue"/>
            <w:noWrap w:val="0"/>
            <w:vAlign w:val="center"/>
          </w:tcPr>
          <w:p>
            <w:pPr>
              <w:pStyle w:val="31"/>
              <w:jc w:val="center"/>
              <w:rPr>
                <w:rFonts w:hint="default" w:ascii="Times New Roman" w:hAnsi="Times New Roman" w:eastAsia="宋体" w:cs="Times New Roman"/>
                <w:color w:val="000000"/>
                <w:sz w:val="21"/>
                <w:szCs w:val="21"/>
              </w:rPr>
            </w:pPr>
          </w:p>
        </w:tc>
        <w:tc>
          <w:tcPr>
            <w:tcW w:w="1692"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GB 20952-2020 附录C</w:t>
            </w:r>
          </w:p>
          <w:p>
            <w:pPr>
              <w:pStyle w:val="31"/>
              <w:jc w:val="center"/>
              <w:rPr>
                <w:rFonts w:hint="default" w:ascii="Times New Roman" w:hAnsi="Times New Roman" w:eastAsia="宋体" w:cs="Times New Roman"/>
                <w:color w:val="000000"/>
                <w:kern w:val="2"/>
                <w:sz w:val="21"/>
                <w:szCs w:val="21"/>
                <w:shd w:val="clear" w:color="auto" w:fill="FFFFFF"/>
              </w:rPr>
            </w:pPr>
            <w:r>
              <w:rPr>
                <w:rFonts w:hint="default" w:ascii="Times New Roman" w:hAnsi="Times New Roman" w:eastAsia="宋体" w:cs="Times New Roman"/>
                <w:color w:val="000000"/>
                <w:sz w:val="21"/>
                <w:szCs w:val="21"/>
              </w:rPr>
              <w:t>气液比检测方法</w:t>
            </w:r>
          </w:p>
        </w:tc>
        <w:tc>
          <w:tcPr>
            <w:tcW w:w="794" w:type="pct"/>
            <w:noWrap w:val="0"/>
            <w:vAlign w:val="center"/>
          </w:tcPr>
          <w:p>
            <w:pPr>
              <w:pStyle w:val="31"/>
              <w:jc w:val="center"/>
              <w:rPr>
                <w:rFonts w:hint="default" w:ascii="Times New Roman" w:hAnsi="Times New Roman" w:eastAsia="宋体" w:cs="Times New Roman"/>
                <w:color w:val="000000"/>
                <w:sz w:val="21"/>
                <w:szCs w:val="21"/>
                <w:shd w:val="clear" w:color="auto" w:fill="FFFFFF"/>
                <w:lang w:val="en-US" w:eastAsia="zh-CN"/>
              </w:rPr>
            </w:pPr>
            <w:r>
              <w:rPr>
                <w:rFonts w:hint="default" w:ascii="Times New Roman" w:hAnsi="Times New Roman" w:eastAsia="宋体" w:cs="Times New Roman"/>
                <w:color w:val="000000"/>
                <w:sz w:val="21"/>
                <w:szCs w:val="21"/>
                <w:shd w:val="clear" w:color="auto" w:fill="FFFFFF"/>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29" w:type="pct"/>
            <w:vMerge w:val="continue"/>
            <w:noWrap w:val="0"/>
            <w:vAlign w:val="center"/>
          </w:tcPr>
          <w:p>
            <w:pPr>
              <w:jc w:val="center"/>
              <w:rPr>
                <w:rFonts w:hint="default" w:ascii="Times New Roman" w:hAnsi="Times New Roman" w:eastAsia="宋体" w:cs="Times New Roman"/>
                <w:color w:val="FF0000"/>
                <w:sz w:val="21"/>
                <w:szCs w:val="21"/>
              </w:rPr>
            </w:pPr>
          </w:p>
        </w:tc>
        <w:tc>
          <w:tcPr>
            <w:tcW w:w="937" w:type="pct"/>
            <w:noWrap w:val="0"/>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油气浓度</w:t>
            </w:r>
          </w:p>
        </w:tc>
        <w:tc>
          <w:tcPr>
            <w:tcW w:w="1245" w:type="pct"/>
            <w:noWrap w:val="0"/>
            <w:vAlign w:val="center"/>
          </w:tcPr>
          <w:p>
            <w:pPr>
              <w:snapToGrid w:val="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气相色谱仪</w:t>
            </w:r>
            <w:r>
              <w:rPr>
                <w:rFonts w:hint="default" w:ascii="Times New Roman" w:hAnsi="Times New Roman" w:eastAsia="宋体" w:cs="Times New Roman"/>
                <w:color w:val="auto"/>
                <w:sz w:val="21"/>
                <w:szCs w:val="21"/>
              </w:rPr>
              <w:t>THYQ-</w:t>
            </w:r>
            <w:r>
              <w:rPr>
                <w:rFonts w:hint="default" w:ascii="Times New Roman" w:hAnsi="Times New Roman" w:eastAsia="宋体" w:cs="Times New Roman"/>
                <w:color w:val="auto"/>
                <w:sz w:val="21"/>
                <w:szCs w:val="21"/>
                <w:lang w:val="en-US" w:eastAsia="zh-CN"/>
              </w:rPr>
              <w:t>032</w:t>
            </w:r>
          </w:p>
        </w:tc>
        <w:tc>
          <w:tcPr>
            <w:tcW w:w="1692" w:type="pct"/>
            <w:noWrap w:val="0"/>
            <w:vAlign w:val="center"/>
          </w:tcPr>
          <w:p>
            <w:pPr>
              <w:spacing w:line="2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HJ 38-2017 固定污染源废气 总烃、甲烷和非甲烷总烃的测定 气相色谱法</w:t>
            </w:r>
          </w:p>
        </w:tc>
        <w:tc>
          <w:tcPr>
            <w:tcW w:w="794" w:type="pct"/>
            <w:noWrap w:val="0"/>
            <w:vAlign w:val="center"/>
          </w:tcPr>
          <w:p>
            <w:pPr>
              <w:spacing w:line="240" w:lineRule="exact"/>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rPr>
              <w:t>0.07m</w:t>
            </w:r>
            <w:r>
              <w:rPr>
                <w:rFonts w:hint="default" w:ascii="Times New Roman" w:hAnsi="Times New Roman" w:eastAsia="宋体" w:cs="Times New Roman"/>
                <w:color w:val="auto"/>
                <w:sz w:val="21"/>
                <w:szCs w:val="21"/>
              </w:rPr>
              <w:t>g/m</w:t>
            </w:r>
            <w:r>
              <w:rPr>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29" w:type="pct"/>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p>
            <w:pPr>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auto"/>
                <w:sz w:val="21"/>
                <w:szCs w:val="21"/>
                <w:lang w:val="en-US" w:eastAsia="zh-CN"/>
              </w:rPr>
              <w:t>废气</w:t>
            </w:r>
          </w:p>
        </w:tc>
        <w:tc>
          <w:tcPr>
            <w:tcW w:w="937" w:type="pct"/>
            <w:noWrap w:val="0"/>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非甲烷总烃</w:t>
            </w:r>
          </w:p>
        </w:tc>
        <w:tc>
          <w:tcPr>
            <w:tcW w:w="1245" w:type="pct"/>
            <w:noWrap w:val="0"/>
            <w:vAlign w:val="center"/>
          </w:tcPr>
          <w:p>
            <w:pPr>
              <w:spacing w:line="240" w:lineRule="exac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 xml:space="preserve">气相色谱仪 </w:t>
            </w:r>
          </w:p>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sz w:val="21"/>
                <w:szCs w:val="21"/>
                <w:highlight w:val="none"/>
                <w:lang w:val="en-US" w:eastAsia="zh-CN"/>
              </w:rPr>
              <w:t>THYQ-032</w:t>
            </w:r>
          </w:p>
        </w:tc>
        <w:tc>
          <w:tcPr>
            <w:tcW w:w="1692" w:type="pct"/>
            <w:noWrap w:val="0"/>
            <w:vAlign w:val="center"/>
          </w:tcPr>
          <w:p>
            <w:pPr>
              <w:spacing w:line="240" w:lineRule="exac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604-2017</w:t>
            </w:r>
          </w:p>
          <w:p>
            <w:pPr>
              <w:spacing w:line="240" w:lineRule="exact"/>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000000"/>
                <w:sz w:val="21"/>
                <w:szCs w:val="21"/>
                <w:highlight w:val="none"/>
                <w:lang w:val="en-US" w:eastAsia="zh-CN"/>
              </w:rPr>
              <w:t xml:space="preserve"> 气相色谱法</w:t>
            </w:r>
          </w:p>
        </w:tc>
        <w:tc>
          <w:tcPr>
            <w:tcW w:w="794" w:type="pct"/>
            <w:noWrap w:val="0"/>
            <w:vAlign w:val="center"/>
          </w:tcPr>
          <w:p>
            <w:pPr>
              <w:spacing w:line="240" w:lineRule="exact"/>
              <w:jc w:val="center"/>
              <w:rPr>
                <w:rFonts w:hint="default" w:ascii="Times New Roman" w:hAnsi="Times New Roman" w:eastAsia="宋体" w:cs="Times New Roman"/>
                <w:color w:val="auto"/>
                <w:kern w:val="2"/>
                <w:sz w:val="21"/>
                <w:szCs w:val="21"/>
                <w:shd w:val="clear" w:color="auto" w:fill="FFFFFF"/>
                <w:lang w:val="en-US" w:eastAsia="zh-CN" w:bidi="ar-SA"/>
              </w:rPr>
            </w:pPr>
            <w:r>
              <w:rPr>
                <w:rFonts w:hint="default" w:ascii="Times New Roman" w:hAnsi="Times New Roman" w:eastAsia="宋体" w:cs="Times New Roman"/>
                <w:color w:val="000000"/>
                <w:sz w:val="21"/>
                <w:szCs w:val="21"/>
                <w:highlight w:val="none"/>
                <w:lang w:val="en-US" w:eastAsia="zh-CN"/>
              </w:rPr>
              <w:t>0.07 mg/m</w:t>
            </w:r>
            <w:r>
              <w:rPr>
                <w:rFonts w:hint="default" w:ascii="Times New Roman" w:hAnsi="Times New Roman" w:eastAsia="宋体" w:cs="Times New Roman"/>
                <w:color w:val="000000"/>
                <w:sz w:val="21"/>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exact"/>
          <w:jc w:val="center"/>
        </w:trPr>
        <w:tc>
          <w:tcPr>
            <w:tcW w:w="329" w:type="pct"/>
            <w:vMerge w:val="restar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地下水</w:t>
            </w: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bidi="ar"/>
              </w:rPr>
              <w:t>pH</w:t>
            </w:r>
          </w:p>
        </w:tc>
        <w:tc>
          <w:tcPr>
            <w:tcW w:w="124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highlight w:val="none"/>
                <w:lang w:eastAsia="zh-CN" w:bidi="ar"/>
              </w:rPr>
              <w:t>酸度计THYQ-015</w:t>
            </w:r>
          </w:p>
        </w:tc>
        <w:tc>
          <w:tcPr>
            <w:tcW w:w="1692"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val="en-US" w:eastAsia="zh-CN" w:bidi="ar"/>
              </w:rPr>
              <w:t xml:space="preserve">HJ 1147-2020  </w:t>
            </w:r>
            <w:r>
              <w:rPr>
                <w:rFonts w:hint="default" w:ascii="Times New Roman" w:hAnsi="Times New Roman" w:eastAsia="宋体" w:cs="Times New Roman"/>
                <w:kern w:val="0"/>
                <w:sz w:val="21"/>
                <w:szCs w:val="21"/>
                <w:highlight w:val="none"/>
                <w:lang w:eastAsia="zh-CN" w:bidi="ar"/>
              </w:rPr>
              <w:t>电极法</w:t>
            </w:r>
          </w:p>
        </w:tc>
        <w:tc>
          <w:tcPr>
            <w:tcW w:w="7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rPr>
              <w:t>总硬度</w:t>
            </w:r>
          </w:p>
        </w:tc>
        <w:tc>
          <w:tcPr>
            <w:tcW w:w="124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color w:val="000000"/>
                <w:sz w:val="21"/>
                <w:szCs w:val="21"/>
              </w:rPr>
              <w:t>滴定管</w:t>
            </w:r>
            <w:r>
              <w:rPr>
                <w:rFonts w:hint="default" w:ascii="Times New Roman" w:hAnsi="Times New Roman" w:eastAsia="宋体" w:cs="Times New Roman"/>
                <w:color w:val="000000"/>
                <w:sz w:val="21"/>
                <w:szCs w:val="21"/>
                <w:lang w:val="en-US" w:eastAsia="zh-CN"/>
              </w:rPr>
              <w:t>HJ-02-01</w:t>
            </w:r>
          </w:p>
        </w:tc>
        <w:tc>
          <w:tcPr>
            <w:tcW w:w="1692"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GB/T 5750.4-2023滴定法</w:t>
            </w:r>
          </w:p>
        </w:tc>
        <w:tc>
          <w:tcPr>
            <w:tcW w:w="79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rPr>
              <w:t>硫酸</w:t>
            </w:r>
            <w:r>
              <w:rPr>
                <w:rFonts w:hint="default" w:ascii="Times New Roman" w:hAnsi="Times New Roman" w:eastAsia="宋体" w:cs="Times New Roman"/>
                <w:sz w:val="21"/>
                <w:szCs w:val="21"/>
                <w:highlight w:val="none"/>
                <w:lang w:eastAsia="zh-CN"/>
              </w:rPr>
              <w:t>盐</w:t>
            </w:r>
          </w:p>
        </w:tc>
        <w:tc>
          <w:tcPr>
            <w:tcW w:w="124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紫外分光光度计THYQ-092</w:t>
            </w:r>
          </w:p>
        </w:tc>
        <w:tc>
          <w:tcPr>
            <w:tcW w:w="1692" w:type="pct"/>
            <w:noWrap w:val="0"/>
            <w:vAlign w:val="center"/>
          </w:tcPr>
          <w:p>
            <w:pPr>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sz w:val="21"/>
                <w:szCs w:val="21"/>
                <w:highlight w:val="none"/>
                <w:lang w:val="en-US" w:eastAsia="zh-CN"/>
              </w:rPr>
              <w:t>GB/T 5750.5-</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b w:val="0"/>
                <w:bCs w:val="0"/>
                <w:kern w:val="2"/>
                <w:sz w:val="21"/>
                <w:szCs w:val="21"/>
                <w:lang w:val="en-US" w:eastAsia="zh-CN" w:bidi="ar-SA"/>
              </w:rPr>
              <w:t>硫酸钡比浊法</w:t>
            </w:r>
          </w:p>
        </w:tc>
        <w:tc>
          <w:tcPr>
            <w:tcW w:w="79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5</w:t>
            </w:r>
            <w:r>
              <w:rPr>
                <w:rFonts w:hint="default" w:ascii="Times New Roman" w:hAnsi="Times New Roman" w:eastAsia="宋体" w:cs="Times New Roman"/>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硝酸盐</w:t>
            </w:r>
          </w:p>
        </w:tc>
        <w:tc>
          <w:tcPr>
            <w:tcW w:w="124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紫外分光光度计THYQ-092</w:t>
            </w:r>
          </w:p>
        </w:tc>
        <w:tc>
          <w:tcPr>
            <w:tcW w:w="1692"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sz w:val="21"/>
                <w:szCs w:val="21"/>
                <w:lang w:val="en-US" w:eastAsia="zh-CN"/>
              </w:rPr>
              <w:t>GB/T 5750.5-2023紫外分光光度法</w:t>
            </w:r>
          </w:p>
        </w:tc>
        <w:tc>
          <w:tcPr>
            <w:tcW w:w="79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0"/>
                <w:sz w:val="21"/>
                <w:szCs w:val="21"/>
                <w:highlight w:val="none"/>
                <w:lang w:eastAsia="zh-CN" w:bidi="ar"/>
              </w:rPr>
            </w:pPr>
            <w:r>
              <w:rPr>
                <w:rFonts w:hint="default" w:ascii="Times New Roman" w:hAnsi="Times New Roman" w:eastAsia="宋体" w:cs="Times New Roman"/>
                <w:bCs/>
                <w:color w:val="000000"/>
                <w:kern w:val="2"/>
                <w:sz w:val="21"/>
                <w:szCs w:val="21"/>
                <w:highlight w:val="none"/>
                <w:lang w:val="en-US" w:eastAsia="zh-CN" w:bidi="ar-SA"/>
              </w:rPr>
              <w:t>亚硝酸盐</w:t>
            </w:r>
          </w:p>
        </w:tc>
        <w:tc>
          <w:tcPr>
            <w:tcW w:w="1245"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紫外分光光度计THYQ-092</w:t>
            </w:r>
          </w:p>
        </w:tc>
        <w:tc>
          <w:tcPr>
            <w:tcW w:w="1692"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GB/T 7493-1987</w:t>
            </w:r>
            <w:r>
              <w:rPr>
                <w:rFonts w:hint="default" w:ascii="Times New Roman" w:hAnsi="Times New Roman" w:eastAsia="宋体" w:cs="Times New Roman"/>
                <w:sz w:val="21"/>
                <w:szCs w:val="21"/>
                <w:highlight w:val="none"/>
                <w:lang w:eastAsia="zh-CN"/>
              </w:rPr>
              <w:t>分光光度法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0.003</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29" w:type="pct"/>
            <w:vMerge w:val="continue"/>
            <w:noWrap w:val="0"/>
            <w:vAlign w:val="center"/>
          </w:tcPr>
          <w:p>
            <w:pPr>
              <w:widowControl/>
              <w:jc w:val="center"/>
              <w:textAlignment w:val="bottom"/>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widowControl/>
              <w:jc w:val="center"/>
              <w:textAlignment w:val="bottom"/>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浑浊度</w:t>
            </w:r>
          </w:p>
        </w:tc>
        <w:tc>
          <w:tcPr>
            <w:tcW w:w="124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kern w:val="0"/>
                <w:sz w:val="21"/>
                <w:szCs w:val="21"/>
                <w:highlight w:val="none"/>
                <w:lang w:val="en-US" w:eastAsia="zh-CN"/>
              </w:rPr>
              <w:t>浊度仪THYQ-019</w:t>
            </w:r>
          </w:p>
        </w:tc>
        <w:tc>
          <w:tcPr>
            <w:tcW w:w="1692" w:type="pct"/>
            <w:noWrap w:val="0"/>
            <w:vAlign w:val="center"/>
          </w:tcPr>
          <w:p>
            <w:pPr>
              <w:spacing w:line="240" w:lineRule="exact"/>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eastAsia="zh-CN" w:bidi="ar"/>
              </w:rPr>
              <w:t>HJ1075-2019</w:t>
            </w:r>
            <w:r>
              <w:rPr>
                <w:rFonts w:hint="default" w:ascii="Times New Roman" w:hAnsi="Times New Roman" w:eastAsia="宋体" w:cs="Times New Roman"/>
                <w:kern w:val="0"/>
                <w:sz w:val="21"/>
                <w:szCs w:val="21"/>
                <w:highlight w:val="none"/>
                <w:lang w:val="en-US" w:eastAsia="zh-CN" w:bidi="ar"/>
              </w:rPr>
              <w:t xml:space="preserve"> 浊度计法</w:t>
            </w:r>
          </w:p>
        </w:tc>
        <w:tc>
          <w:tcPr>
            <w:tcW w:w="79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 xml:space="preserve">0.3 </w:t>
            </w:r>
            <w:r>
              <w:rPr>
                <w:rFonts w:hint="default" w:ascii="Times New Roman" w:hAnsi="Times New Roman" w:eastAsia="宋体" w:cs="Times New Roman"/>
                <w:kern w:val="0"/>
                <w:sz w:val="21"/>
                <w:szCs w:val="21"/>
                <w:highlight w:val="none"/>
                <w:lang w:val="en-US" w:eastAsia="zh-CN" w:bidi="ar"/>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氨氮</w:t>
            </w:r>
          </w:p>
        </w:tc>
        <w:tc>
          <w:tcPr>
            <w:tcW w:w="1245"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紫外分光光度计THYQ-0</w:t>
            </w:r>
            <w:r>
              <w:rPr>
                <w:rFonts w:hint="default" w:ascii="Times New Roman" w:hAnsi="Times New Roman" w:eastAsia="宋体" w:cs="Times New Roman"/>
                <w:kern w:val="0"/>
                <w:sz w:val="21"/>
                <w:szCs w:val="21"/>
                <w:highlight w:val="none"/>
                <w:lang w:val="en-US" w:eastAsia="zh-CN" w:bidi="ar"/>
              </w:rPr>
              <w:t>92</w:t>
            </w:r>
          </w:p>
        </w:tc>
        <w:tc>
          <w:tcPr>
            <w:tcW w:w="1692"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GB/T 5750.5-20</w:t>
            </w:r>
            <w:r>
              <w:rPr>
                <w:rFonts w:hint="default" w:ascii="Times New Roman" w:hAnsi="Times New Roman" w:eastAsia="宋体" w:cs="Times New Roman"/>
                <w:sz w:val="21"/>
                <w:szCs w:val="21"/>
                <w:highlight w:val="none"/>
                <w:lang w:val="en-US" w:eastAsia="zh-CN"/>
              </w:rPr>
              <w:t>23</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rPr>
              <w:t>纳氏试剂分光光度法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color w:val="000000"/>
                <w:kern w:val="2"/>
                <w:sz w:val="21"/>
                <w:szCs w:val="21"/>
                <w:highlight w:val="none"/>
                <w:lang w:val="en-US" w:eastAsia="zh-CN" w:bidi="ar-SA"/>
              </w:rPr>
              <w:t>氟化物</w:t>
            </w:r>
          </w:p>
        </w:tc>
        <w:tc>
          <w:tcPr>
            <w:tcW w:w="1245"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kern w:val="0"/>
                <w:sz w:val="21"/>
                <w:szCs w:val="21"/>
                <w:highlight w:val="none"/>
                <w:lang w:eastAsia="zh-CN" w:bidi="ar"/>
              </w:rPr>
              <w:t>紫外分光光度</w:t>
            </w:r>
            <w:r>
              <w:rPr>
                <w:rFonts w:hint="default" w:ascii="Times New Roman" w:hAnsi="Times New Roman" w:eastAsia="宋体" w:cs="Times New Roman"/>
                <w:kern w:val="0"/>
                <w:sz w:val="21"/>
                <w:szCs w:val="21"/>
                <w:highlight w:val="none"/>
                <w:lang w:val="en-US" w:eastAsia="zh-CN" w:bidi="ar"/>
              </w:rPr>
              <w:t xml:space="preserve">   </w:t>
            </w:r>
            <w:r>
              <w:rPr>
                <w:rFonts w:hint="default" w:ascii="Times New Roman" w:hAnsi="Times New Roman" w:eastAsia="宋体" w:cs="Times New Roman"/>
                <w:kern w:val="0"/>
                <w:sz w:val="21"/>
                <w:szCs w:val="21"/>
                <w:highlight w:val="none"/>
                <w:lang w:eastAsia="zh-CN" w:bidi="ar"/>
              </w:rPr>
              <w:t>THYQ-0</w:t>
            </w:r>
            <w:r>
              <w:rPr>
                <w:rFonts w:hint="default" w:ascii="Times New Roman" w:hAnsi="Times New Roman" w:eastAsia="宋体" w:cs="Times New Roman"/>
                <w:kern w:val="0"/>
                <w:sz w:val="21"/>
                <w:szCs w:val="21"/>
                <w:highlight w:val="none"/>
                <w:lang w:val="en-US" w:eastAsia="zh-CN" w:bidi="ar"/>
              </w:rPr>
              <w:t>92</w:t>
            </w:r>
          </w:p>
        </w:tc>
        <w:tc>
          <w:tcPr>
            <w:tcW w:w="1692"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HJ488-2009</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氟试剂分光光度法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氰化物</w:t>
            </w:r>
          </w:p>
        </w:tc>
        <w:tc>
          <w:tcPr>
            <w:tcW w:w="1245"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rPr>
              <w:t>紫外分光光度计THYQ-092</w:t>
            </w:r>
          </w:p>
        </w:tc>
        <w:tc>
          <w:tcPr>
            <w:tcW w:w="1692"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lang w:val="en-US" w:eastAsia="zh-CN"/>
              </w:rPr>
              <w:t>GB/T 5750.5-</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sz w:val="21"/>
                <w:szCs w:val="21"/>
              </w:rPr>
              <w:t>分光光度法</w:t>
            </w:r>
          </w:p>
        </w:tc>
        <w:tc>
          <w:tcPr>
            <w:tcW w:w="794" w:type="pct"/>
            <w:noWrap w:val="0"/>
            <w:vAlign w:val="center"/>
          </w:tcPr>
          <w:p>
            <w:pPr>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exact"/>
          <w:jc w:val="center"/>
        </w:trPr>
        <w:tc>
          <w:tcPr>
            <w:tcW w:w="329" w:type="pct"/>
            <w:vMerge w:val="continue"/>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阴离子表面活性剂</w:t>
            </w:r>
          </w:p>
        </w:tc>
        <w:tc>
          <w:tcPr>
            <w:tcW w:w="1245" w:type="pct"/>
            <w:noWrap w:val="0"/>
            <w:vAlign w:val="center"/>
          </w:tcPr>
          <w:p>
            <w:pPr>
              <w:spacing w:line="2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紫外分光光度计</w:t>
            </w:r>
          </w:p>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 xml:space="preserve"> THYQ-092</w:t>
            </w:r>
          </w:p>
        </w:tc>
        <w:tc>
          <w:tcPr>
            <w:tcW w:w="1692" w:type="pct"/>
            <w:noWrap w:val="0"/>
            <w:vAlign w:val="center"/>
          </w:tcPr>
          <w:p>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GB/T 7494-1987 </w:t>
            </w:r>
          </w:p>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亚甲蓝分光光度法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0.05</w:t>
            </w:r>
            <w:r>
              <w:rPr>
                <w:rFonts w:hint="default" w:ascii="Times New Roman" w:hAnsi="Times New Roman" w:eastAsia="宋体" w:cs="Times New Roman"/>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exact"/>
          <w:jc w:val="center"/>
        </w:trPr>
        <w:tc>
          <w:tcPr>
            <w:tcW w:w="32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highlight w:val="none"/>
                <w:lang w:val="en-US" w:eastAsia="zh-CN" w:bidi="ar"/>
              </w:rPr>
              <w:t>溶解性总固体</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电热恒温鼓风干燥箱THYQ-096</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GB/T 5750.4-2023称量法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exact"/>
          <w:jc w:val="center"/>
        </w:trPr>
        <w:tc>
          <w:tcPr>
            <w:tcW w:w="32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highlight w:val="none"/>
                <w:lang w:val="en-US" w:eastAsia="zh-CN" w:bidi="ar"/>
              </w:rPr>
              <w:t>臭和味</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highlight w:val="none"/>
                <w:lang w:val="en-US" w:eastAsia="zh-CN"/>
              </w:rPr>
              <w:t>/</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0"/>
                <w:sz w:val="21"/>
                <w:szCs w:val="21"/>
              </w:rPr>
              <w:t>嗅气和尝味法、直接观察法</w:t>
            </w:r>
          </w:p>
        </w:tc>
        <w:tc>
          <w:tcPr>
            <w:tcW w:w="79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肉眼可见物</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r>
              <w:rPr>
                <w:rFonts w:hint="default" w:ascii="Times New Roman" w:hAnsi="Times New Roman" w:eastAsia="宋体" w:cs="Times New Roman"/>
                <w:kern w:val="0"/>
                <w:sz w:val="21"/>
                <w:szCs w:val="21"/>
              </w:rPr>
              <w:t>直接观察法</w:t>
            </w:r>
          </w:p>
        </w:tc>
        <w:tc>
          <w:tcPr>
            <w:tcW w:w="794"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砷</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电感耦合等离子体质谱仪THYQ-222</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4" w:type="pct"/>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0.00012</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2"/>
                <w:sz w:val="21"/>
                <w:szCs w:val="21"/>
                <w:u w:val="none" w:color="000000"/>
                <w:lang w:val="en-US" w:eastAsia="zh-CN" w:bidi="ar-SA"/>
              </w:rPr>
            </w:pPr>
            <w:r>
              <w:rPr>
                <w:rFonts w:hint="default" w:ascii="Times New Roman" w:hAnsi="Times New Roman" w:eastAsia="宋体" w:cs="Times New Roman"/>
                <w:sz w:val="21"/>
                <w:szCs w:val="21"/>
                <w:highlight w:val="none"/>
                <w:lang w:val="en-US" w:eastAsia="zh-CN"/>
              </w:rPr>
              <w:t>汞</w:t>
            </w:r>
          </w:p>
        </w:tc>
        <w:tc>
          <w:tcPr>
            <w:tcW w:w="1245"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原子荧光分光光度计 THYQ-181</w:t>
            </w:r>
          </w:p>
          <w:p>
            <w:pPr>
              <w:jc w:val="center"/>
              <w:rPr>
                <w:rFonts w:hint="default" w:ascii="Times New Roman" w:hAnsi="Times New Roman" w:eastAsia="宋体" w:cs="Times New Roman"/>
                <w:color w:val="auto"/>
                <w:kern w:val="2"/>
                <w:sz w:val="21"/>
                <w:szCs w:val="21"/>
                <w:u w:val="none" w:color="000000"/>
                <w:lang w:val="en-US" w:eastAsia="zh-CN" w:bidi="ar-SA"/>
              </w:rPr>
            </w:pPr>
          </w:p>
        </w:tc>
        <w:tc>
          <w:tcPr>
            <w:tcW w:w="1692"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GB/T 5750.6-2023</w:t>
            </w:r>
          </w:p>
          <w:p>
            <w:pPr>
              <w:jc w:val="center"/>
              <w:rPr>
                <w:rFonts w:hint="default" w:ascii="Times New Roman" w:hAnsi="Times New Roman" w:eastAsia="宋体" w:cs="Times New Roman"/>
                <w:color w:val="FF0000"/>
                <w:kern w:val="2"/>
                <w:sz w:val="21"/>
                <w:szCs w:val="21"/>
                <w:u w:val="none" w:color="000000"/>
                <w:lang w:val="en-US" w:eastAsia="zh-CN" w:bidi="ar-SA"/>
              </w:rPr>
            </w:pPr>
            <w:r>
              <w:rPr>
                <w:rFonts w:hint="default" w:ascii="Times New Roman" w:hAnsi="Times New Roman" w:eastAsia="宋体" w:cs="Times New Roman"/>
                <w:sz w:val="21"/>
                <w:szCs w:val="21"/>
                <w:highlight w:val="none"/>
                <w:lang w:val="en-US" w:eastAsia="zh-CN"/>
              </w:rPr>
              <w:t>原子荧光分光光度法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铅</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4" w:type="pct"/>
            <w:noWrap w:val="0"/>
            <w:vAlign w:val="center"/>
          </w:tcPr>
          <w:p>
            <w:pPr>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superscript"/>
                <w:lang w:val="en-US" w:eastAsia="zh-CN"/>
              </w:rPr>
              <w:t>-5</w:t>
            </w:r>
            <w:r>
              <w:rPr>
                <w:rFonts w:hint="default" w:ascii="Times New Roman" w:hAnsi="Times New Roman" w:eastAsia="宋体" w:cs="Times New Roman"/>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铁</w:t>
            </w:r>
          </w:p>
        </w:tc>
        <w:tc>
          <w:tcPr>
            <w:tcW w:w="1245"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692"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11911-1989</w:t>
            </w:r>
            <w:r>
              <w:rPr>
                <w:rFonts w:hint="default" w:ascii="Times New Roman" w:hAnsi="Times New Roman" w:eastAsia="宋体" w:cs="Times New Roman"/>
                <w:sz w:val="21"/>
                <w:szCs w:val="21"/>
                <w:lang w:val="en-US" w:eastAsia="zh-CN"/>
              </w:rPr>
              <w:t xml:space="preserve"> </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rPr>
              <w:t>原子吸收分光光度法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03</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exact"/>
          <w:jc w:val="center"/>
        </w:trPr>
        <w:tc>
          <w:tcPr>
            <w:tcW w:w="329" w:type="pct"/>
            <w:vMerge w:val="continue"/>
            <w:noWrap w:val="0"/>
            <w:vAlign w:val="center"/>
          </w:tcPr>
          <w:p>
            <w:pPr>
              <w:jc w:val="center"/>
              <w:rPr>
                <w:rFonts w:hint="default" w:ascii="Times New Roman" w:hAnsi="Times New Roman" w:eastAsia="宋体" w:cs="Times New Roman"/>
                <w:sz w:val="21"/>
                <w:szCs w:val="21"/>
                <w:highlight w:val="none"/>
                <w:lang w:val="en-US" w:eastAsia="zh-CN"/>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highlight w:val="none"/>
                <w:lang w:val="en-US" w:eastAsia="zh-CN"/>
              </w:rPr>
              <w:t>锰</w:t>
            </w:r>
          </w:p>
        </w:tc>
        <w:tc>
          <w:tcPr>
            <w:tcW w:w="1245"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692"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11911-1989</w:t>
            </w:r>
            <w:r>
              <w:rPr>
                <w:rFonts w:hint="default" w:ascii="Times New Roman" w:hAnsi="Times New Roman" w:eastAsia="宋体" w:cs="Times New Roman"/>
                <w:sz w:val="21"/>
                <w:szCs w:val="21"/>
                <w:lang w:val="en-US" w:eastAsia="zh-CN"/>
              </w:rPr>
              <w:t xml:space="preserve"> </w:t>
            </w:r>
          </w:p>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sz w:val="21"/>
                <w:szCs w:val="21"/>
              </w:rPr>
              <w:t>原子吸收分光光度法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w:t>
            </w:r>
            <w:r>
              <w:rPr>
                <w:rFonts w:hint="default" w:ascii="Times New Roman" w:hAnsi="Times New Roman" w:eastAsia="宋体" w:cs="Times New Roman"/>
                <w:kern w:val="0"/>
                <w:sz w:val="21"/>
                <w:szCs w:val="21"/>
                <w:highlight w:val="none"/>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挥发酚</w:t>
            </w:r>
          </w:p>
        </w:tc>
        <w:tc>
          <w:tcPr>
            <w:tcW w:w="1245" w:type="pct"/>
            <w:noWrap w:val="0"/>
            <w:vAlign w:val="center"/>
          </w:tcPr>
          <w:p>
            <w:pPr>
              <w:wordWrap/>
              <w:adjustRightInd/>
              <w:snapToGrid/>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紫外分光光度计</w:t>
            </w:r>
          </w:p>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 xml:space="preserve"> THYQ-092</w:t>
            </w:r>
          </w:p>
        </w:tc>
        <w:tc>
          <w:tcPr>
            <w:tcW w:w="1692" w:type="pct"/>
            <w:noWrap w:val="0"/>
            <w:vAlign w:val="center"/>
          </w:tcPr>
          <w:p>
            <w:pPr>
              <w:wordWrap/>
              <w:adjustRightInd/>
              <w:snapToGrid/>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HJ 503-2009</w:t>
            </w:r>
          </w:p>
          <w:p>
            <w:pPr>
              <w:wordWrap/>
              <w:adjustRightInd/>
              <w:snapToGrid/>
              <w:spacing w:line="2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分光光度法</w:t>
            </w:r>
          </w:p>
        </w:tc>
        <w:tc>
          <w:tcPr>
            <w:tcW w:w="794"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bidi="ar"/>
              </w:rPr>
              <w:t>色度</w:t>
            </w:r>
          </w:p>
        </w:tc>
        <w:tc>
          <w:tcPr>
            <w:tcW w:w="1245" w:type="pct"/>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GB/T 5750.4-</w:t>
            </w:r>
            <w:r>
              <w:rPr>
                <w:rFonts w:hint="default" w:ascii="Times New Roman" w:hAnsi="Times New Roman" w:eastAsia="宋体" w:cs="Times New Roman"/>
                <w:b w:val="0"/>
                <w:bCs w:val="0"/>
                <w:sz w:val="21"/>
                <w:szCs w:val="21"/>
                <w:lang w:val="en-US" w:eastAsia="zh-CN"/>
              </w:rPr>
              <w:t>2023</w:t>
            </w:r>
          </w:p>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铂-钴标准比色法</w:t>
            </w:r>
          </w:p>
        </w:tc>
        <w:tc>
          <w:tcPr>
            <w:tcW w:w="794" w:type="pct"/>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铜</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原子吸收分光光度计THYQ-350</w:t>
            </w:r>
          </w:p>
        </w:tc>
        <w:tc>
          <w:tcPr>
            <w:tcW w:w="1692" w:type="pct"/>
            <w:noWrap w:val="0"/>
            <w:vAlign w:val="top"/>
          </w:tcPr>
          <w:p>
            <w:pPr>
              <w:widowControl/>
              <w:jc w:val="center"/>
              <w:textAlignment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 5750.6-2023</w:t>
            </w: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原子吸收分光光度法</w:t>
            </w:r>
          </w:p>
        </w:tc>
        <w:tc>
          <w:tcPr>
            <w:tcW w:w="794" w:type="pct"/>
            <w:noWrap w:val="0"/>
            <w:vAlign w:val="top"/>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sz w:val="21"/>
                <w:szCs w:val="21"/>
                <w:highlight w:val="green"/>
                <w:lang w:val="en-US" w:eastAsia="zh-CN"/>
              </w:rPr>
            </w:pPr>
          </w:p>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0.2</w:t>
            </w:r>
            <w:r>
              <w:rPr>
                <w:rFonts w:hint="default" w:ascii="Times New Roman" w:hAnsi="Times New Roman" w:eastAsia="宋体" w:cs="Times New Roman"/>
                <w:kern w:val="0"/>
                <w:sz w:val="21"/>
                <w:szCs w:val="21"/>
                <w:highlight w:val="none"/>
                <w:lang w:bidi="ar"/>
              </w:rPr>
              <w:t>m</w:t>
            </w:r>
            <w:r>
              <w:rPr>
                <w:rFonts w:hint="default" w:ascii="Times New Roman" w:hAnsi="Times New Roman" w:eastAsia="宋体" w:cs="Times New Roman"/>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锌</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原子吸收分光光度计 THYQ-350</w:t>
            </w:r>
          </w:p>
        </w:tc>
        <w:tc>
          <w:tcPr>
            <w:tcW w:w="1692" w:type="pct"/>
            <w:noWrap w:val="0"/>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 5750.6-2023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原子吸收分光光度法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sz w:val="21"/>
                <w:szCs w:val="21"/>
                <w:highlight w:val="none"/>
                <w:lang w:val="en-US" w:eastAsia="zh-CN"/>
              </w:rPr>
              <w:t>铬（六价）</w:t>
            </w:r>
          </w:p>
        </w:tc>
        <w:tc>
          <w:tcPr>
            <w:tcW w:w="1245" w:type="pct"/>
            <w:noWrap w:val="0"/>
            <w:vAlign w:val="center"/>
          </w:tcPr>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紫外分光光度计THYQ-092</w:t>
            </w:r>
          </w:p>
        </w:tc>
        <w:tc>
          <w:tcPr>
            <w:tcW w:w="1692" w:type="pct"/>
            <w:noWrap w:val="0"/>
            <w:vAlign w:val="center"/>
          </w:tcPr>
          <w:p>
            <w:pPr>
              <w:spacing w:line="20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GB/T 5750.6-20</w:t>
            </w:r>
            <w:r>
              <w:rPr>
                <w:rFonts w:hint="default" w:ascii="Times New Roman" w:hAnsi="Times New Roman" w:eastAsia="宋体" w:cs="Times New Roman"/>
                <w:sz w:val="21"/>
                <w:szCs w:val="21"/>
                <w:highlight w:val="none"/>
                <w:lang w:val="en-US" w:eastAsia="zh-CN"/>
              </w:rPr>
              <w:t>23</w:t>
            </w:r>
          </w:p>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二苯碳酰二肼分光光度法</w:t>
            </w:r>
          </w:p>
        </w:tc>
        <w:tc>
          <w:tcPr>
            <w:tcW w:w="794" w:type="pct"/>
            <w:noWrap w:val="0"/>
            <w:vAlign w:val="center"/>
          </w:tcPr>
          <w:p>
            <w:pPr>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耗氧量</w:t>
            </w:r>
          </w:p>
        </w:tc>
        <w:tc>
          <w:tcPr>
            <w:tcW w:w="124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水浴锅THYQ-013</w:t>
            </w:r>
          </w:p>
        </w:tc>
        <w:tc>
          <w:tcPr>
            <w:tcW w:w="1692"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GB/T 5750.7-</w:t>
            </w:r>
            <w:r>
              <w:rPr>
                <w:rFonts w:hint="default" w:ascii="Times New Roman" w:hAnsi="Times New Roman" w:eastAsia="宋体" w:cs="Times New Roman"/>
                <w:b w:val="0"/>
                <w:bCs w:val="0"/>
                <w:sz w:val="21"/>
                <w:szCs w:val="21"/>
                <w:lang w:val="en-US" w:eastAsia="zh-CN"/>
              </w:rPr>
              <w:t>2023</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高锰酸钾滴定法</w:t>
            </w: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4"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 xml:space="preserve"> 5</w:t>
            </w:r>
            <w:r>
              <w:rPr>
                <w:rFonts w:hint="default" w:ascii="Times New Roman" w:hAnsi="Times New Roman" w:eastAsia="宋体"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superscript"/>
                <w:lang w:val="en-US" w:eastAsia="zh-CN"/>
              </w:rPr>
              <w:t>-5</w:t>
            </w:r>
            <w:r>
              <w:rPr>
                <w:rFonts w:hint="default" w:ascii="Times New Roman" w:hAnsi="Times New Roman" w:eastAsia="宋体" w:cs="Times New Roman"/>
                <w:sz w:val="21"/>
                <w:szCs w:val="21"/>
                <w:highlight w:val="none"/>
                <w:lang w:val="en-US" w:eastAsia="zh-CN"/>
              </w:rPr>
              <w:t xml:space="preserve">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氯化物</w:t>
            </w:r>
          </w:p>
        </w:tc>
        <w:tc>
          <w:tcPr>
            <w:tcW w:w="1245"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酸式滴定管</w:t>
            </w:r>
          </w:p>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HJ-01-01</w:t>
            </w:r>
          </w:p>
        </w:tc>
        <w:tc>
          <w:tcPr>
            <w:tcW w:w="1692"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GB/T5750.5-2023</w:t>
            </w:r>
          </w:p>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sz w:val="21"/>
                <w:szCs w:val="21"/>
                <w:lang w:val="en-US" w:eastAsia="zh-CN"/>
              </w:rPr>
              <w:t>硝酸银容量法</w:t>
            </w:r>
          </w:p>
        </w:tc>
        <w:tc>
          <w:tcPr>
            <w:tcW w:w="794" w:type="pct"/>
            <w:noWrap w:val="0"/>
            <w:vAlign w:val="center"/>
          </w:tcPr>
          <w:p>
            <w:pPr>
              <w:keepNext w:val="0"/>
              <w:keepLines w:val="0"/>
              <w:pageBreakBefore w:val="0"/>
              <w:kinsoku/>
              <w:wordWrap/>
              <w:overflowPunct/>
              <w:topLinePunct w:val="0"/>
              <w:bidi w:val="0"/>
              <w:adjustRightInd/>
              <w:spacing w:line="240" w:lineRule="exact"/>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铝</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原子吸收分光光度计THYQ-350</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GB/T 5750.6-2023</w:t>
            </w:r>
            <w:r>
              <w:rPr>
                <w:rFonts w:hint="default" w:ascii="Times New Roman" w:hAnsi="Times New Roman" w:eastAsia="宋体" w:cs="Times New Roman"/>
                <w:sz w:val="21"/>
                <w:szCs w:val="21"/>
                <w:highlight w:val="none"/>
              </w:rPr>
              <w:t>分光光度法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0.008</w:t>
            </w:r>
            <w:r>
              <w:rPr>
                <w:rFonts w:hint="default" w:ascii="Times New Roman" w:hAnsi="Times New Roman" w:eastAsia="宋体" w:cs="Times New Roman"/>
                <w:kern w:val="2"/>
                <w:sz w:val="21"/>
                <w:szCs w:val="21"/>
                <w:highlight w:val="none"/>
                <w:lang w:val="en-US" w:eastAsia="zh-CN" w:bidi="ar-SA"/>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钠</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原子吸收分光光度计THYQ-350</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5750.6-2023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原子吸收分光光度</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碘化物</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紫外分光光度计</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 THYQ-092</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GB/T 5750.</w:t>
            </w:r>
            <w:r>
              <w:rPr>
                <w:rFonts w:hint="default"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23</w:t>
            </w:r>
            <w:r>
              <w:rPr>
                <w:rFonts w:hint="default" w:ascii="Times New Roman" w:hAnsi="Times New Roman" w:eastAsia="宋体" w:cs="Times New Roman"/>
                <w:sz w:val="21"/>
                <w:szCs w:val="21"/>
                <w:highlight w:val="none"/>
              </w:rPr>
              <w:t>分光光度法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0.0053mg/L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kern w:val="0"/>
                <w:sz w:val="21"/>
                <w:szCs w:val="21"/>
                <w:highlight w:val="none"/>
                <w:lang w:bidi="ar"/>
              </w:rPr>
              <w:t>硒</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电感耦合等离子体质谱仪THYQ-222</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4" w:type="pct"/>
            <w:noWrap w:val="0"/>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0.00041</w:t>
            </w:r>
            <w:r>
              <w:rPr>
                <w:rFonts w:hint="default" w:ascii="Times New Roman" w:hAnsi="Times New Roman" w:eastAsia="宋体" w:cs="Times New Roman"/>
                <w:kern w:val="0"/>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三氯甲烷</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四氯化碳</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1.5</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溶解氧</w:t>
            </w:r>
          </w:p>
        </w:tc>
        <w:tc>
          <w:tcPr>
            <w:tcW w:w="1245" w:type="pct"/>
            <w:noWrap w:val="0"/>
            <w:vAlign w:val="center"/>
          </w:tcPr>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highlight w:val="none"/>
                <w:lang w:val="en-US" w:eastAsia="zh-CN"/>
              </w:rPr>
              <w:t>滴定管  HJ-01-05</w:t>
            </w:r>
          </w:p>
        </w:tc>
        <w:tc>
          <w:tcPr>
            <w:tcW w:w="1692"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0"/>
                <w:sz w:val="21"/>
                <w:szCs w:val="21"/>
                <w:lang w:bidi="ar"/>
              </w:rPr>
              <w:t>GB/T 7489-1987</w:t>
            </w:r>
            <w:r>
              <w:rPr>
                <w:rFonts w:hint="default" w:ascii="Times New Roman" w:hAnsi="Times New Roman" w:eastAsia="宋体" w:cs="Times New Roman"/>
                <w:color w:val="auto"/>
                <w:kern w:val="0"/>
                <w:sz w:val="21"/>
                <w:szCs w:val="21"/>
                <w:lang w:val="en-US" w:eastAsia="zh-CN" w:bidi="ar"/>
              </w:rPr>
              <w:t>碘量法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化学需氧量（CODcr）</w:t>
            </w:r>
          </w:p>
        </w:tc>
        <w:tc>
          <w:tcPr>
            <w:tcW w:w="1245"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紫外分光光度计</w:t>
            </w:r>
          </w:p>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2"/>
                <w:sz w:val="21"/>
                <w:szCs w:val="21"/>
                <w:highlight w:val="none"/>
                <w:lang w:val="en-US" w:eastAsia="zh-CN" w:bidi="ar-SA"/>
              </w:rPr>
              <w:t xml:space="preserve"> THYQ-092</w:t>
            </w:r>
          </w:p>
        </w:tc>
        <w:tc>
          <w:tcPr>
            <w:tcW w:w="1692"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HJ/T 399—2007</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快速消解分光光度法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*总有机碳</w:t>
            </w:r>
          </w:p>
        </w:tc>
        <w:tc>
          <w:tcPr>
            <w:tcW w:w="1245"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HTY-CT1000B </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总有机碳（TOC）分析仪</w:t>
            </w:r>
          </w:p>
        </w:tc>
        <w:tc>
          <w:tcPr>
            <w:tcW w:w="1692"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501-2009燃烧氧化-非分散红外吸收法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329" w:type="pct"/>
            <w:vMerge w:val="continue"/>
            <w:noWrap w:val="0"/>
            <w:vAlign w:val="center"/>
          </w:tcPr>
          <w:p>
            <w:pPr>
              <w:jc w:val="center"/>
              <w:rPr>
                <w:rFonts w:hint="default" w:ascii="Times New Roman" w:hAnsi="Times New Roman" w:eastAsia="宋体" w:cs="Times New Roman"/>
                <w:color w:val="000000"/>
                <w:kern w:val="0"/>
                <w:sz w:val="21"/>
                <w:szCs w:val="21"/>
                <w:highlight w:val="none"/>
                <w:lang w:val="en-US" w:eastAsia="zh-CN" w:bidi="ar"/>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萘</w:t>
            </w:r>
          </w:p>
        </w:tc>
        <w:tc>
          <w:tcPr>
            <w:tcW w:w="1245"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液相色谱仪</w:t>
            </w:r>
          </w:p>
          <w:p>
            <w:pPr>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lang w:val="en-US" w:eastAsia="zh-CN"/>
              </w:rPr>
              <w:t>THYQ-288</w:t>
            </w:r>
          </w:p>
        </w:tc>
        <w:tc>
          <w:tcPr>
            <w:tcW w:w="1692"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478-2009</w:t>
            </w:r>
          </w:p>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高效液相色谱法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0.012</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highlight w:val="none"/>
                <w:lang w:val="en-US" w:eastAsia="zh-CN" w:bidi="ar-SA"/>
              </w:rPr>
              <w:t>悬浮物</w:t>
            </w:r>
          </w:p>
        </w:tc>
        <w:tc>
          <w:tcPr>
            <w:tcW w:w="1245"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电热恒温鼓风干燥箱THYQ-096</w:t>
            </w:r>
          </w:p>
        </w:tc>
        <w:tc>
          <w:tcPr>
            <w:tcW w:w="1692"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GB/T 11901-1989</w:t>
            </w:r>
            <w:r>
              <w:rPr>
                <w:rFonts w:hint="default" w:ascii="Times New Roman" w:hAnsi="Times New Roman" w:eastAsia="宋体" w:cs="Times New Roman"/>
                <w:sz w:val="21"/>
                <w:szCs w:val="21"/>
                <w:lang w:val="en-US" w:eastAsia="zh-CN"/>
              </w:rPr>
              <w:t>重量法</w:t>
            </w:r>
          </w:p>
        </w:tc>
        <w:tc>
          <w:tcPr>
            <w:tcW w:w="794" w:type="pct"/>
            <w:noWrap w:val="0"/>
            <w:vAlign w:val="center"/>
          </w:tcPr>
          <w:p>
            <w:pPr>
              <w:wordWrap/>
              <w:adjustRightInd/>
              <w:snapToGrid/>
              <w:spacing w:line="240" w:lineRule="auto"/>
              <w:ind w:firstLine="210" w:firstLineChars="10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苯</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4"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甲苯</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639-2012吹扫捕集气相色谱-质谱法</w:t>
            </w:r>
          </w:p>
        </w:tc>
        <w:tc>
          <w:tcPr>
            <w:tcW w:w="794" w:type="pct"/>
            <w:noWrap w:val="0"/>
            <w:vAlign w:val="center"/>
          </w:tcPr>
          <w:p>
            <w:pPr>
              <w:wordWrap/>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邻二甲苯</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 吹扫捕集/气相色谱-质谱法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1.4</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间，对-二甲苯</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639-2012 吹扫捕集/气相色谱-质谱法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2.2</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碳酸根</w:t>
            </w:r>
          </w:p>
        </w:tc>
        <w:tc>
          <w:tcPr>
            <w:tcW w:w="1245" w:type="pct"/>
            <w:noWrap w:val="0"/>
            <w:vAlign w:val="center"/>
          </w:tcPr>
          <w:p>
            <w:pPr>
              <w:widowControl/>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酸式滴定管</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HJ-0</w:t>
            </w:r>
            <w:r>
              <w:rPr>
                <w:rFonts w:hint="default" w:ascii="Times New Roman" w:hAnsi="Times New Roman" w:eastAsia="宋体" w:cs="Times New Roman"/>
                <w:sz w:val="21"/>
                <w:szCs w:val="21"/>
                <w:lang w:val="en-US" w:eastAsia="zh-CN"/>
              </w:rPr>
              <w:t>1-03</w:t>
            </w:r>
          </w:p>
        </w:tc>
        <w:tc>
          <w:tcPr>
            <w:tcW w:w="169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DZ/T 0064.49-</w:t>
            </w:r>
            <w:r>
              <w:rPr>
                <w:rFonts w:hint="default" w:ascii="Times New Roman" w:hAnsi="Times New Roman" w:eastAsia="宋体" w:cs="Times New Roman"/>
                <w:sz w:val="21"/>
                <w:szCs w:val="21"/>
                <w:lang w:val="en-US" w:eastAsia="zh-CN"/>
              </w:rPr>
              <w:t>2021</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eastAsia="zh-CN"/>
              </w:rPr>
              <w:t>滴定法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碳酸氢根</w:t>
            </w:r>
          </w:p>
        </w:tc>
        <w:tc>
          <w:tcPr>
            <w:tcW w:w="1245" w:type="pct"/>
            <w:noWrap w:val="0"/>
            <w:vAlign w:val="center"/>
          </w:tcPr>
          <w:p>
            <w:pPr>
              <w:widowControl/>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酸式滴定管</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HJ-0</w:t>
            </w:r>
            <w:r>
              <w:rPr>
                <w:rFonts w:hint="default" w:ascii="Times New Roman" w:hAnsi="Times New Roman" w:eastAsia="宋体" w:cs="Times New Roman"/>
                <w:sz w:val="21"/>
                <w:szCs w:val="21"/>
                <w:lang w:val="en-US" w:eastAsia="zh-CN"/>
              </w:rPr>
              <w:t>1-03</w:t>
            </w:r>
          </w:p>
        </w:tc>
        <w:tc>
          <w:tcPr>
            <w:tcW w:w="169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DZ/T 0064.49-</w:t>
            </w:r>
            <w:r>
              <w:rPr>
                <w:rFonts w:hint="default" w:ascii="Times New Roman" w:hAnsi="Times New Roman" w:eastAsia="宋体" w:cs="Times New Roman"/>
                <w:sz w:val="21"/>
                <w:szCs w:val="21"/>
                <w:lang w:val="en-US" w:eastAsia="zh-CN"/>
              </w:rPr>
              <w:t>2021</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eastAsia="zh-CN"/>
              </w:rPr>
              <w:t>滴定法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石油烃（C6-C9）</w:t>
            </w:r>
          </w:p>
        </w:tc>
        <w:tc>
          <w:tcPr>
            <w:tcW w:w="124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气相色谱仪THYQ-158</w:t>
            </w:r>
          </w:p>
        </w:tc>
        <w:tc>
          <w:tcPr>
            <w:tcW w:w="1692"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893-2017</w:t>
            </w:r>
          </w:p>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吹扫捕集/气相色谱法</w:t>
            </w:r>
          </w:p>
          <w:p>
            <w:pPr>
              <w:jc w:val="center"/>
              <w:rPr>
                <w:rFonts w:hint="default" w:ascii="Times New Roman" w:hAnsi="Times New Roman" w:eastAsia="宋体" w:cs="Times New Roman"/>
                <w:kern w:val="2"/>
                <w:sz w:val="21"/>
                <w:szCs w:val="21"/>
                <w:highlight w:val="none"/>
                <w:lang w:val="en-US" w:eastAsia="zh-CN" w:bidi="ar-SA"/>
              </w:rPr>
            </w:pPr>
          </w:p>
        </w:tc>
        <w:tc>
          <w:tcPr>
            <w:tcW w:w="79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石油烃（C10-C40）</w:t>
            </w:r>
          </w:p>
        </w:tc>
        <w:tc>
          <w:tcPr>
            <w:tcW w:w="1245"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气相色谱仪THYQ-158</w:t>
            </w:r>
          </w:p>
        </w:tc>
        <w:tc>
          <w:tcPr>
            <w:tcW w:w="169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894-2017</w:t>
            </w:r>
          </w:p>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吹扫捕集/气相色谱法</w:t>
            </w:r>
          </w:p>
          <w:p>
            <w:pPr>
              <w:jc w:val="center"/>
              <w:rPr>
                <w:rFonts w:hint="default" w:ascii="Times New Roman" w:hAnsi="Times New Roman" w:eastAsia="宋体" w:cs="Times New Roman"/>
                <w:kern w:val="2"/>
                <w:sz w:val="21"/>
                <w:szCs w:val="21"/>
                <w:lang w:val="en-US" w:eastAsia="zh-CN" w:bidi="ar-SA"/>
              </w:rPr>
            </w:pPr>
          </w:p>
        </w:tc>
        <w:tc>
          <w:tcPr>
            <w:tcW w:w="794"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钾</w:t>
            </w:r>
          </w:p>
        </w:tc>
        <w:tc>
          <w:tcPr>
            <w:tcW w:w="1245"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电感耦合等离子体质谱仪THYQ-222</w:t>
            </w:r>
          </w:p>
        </w:tc>
        <w:tc>
          <w:tcPr>
            <w:tcW w:w="1692" w:type="pct"/>
            <w:noWrap w:val="0"/>
            <w:vAlign w:val="center"/>
          </w:tcPr>
          <w:p>
            <w:pPr>
              <w:keepNext w:val="0"/>
              <w:keepLines w:val="0"/>
              <w:pageBreakBefore w:val="0"/>
              <w:kinsoku/>
              <w:wordWrap/>
              <w:overflowPunct/>
              <w:topLinePunct w:val="0"/>
              <w:autoSpaceDE/>
              <w:autoSpaceDN/>
              <w:bidi w:val="0"/>
              <w:adjustRightInd/>
              <w:snapToGrid/>
              <w:spacing w:line="200" w:lineRule="exact"/>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700-2014电感耦合等离子体质谱法</w:t>
            </w:r>
          </w:p>
        </w:tc>
        <w:tc>
          <w:tcPr>
            <w:tcW w:w="794"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0.0045mg/L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钙</w:t>
            </w:r>
          </w:p>
        </w:tc>
        <w:tc>
          <w:tcPr>
            <w:tcW w:w="1245"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692"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GB/T 11905-1989</w:t>
            </w:r>
            <w:r>
              <w:rPr>
                <w:rFonts w:hint="default" w:ascii="Times New Roman" w:hAnsi="Times New Roman" w:eastAsia="宋体" w:cs="Times New Roman"/>
                <w:sz w:val="21"/>
                <w:szCs w:val="21"/>
                <w:lang w:val="en-US" w:eastAsia="zh-CN"/>
              </w:rPr>
              <w:t xml:space="preserve"> </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镁</w:t>
            </w:r>
          </w:p>
        </w:tc>
        <w:tc>
          <w:tcPr>
            <w:tcW w:w="1245"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原子吸收分光光度计THYQ-</w:t>
            </w:r>
            <w:r>
              <w:rPr>
                <w:rFonts w:hint="default" w:ascii="Times New Roman" w:hAnsi="Times New Roman" w:eastAsia="宋体" w:cs="Times New Roman"/>
                <w:sz w:val="21"/>
                <w:szCs w:val="21"/>
                <w:lang w:val="en-US" w:eastAsia="zh-CN"/>
              </w:rPr>
              <w:t>350</w:t>
            </w:r>
          </w:p>
        </w:tc>
        <w:tc>
          <w:tcPr>
            <w:tcW w:w="1692"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11905-1989</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原子吸收分光光度法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总大肠菌群</w:t>
            </w:r>
          </w:p>
        </w:tc>
        <w:tc>
          <w:tcPr>
            <w:tcW w:w="1245" w:type="pct"/>
            <w:noWrap w:val="0"/>
            <w:vAlign w:val="center"/>
          </w:tcPr>
          <w:p>
            <w:pPr>
              <w:widowControl/>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生化培养箱</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THYQ-057</w:t>
            </w:r>
          </w:p>
        </w:tc>
        <w:tc>
          <w:tcPr>
            <w:tcW w:w="1692" w:type="pct"/>
            <w:noWrap w:val="0"/>
            <w:vAlign w:val="center"/>
          </w:tcPr>
          <w:p>
            <w:pPr>
              <w:spacing w:line="24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GB/T</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5750.12-20</w:t>
            </w:r>
            <w:r>
              <w:rPr>
                <w:rFonts w:hint="default" w:ascii="Times New Roman" w:hAnsi="Times New Roman" w:eastAsia="宋体" w:cs="Times New Roman"/>
                <w:kern w:val="0"/>
                <w:sz w:val="21"/>
                <w:szCs w:val="21"/>
                <w:lang w:val="en-US" w:eastAsia="zh-CN"/>
              </w:rPr>
              <w:t>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rPr>
              <w:t>多管发酵法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乙苯</w:t>
            </w:r>
          </w:p>
        </w:tc>
        <w:tc>
          <w:tcPr>
            <w:tcW w:w="1245" w:type="pct"/>
            <w:noWrap w:val="0"/>
            <w:vAlign w:val="center"/>
          </w:tcPr>
          <w:p>
            <w:pPr>
              <w:widowControl w:val="0"/>
              <w:wordWrap/>
              <w:adjustRightInd/>
              <w:snapToGrid/>
              <w:spacing w:line="2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气相色谱</w:t>
            </w:r>
            <w:r>
              <w:rPr>
                <w:rFonts w:hint="default" w:ascii="Times New Roman" w:hAnsi="Times New Roman" w:eastAsia="宋体" w:cs="Times New Roman"/>
                <w:sz w:val="21"/>
                <w:szCs w:val="21"/>
                <w:highlight w:val="none"/>
                <w:lang w:val="en-US" w:eastAsia="zh-CN"/>
              </w:rPr>
              <w:t>-质谱仪</w:t>
            </w:r>
          </w:p>
          <w:p>
            <w:pPr>
              <w:widowControl/>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THYQ-175</w:t>
            </w:r>
          </w:p>
        </w:tc>
        <w:tc>
          <w:tcPr>
            <w:tcW w:w="1692" w:type="pct"/>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HJ 639-2012 吹扫捕集/气相色谱-质谱法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0.8</w:t>
            </w:r>
            <w:r>
              <w:rPr>
                <w:rFonts w:hint="default" w:ascii="Times New Roman" w:hAnsi="Times New Roman" w:eastAsia="宋体" w:cs="Times New Roman"/>
                <w:color w:val="000000"/>
                <w:sz w:val="21"/>
                <w:szCs w:val="21"/>
                <w:lang w:val="en-US" w:eastAsia="zh-CN"/>
              </w:rPr>
              <w:t>μ</w:t>
            </w:r>
            <w:r>
              <w:rPr>
                <w:rFonts w:hint="default" w:ascii="Times New Roman" w:hAnsi="Times New Roman" w:eastAsia="宋体" w:cs="Times New Roman"/>
                <w:kern w:val="0"/>
                <w:sz w:val="21"/>
                <w:szCs w:val="21"/>
                <w:highlight w:val="none"/>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329"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c>
          <w:tcPr>
            <w:tcW w:w="9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菌落总数</w:t>
            </w:r>
          </w:p>
        </w:tc>
        <w:tc>
          <w:tcPr>
            <w:tcW w:w="1245" w:type="pct"/>
            <w:noWrap w:val="0"/>
            <w:vAlign w:val="center"/>
          </w:tcPr>
          <w:p>
            <w:pPr>
              <w:widowControl/>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生化培养箱</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THYQ-057</w:t>
            </w:r>
          </w:p>
        </w:tc>
        <w:tc>
          <w:tcPr>
            <w:tcW w:w="1692" w:type="pct"/>
            <w:noWrap w:val="0"/>
            <w:vAlign w:val="center"/>
          </w:tcPr>
          <w:p>
            <w:pPr>
              <w:spacing w:line="24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GB/T</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5750.12-20</w:t>
            </w:r>
            <w:r>
              <w:rPr>
                <w:rFonts w:hint="default" w:ascii="Times New Roman" w:hAnsi="Times New Roman" w:eastAsia="宋体" w:cs="Times New Roman"/>
                <w:kern w:val="0"/>
                <w:sz w:val="21"/>
                <w:szCs w:val="21"/>
                <w:lang w:val="en-US" w:eastAsia="zh-CN"/>
              </w:rPr>
              <w:t>23</w:t>
            </w:r>
          </w:p>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rPr>
              <w:t>平皿计数法</w:t>
            </w:r>
          </w:p>
        </w:tc>
        <w:tc>
          <w:tcPr>
            <w:tcW w:w="794" w:type="pct"/>
            <w:noWrap w:val="0"/>
            <w:vAlign w:val="center"/>
          </w:tcPr>
          <w:p>
            <w:pPr>
              <w:wordWrap/>
              <w:adjustRightInd/>
              <w:snapToGrid/>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w:t>
            </w:r>
          </w:p>
        </w:tc>
      </w:tr>
    </w:tbl>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49" w:name="_Toc22171"/>
      <w:r>
        <w:rPr>
          <w:rFonts w:hint="default" w:ascii="Times New Roman" w:hAnsi="Times New Roman" w:eastAsia="宋体" w:cs="Times New Roman"/>
          <w:b/>
          <w:sz w:val="28"/>
          <w:szCs w:val="32"/>
        </w:rPr>
        <w:t>8.2人员资质</w:t>
      </w:r>
      <w:bookmarkEnd w:id="49"/>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参加验收监测采样和测试的人员，按国家有关规定均持证上岗，所有监测设备均经过计量部门的检定并在检定有效周期内。</w:t>
      </w:r>
    </w:p>
    <w:p>
      <w:pPr>
        <w:pStyle w:val="47"/>
        <w:spacing w:line="360" w:lineRule="auto"/>
        <w:ind w:firstLine="0" w:firstLineChars="0"/>
        <w:jc w:val="left"/>
        <w:outlineLvl w:val="1"/>
        <w:rPr>
          <w:rFonts w:hint="default" w:ascii="Times New Roman" w:hAnsi="Times New Roman" w:eastAsia="宋体" w:cs="Times New Roman"/>
          <w:b/>
          <w:sz w:val="28"/>
          <w:szCs w:val="32"/>
          <w:highlight w:val="none"/>
        </w:rPr>
      </w:pPr>
      <w:bookmarkStart w:id="50" w:name="_Toc19288"/>
      <w:bookmarkStart w:id="51" w:name="_Toc20090"/>
      <w:bookmarkStart w:id="52" w:name="_Toc4390"/>
      <w:r>
        <w:rPr>
          <w:rFonts w:hint="default" w:ascii="Times New Roman" w:hAnsi="Times New Roman" w:eastAsia="宋体" w:cs="Times New Roman"/>
          <w:b/>
          <w:sz w:val="28"/>
          <w:szCs w:val="32"/>
          <w:highlight w:val="none"/>
        </w:rPr>
        <w:t>8.3水质监测分析过程中的质量保证和质量控制</w:t>
      </w:r>
      <w:bookmarkEnd w:id="50"/>
      <w:bookmarkEnd w:id="51"/>
      <w:bookmarkEnd w:id="52"/>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1、质控依据：</w:t>
      </w:r>
    </w:p>
    <w:p>
      <w:pPr>
        <w:pStyle w:val="47"/>
        <w:spacing w:line="360" w:lineRule="auto"/>
        <w:ind w:firstLine="480" w:firstLineChars="0"/>
        <w:jc w:val="left"/>
        <w:outlineLvl w:val="9"/>
        <w:rPr>
          <w:rFonts w:hint="default" w:ascii="Times New Roman" w:hAnsi="Times New Roman" w:eastAsia="宋体" w:cs="Times New Roman"/>
          <w:b w:val="0"/>
          <w:bCs/>
          <w:sz w:val="24"/>
          <w:szCs w:val="24"/>
          <w:highlight w:val="none"/>
        </w:rPr>
      </w:pP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rPr>
        <w:t>地下水环境监测技术规范</w:t>
      </w: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rPr>
        <w:t>HJ 164-2020</w:t>
      </w:r>
    </w:p>
    <w:p>
      <w:pPr>
        <w:pStyle w:val="47"/>
        <w:spacing w:line="360" w:lineRule="auto"/>
        <w:ind w:firstLine="480" w:firstLineChars="0"/>
        <w:jc w:val="left"/>
        <w:outlineLvl w:val="9"/>
        <w:rPr>
          <w:rFonts w:hint="default" w:ascii="Times New Roman" w:hAnsi="Times New Roman" w:eastAsia="宋体" w:cs="Times New Roman"/>
          <w:b w:val="0"/>
          <w:bCs/>
          <w:sz w:val="24"/>
          <w:szCs w:val="24"/>
          <w:highlight w:val="none"/>
          <w:lang w:val="en-US" w:eastAsia="zh-CN"/>
        </w:rPr>
      </w:pPr>
      <w:r>
        <w:rPr>
          <w:rFonts w:hint="default" w:ascii="Times New Roman" w:hAnsi="Times New Roman" w:eastAsia="宋体" w:cs="Times New Roman"/>
          <w:b w:val="0"/>
          <w:bCs/>
          <w:sz w:val="24"/>
          <w:szCs w:val="24"/>
          <w:highlight w:val="none"/>
          <w:lang w:val="en-US" w:eastAsia="zh-CN"/>
        </w:rPr>
        <w:t>2、质控措施：</w:t>
      </w:r>
    </w:p>
    <w:p>
      <w:pPr>
        <w:pStyle w:val="47"/>
        <w:spacing w:line="360" w:lineRule="auto"/>
        <w:ind w:firstLine="480" w:firstLineChars="0"/>
        <w:jc w:val="left"/>
        <w:outlineLvl w:val="9"/>
        <w:rPr>
          <w:rFonts w:hint="default" w:ascii="Times New Roman" w:hAnsi="Times New Roman" w:eastAsia="宋体" w:cs="Times New Roman"/>
          <w:b w:val="0"/>
          <w:bCs/>
          <w:sz w:val="24"/>
          <w:szCs w:val="24"/>
          <w:highlight w:val="none"/>
        </w:rPr>
      </w:pP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lang w:val="en-US" w:eastAsia="zh-CN"/>
        </w:rPr>
        <w:t>1</w:t>
      </w: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rPr>
        <w:t>从事地下水监测的组织机构、监测人员、现场监测仪器、实验室分析仪器与设备等按17RB/T 214 和HJ 630 的有关内容执行。</w:t>
      </w:r>
    </w:p>
    <w:p>
      <w:pPr>
        <w:pStyle w:val="47"/>
        <w:spacing w:line="360" w:lineRule="auto"/>
        <w:ind w:firstLine="480" w:firstLineChars="0"/>
        <w:jc w:val="left"/>
        <w:outlineLvl w:val="9"/>
        <w:rPr>
          <w:rFonts w:hint="default" w:ascii="Times New Roman" w:hAnsi="Times New Roman" w:eastAsia="宋体" w:cs="Times New Roman"/>
          <w:b w:val="0"/>
          <w:bCs/>
          <w:sz w:val="24"/>
          <w:szCs w:val="24"/>
          <w:highlight w:val="none"/>
        </w:rPr>
      </w:pP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lang w:val="en-US" w:eastAsia="zh-CN"/>
        </w:rPr>
        <w:t>2</w:t>
      </w:r>
      <w:r>
        <w:rPr>
          <w:rFonts w:hint="default" w:ascii="Times New Roman" w:hAnsi="Times New Roman" w:eastAsia="宋体" w:cs="Times New Roman"/>
          <w:b w:val="0"/>
          <w:bCs/>
          <w:sz w:val="24"/>
          <w:szCs w:val="24"/>
          <w:highlight w:val="none"/>
          <w:lang w:eastAsia="zh-CN"/>
        </w:rPr>
        <w:t>）</w:t>
      </w:r>
      <w:r>
        <w:rPr>
          <w:rFonts w:hint="default" w:ascii="Times New Roman" w:hAnsi="Times New Roman" w:eastAsia="宋体" w:cs="Times New Roman"/>
          <w:b w:val="0"/>
          <w:bCs/>
          <w:sz w:val="24"/>
          <w:szCs w:val="24"/>
          <w:highlight w:val="none"/>
        </w:rPr>
        <w:t>采样人员必须通过岗前培训，考核合格后上岗，切实掌握地下水采样技术，熟知采样器具的使用和样品固定、保存和运输条件等。</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53" w:name="_Toc6998"/>
      <w:bookmarkStart w:id="54" w:name="_Toc2660"/>
      <w:bookmarkStart w:id="55" w:name="_Toc16565"/>
      <w:r>
        <w:rPr>
          <w:rFonts w:hint="default" w:ascii="Times New Roman" w:hAnsi="Times New Roman" w:eastAsia="宋体" w:cs="Times New Roman"/>
          <w:b/>
          <w:sz w:val="28"/>
          <w:szCs w:val="32"/>
        </w:rPr>
        <w:t>8.4气体监测分析过程中的质量保证和质量控制</w:t>
      </w:r>
      <w:bookmarkEnd w:id="53"/>
      <w:bookmarkEnd w:id="54"/>
      <w:bookmarkEnd w:id="55"/>
      <w:r>
        <w:rPr>
          <w:rFonts w:hint="default" w:ascii="Times New Roman" w:hAnsi="Times New Roman" w:eastAsia="宋体" w:cs="Times New Roman"/>
          <w:b/>
          <w:sz w:val="28"/>
          <w:szCs w:val="32"/>
        </w:rPr>
        <w:t xml:space="preserve"> </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1、质控依据：</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《固定污染源监测质量保证与质量控制技术规范》HJ/T 373-2007；</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《固定源废气监测技术规范》HJ/T 397-2007；</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《大气污染物无组织排放监测技术导则》HJ/T 55-2000。</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2、质控措施：</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（1）尽量避免被测排放物中共存污染物对分析的交叉干扰。</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（2）被测排放物的浓度在仪器量程的有效范围（即30%-70%之间）</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（3）采样器在进入现场前应对采样器计、流速计等进行校核。气体监测仪器在测试前按监测因子分别用标准气体和流量计对其进行校核，在测试</w:t>
      </w:r>
      <w:r>
        <w:rPr>
          <w:rFonts w:hint="default" w:ascii="Times New Roman" w:hAnsi="Times New Roman" w:eastAsia="宋体" w:cs="Times New Roman"/>
          <w:color w:val="000000"/>
          <w:sz w:val="24"/>
          <w:szCs w:val="28"/>
          <w:lang w:eastAsia="zh-CN"/>
        </w:rPr>
        <w:t>时</w:t>
      </w:r>
      <w:r>
        <w:rPr>
          <w:rFonts w:hint="default" w:ascii="Times New Roman" w:hAnsi="Times New Roman" w:eastAsia="宋体" w:cs="Times New Roman"/>
          <w:color w:val="000000"/>
          <w:sz w:val="24"/>
          <w:szCs w:val="28"/>
        </w:rPr>
        <w:t>应保证采样流量的准确。</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（4）监测、计量设备强检合格；人员持证上岗；</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56" w:name="_Toc19134"/>
      <w:bookmarkStart w:id="57" w:name="_Toc27599"/>
      <w:bookmarkStart w:id="58" w:name="_Toc1800"/>
      <w:r>
        <w:rPr>
          <w:rFonts w:hint="default" w:ascii="Times New Roman" w:hAnsi="Times New Roman" w:eastAsia="宋体" w:cs="Times New Roman"/>
          <w:b/>
          <w:sz w:val="28"/>
          <w:szCs w:val="32"/>
        </w:rPr>
        <w:t>8.5噪声监测分析过程中的质量保证和质量控制</w:t>
      </w:r>
      <w:bookmarkEnd w:id="56"/>
      <w:bookmarkEnd w:id="57"/>
      <w:bookmarkEnd w:id="58"/>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1、质控依据：《环境噪声监测技术规范噪声测量值修正》HJ706-2014；</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2、质控措施：</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（1）声级计在测试前后用标准发声源进行校准，测试前后仪器的灵敏度相差不大于0.5dB，若大于0.5dB测试数据无效。噪声仪测量前校准值93.8dB，测量后校准值93.8dB。</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（2）本次监测期间无雨雪、无雷电，且风速小于5m/s；</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（3）监测、计量设备强检合格；人员持证上岗。</w:t>
      </w:r>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59" w:name="_Toc31195"/>
      <w:bookmarkStart w:id="60" w:name="_Toc15075"/>
      <w:bookmarkStart w:id="61" w:name="_Toc15884"/>
      <w:r>
        <w:rPr>
          <w:rFonts w:hint="default" w:ascii="Times New Roman" w:hAnsi="Times New Roman" w:eastAsia="宋体" w:cs="Times New Roman"/>
          <w:b/>
          <w:sz w:val="28"/>
          <w:szCs w:val="32"/>
        </w:rPr>
        <w:t>8.6固体废物监测分析过程中的质量保证和质量控制</w:t>
      </w:r>
      <w:bookmarkEnd w:id="59"/>
      <w:bookmarkEnd w:id="60"/>
      <w:bookmarkEnd w:id="61"/>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该项目未做固废监测。</w:t>
      </w:r>
    </w:p>
    <w:p>
      <w:pPr>
        <w:spacing w:line="360" w:lineRule="auto"/>
        <w:ind w:firstLine="480" w:firstLineChars="200"/>
        <w:jc w:val="center"/>
        <w:outlineLvl w:val="0"/>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sz w:val="24"/>
          <w:szCs w:val="28"/>
        </w:rPr>
        <w:br w:type="page"/>
      </w:r>
      <w:bookmarkStart w:id="62" w:name="_Toc6115"/>
      <w:r>
        <w:rPr>
          <w:rFonts w:hint="default" w:ascii="Times New Roman" w:hAnsi="Times New Roman" w:eastAsia="宋体" w:cs="Times New Roman"/>
          <w:b/>
          <w:color w:val="auto"/>
          <w:sz w:val="32"/>
          <w:szCs w:val="32"/>
          <w:highlight w:val="none"/>
        </w:rPr>
        <w:t>9、验收监测结果</w:t>
      </w:r>
      <w:bookmarkEnd w:id="62"/>
    </w:p>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63" w:name="_Toc1573"/>
      <w:r>
        <w:rPr>
          <w:rFonts w:hint="default" w:ascii="Times New Roman" w:hAnsi="Times New Roman" w:eastAsia="宋体" w:cs="Times New Roman"/>
          <w:b/>
          <w:sz w:val="28"/>
          <w:szCs w:val="32"/>
        </w:rPr>
        <w:t>9.1生产工况</w:t>
      </w:r>
      <w:bookmarkEnd w:id="63"/>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监测时间</w:t>
      </w:r>
      <w:r>
        <w:rPr>
          <w:rFonts w:hint="default" w:ascii="Times New Roman" w:hAnsi="Times New Roman" w:eastAsia="宋体" w:cs="Times New Roman"/>
          <w:color w:val="000000"/>
          <w:sz w:val="24"/>
          <w:szCs w:val="28"/>
          <w:highlight w:val="none"/>
          <w:lang w:val="en-US" w:eastAsia="zh-CN"/>
        </w:rPr>
        <w:t>为2024年01月02日、2024年01月03</w:t>
      </w:r>
      <w:r>
        <w:rPr>
          <w:rFonts w:hint="default" w:ascii="Times New Roman" w:hAnsi="Times New Roman" w:eastAsia="宋体" w:cs="Times New Roman"/>
          <w:color w:val="000000"/>
          <w:sz w:val="24"/>
          <w:szCs w:val="28"/>
          <w:lang w:val="en-US" w:eastAsia="zh-CN"/>
        </w:rPr>
        <w:t>日、2024年01月29日、01月30日。监测期间，项目各生产设施开启运行，该项目年生产365天，项目环评设计年周转汽油1600t，柴油1000t，本次验收范围为年周转汽油1600t，柴油1000t。监测期间加工厂生产负荷</w:t>
      </w:r>
      <w:r>
        <w:rPr>
          <w:rFonts w:hint="default" w:ascii="Times New Roman" w:hAnsi="Times New Roman" w:eastAsia="宋体" w:cs="Times New Roman"/>
          <w:color w:val="000000"/>
          <w:sz w:val="24"/>
          <w:szCs w:val="28"/>
        </w:rPr>
        <w:t>达到设计生产负荷的90%，工况稳定且环保设施运行正常，满足验收应在工况稳定、生产负荷达到设计生产能力的</w:t>
      </w:r>
      <w:r>
        <w:rPr>
          <w:rFonts w:hint="default" w:ascii="Times New Roman" w:hAnsi="Times New Roman" w:eastAsia="宋体" w:cs="Times New Roman"/>
          <w:color w:val="000000"/>
          <w:sz w:val="24"/>
          <w:szCs w:val="28"/>
          <w:lang w:val="en-US" w:eastAsia="zh-CN"/>
        </w:rPr>
        <w:t>75</w:t>
      </w:r>
      <w:r>
        <w:rPr>
          <w:rFonts w:hint="default" w:ascii="Times New Roman" w:hAnsi="Times New Roman" w:eastAsia="宋体" w:cs="Times New Roman"/>
          <w:color w:val="000000"/>
          <w:sz w:val="24"/>
          <w:szCs w:val="28"/>
        </w:rPr>
        <w:t>%以上的情况下进行的要求，监测数据具有代表性。</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表9-1  生产工况</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130"/>
        <w:gridCol w:w="2469"/>
        <w:gridCol w:w="2312"/>
        <w:gridCol w:w="16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49"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监测日期</w:t>
            </w:r>
          </w:p>
        </w:tc>
        <w:tc>
          <w:tcPr>
            <w:tcW w:w="1448"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设计生产规模</w:t>
            </w:r>
          </w:p>
        </w:tc>
        <w:tc>
          <w:tcPr>
            <w:tcW w:w="1356"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实际生产规模</w:t>
            </w:r>
          </w:p>
        </w:tc>
        <w:tc>
          <w:tcPr>
            <w:tcW w:w="945" w:type="pct"/>
            <w:noWrap w:val="0"/>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生产负荷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49"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2024.01.02</w:t>
            </w:r>
          </w:p>
        </w:tc>
        <w:tc>
          <w:tcPr>
            <w:tcW w:w="1448" w:type="pct"/>
            <w:noWrap w:val="0"/>
            <w:vAlign w:val="center"/>
          </w:tcPr>
          <w:p>
            <w:pPr>
              <w:spacing w:line="300" w:lineRule="exact"/>
              <w:jc w:val="center"/>
              <w:rPr>
                <w:rFonts w:hint="default" w:ascii="Times New Roman" w:hAnsi="Times New Roman" w:eastAsia="宋体" w:cs="Times New Roman"/>
                <w:sz w:val="21"/>
                <w:szCs w:val="21"/>
                <w:lang w:val="en-US"/>
              </w:rPr>
            </w:pPr>
            <w:r>
              <w:rPr>
                <w:rFonts w:hint="default" w:ascii="Times New Roman" w:hAnsi="Times New Roman" w:eastAsia="宋体" w:cs="Times New Roman"/>
                <w:color w:val="000000"/>
                <w:sz w:val="21"/>
                <w:szCs w:val="21"/>
                <w:lang w:val="en-US" w:eastAsia="zh-CN"/>
              </w:rPr>
              <w:t>汽油4.38t</w:t>
            </w:r>
            <w:r>
              <w:rPr>
                <w:rFonts w:hint="default" w:ascii="Times New Roman" w:hAnsi="Times New Roman" w:eastAsia="宋体" w:cs="Times New Roman"/>
                <w:sz w:val="21"/>
                <w:szCs w:val="21"/>
                <w:lang w:val="en-US" w:eastAsia="zh-CN"/>
              </w:rPr>
              <w:t>/d，柴油2.74t/d</w:t>
            </w:r>
          </w:p>
        </w:tc>
        <w:tc>
          <w:tcPr>
            <w:tcW w:w="1356"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汽油4t</w:t>
            </w:r>
            <w:r>
              <w:rPr>
                <w:rFonts w:hint="default" w:ascii="Times New Roman" w:hAnsi="Times New Roman" w:eastAsia="宋体" w:cs="Times New Roman"/>
                <w:sz w:val="21"/>
                <w:szCs w:val="21"/>
                <w:lang w:val="en-US" w:eastAsia="zh-CN"/>
              </w:rPr>
              <w:t>/d，柴油2.5t/d</w:t>
            </w:r>
          </w:p>
        </w:tc>
        <w:tc>
          <w:tcPr>
            <w:tcW w:w="945"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w:t>
            </w:r>
            <w:r>
              <w:rPr>
                <w:rFonts w:hint="default" w:ascii="Times New Roman" w:hAnsi="Times New Roman" w:eastAsia="宋体" w:cs="Times New Roman"/>
                <w:sz w:val="21"/>
                <w:szCs w:val="21"/>
                <w:lang w:val="en-US" w:eastAsia="zh-CN"/>
              </w:rPr>
              <w:t>1.3</w:t>
            </w:r>
            <w:r>
              <w:rPr>
                <w:rFonts w:hint="default" w:ascii="Times New Roman" w:hAnsi="Times New Roman" w:eastAsia="宋体" w:cs="Times New Roman"/>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49"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2024.01.03</w:t>
            </w:r>
          </w:p>
        </w:tc>
        <w:tc>
          <w:tcPr>
            <w:tcW w:w="1448"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汽油4.38t</w:t>
            </w:r>
            <w:r>
              <w:rPr>
                <w:rFonts w:hint="default" w:ascii="Times New Roman" w:hAnsi="Times New Roman" w:eastAsia="宋体" w:cs="Times New Roman"/>
                <w:sz w:val="21"/>
                <w:szCs w:val="21"/>
                <w:lang w:val="en-US" w:eastAsia="zh-CN"/>
              </w:rPr>
              <w:t>/d，柴油2.74t/d</w:t>
            </w:r>
          </w:p>
        </w:tc>
        <w:tc>
          <w:tcPr>
            <w:tcW w:w="1356"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汽油4.1t</w:t>
            </w:r>
            <w:r>
              <w:rPr>
                <w:rFonts w:hint="default" w:ascii="Times New Roman" w:hAnsi="Times New Roman" w:eastAsia="宋体" w:cs="Times New Roman"/>
                <w:sz w:val="21"/>
                <w:szCs w:val="21"/>
                <w:lang w:val="en-US" w:eastAsia="zh-CN"/>
              </w:rPr>
              <w:t>/d，柴油2.6t/d</w:t>
            </w:r>
          </w:p>
        </w:tc>
        <w:tc>
          <w:tcPr>
            <w:tcW w:w="945" w:type="pct"/>
            <w:noWrap w:val="0"/>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w:t>
            </w:r>
            <w:r>
              <w:rPr>
                <w:rFonts w:hint="default" w:ascii="Times New Roman" w:hAnsi="Times New Roman" w:eastAsia="宋体" w:cs="Times New Roman"/>
                <w:sz w:val="21"/>
                <w:szCs w:val="21"/>
                <w:lang w:val="en-US" w:eastAsia="zh-CN"/>
              </w:rPr>
              <w:t>3.6</w:t>
            </w:r>
            <w:r>
              <w:rPr>
                <w:rFonts w:hint="default" w:ascii="Times New Roman" w:hAnsi="Times New Roman" w:eastAsia="宋体" w:cs="Times New Roman"/>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49"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2024.01.29</w:t>
            </w:r>
          </w:p>
        </w:tc>
        <w:tc>
          <w:tcPr>
            <w:tcW w:w="1448"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汽油4.38t</w:t>
            </w:r>
            <w:r>
              <w:rPr>
                <w:rFonts w:hint="default" w:ascii="Times New Roman" w:hAnsi="Times New Roman" w:eastAsia="宋体" w:cs="Times New Roman"/>
                <w:sz w:val="21"/>
                <w:szCs w:val="21"/>
                <w:lang w:val="en-US" w:eastAsia="zh-CN"/>
              </w:rPr>
              <w:t>/d，柴油2.74t/d</w:t>
            </w:r>
          </w:p>
        </w:tc>
        <w:tc>
          <w:tcPr>
            <w:tcW w:w="1356"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汽油4t</w:t>
            </w:r>
            <w:r>
              <w:rPr>
                <w:rFonts w:hint="default" w:ascii="Times New Roman" w:hAnsi="Times New Roman" w:eastAsia="宋体" w:cs="Times New Roman"/>
                <w:sz w:val="21"/>
                <w:szCs w:val="21"/>
                <w:lang w:val="en-US" w:eastAsia="zh-CN"/>
              </w:rPr>
              <w:t>/d，柴油2.4t/d</w:t>
            </w:r>
          </w:p>
        </w:tc>
        <w:tc>
          <w:tcPr>
            <w:tcW w:w="945"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49"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2024.01.30</w:t>
            </w:r>
          </w:p>
        </w:tc>
        <w:tc>
          <w:tcPr>
            <w:tcW w:w="1448"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汽油4.38t</w:t>
            </w:r>
            <w:r>
              <w:rPr>
                <w:rFonts w:hint="default" w:ascii="Times New Roman" w:hAnsi="Times New Roman" w:eastAsia="宋体" w:cs="Times New Roman"/>
                <w:sz w:val="21"/>
                <w:szCs w:val="21"/>
                <w:lang w:val="en-US" w:eastAsia="zh-CN"/>
              </w:rPr>
              <w:t>/d，柴油2.74t/d</w:t>
            </w:r>
          </w:p>
        </w:tc>
        <w:tc>
          <w:tcPr>
            <w:tcW w:w="1356" w:type="pct"/>
            <w:noWrap w:val="0"/>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lang w:val="en-US" w:eastAsia="zh-CN"/>
              </w:rPr>
              <w:t>汽油4t</w:t>
            </w:r>
            <w:r>
              <w:rPr>
                <w:rFonts w:hint="default" w:ascii="Times New Roman" w:hAnsi="Times New Roman" w:eastAsia="宋体" w:cs="Times New Roman"/>
                <w:sz w:val="21"/>
                <w:szCs w:val="21"/>
                <w:lang w:val="en-US" w:eastAsia="zh-CN"/>
              </w:rPr>
              <w:t>/d，柴油2.5t/d</w:t>
            </w:r>
          </w:p>
        </w:tc>
        <w:tc>
          <w:tcPr>
            <w:tcW w:w="945" w:type="pct"/>
            <w:noWrap w:val="0"/>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w:t>
            </w:r>
          </w:p>
        </w:tc>
      </w:tr>
    </w:tbl>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64" w:name="_Toc8087"/>
      <w:bookmarkStart w:id="65" w:name="_Toc7868"/>
      <w:r>
        <w:rPr>
          <w:rFonts w:hint="default" w:ascii="Times New Roman" w:hAnsi="Times New Roman" w:eastAsia="宋体" w:cs="Times New Roman"/>
          <w:b/>
          <w:sz w:val="28"/>
          <w:szCs w:val="32"/>
        </w:rPr>
        <w:t>9.2环保设施调试运行效果</w:t>
      </w:r>
      <w:bookmarkEnd w:id="64"/>
      <w:bookmarkEnd w:id="65"/>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9.2.1污染物达标排放监测结果</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9.2.1.1废水</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000000"/>
          <w:kern w:val="2"/>
          <w:sz w:val="24"/>
          <w:szCs w:val="24"/>
          <w:lang w:val="en-US" w:eastAsia="zh-CN" w:bidi="ar-SA"/>
        </w:rPr>
      </w:pPr>
      <w:bookmarkStart w:id="66" w:name="_Hlk74757755"/>
      <w:r>
        <w:rPr>
          <w:rFonts w:hint="default" w:ascii="Times New Roman" w:hAnsi="Times New Roman" w:eastAsia="宋体" w:cs="Times New Roman"/>
          <w:color w:val="000000"/>
          <w:sz w:val="24"/>
          <w:szCs w:val="28"/>
        </w:rPr>
        <w:t>该项目未做水质监测。</w:t>
      </w:r>
      <w:r>
        <w:rPr>
          <w:rFonts w:hint="default" w:ascii="Times New Roman" w:hAnsi="Times New Roman" w:eastAsia="宋体" w:cs="Times New Roman"/>
          <w:color w:val="000000"/>
          <w:sz w:val="24"/>
          <w:szCs w:val="28"/>
          <w:lang w:val="en-US" w:eastAsia="zh-CN"/>
        </w:rPr>
        <w:t>项目无生产用水，生活污水进入化粪池预处理后，由环保部门定期清运，地面冲洗废水经隔油池预处理后，循环使用不外排</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对周围地表水的影响较小。</w:t>
      </w:r>
      <w:bookmarkEnd w:id="66"/>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9.2.1.2废气</w:t>
      </w:r>
    </w:p>
    <w:p>
      <w:pPr>
        <w:pStyle w:val="3"/>
        <w:spacing w:after="0" w:line="360" w:lineRule="auto"/>
        <w:ind w:left="0" w:firstLine="480" w:firstLineChars="200"/>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rPr>
        <w:t>1、</w:t>
      </w:r>
      <w:r>
        <w:rPr>
          <w:rFonts w:hint="default" w:ascii="Times New Roman" w:hAnsi="Times New Roman" w:eastAsia="宋体" w:cs="Times New Roman"/>
          <w:color w:val="000000"/>
          <w:sz w:val="24"/>
          <w:szCs w:val="28"/>
          <w:lang w:val="en-US" w:eastAsia="zh-CN"/>
        </w:rPr>
        <w:t>油气回收处理系统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rPr>
      </w:pPr>
      <w:r>
        <w:rPr>
          <w:rFonts w:hint="default" w:ascii="Times New Roman" w:hAnsi="Times New Roman" w:eastAsia="宋体" w:cs="Times New Roman"/>
          <w:color w:val="000000"/>
          <w:sz w:val="24"/>
          <w:szCs w:val="20"/>
        </w:rPr>
        <w:t>本项目产生的有机废气经</w:t>
      </w:r>
      <w:r>
        <w:rPr>
          <w:rFonts w:hint="default" w:ascii="Times New Roman" w:hAnsi="Times New Roman" w:eastAsia="宋体" w:cs="Times New Roman"/>
          <w:color w:val="000000"/>
          <w:sz w:val="24"/>
          <w:szCs w:val="20"/>
          <w:lang w:val="en-US" w:eastAsia="zh-CN"/>
        </w:rPr>
        <w:t>油气处理装置（三次油气回收处理系统）采用冷凝+吸附工艺处理后由4m高的排气口排放</w:t>
      </w:r>
      <w:r>
        <w:rPr>
          <w:rFonts w:hint="default" w:ascii="Times New Roman" w:hAnsi="Times New Roman" w:eastAsia="宋体" w:cs="Times New Roman"/>
          <w:color w:val="000000"/>
          <w:sz w:val="24"/>
          <w:szCs w:val="20"/>
        </w:rPr>
        <w:t>；</w:t>
      </w:r>
    </w:p>
    <w:p>
      <w:pPr>
        <w:pStyle w:val="32"/>
        <w:spacing w:after="0" w:afterLines="0" w:afterAutospacing="0"/>
        <w:rPr>
          <w:rFonts w:hint="default" w:ascii="Times New Roman" w:hAnsi="Times New Roman" w:eastAsia="宋体" w:cs="Times New Roman"/>
          <w:lang w:val="en-US" w:eastAsia="zh-CN"/>
        </w:rPr>
      </w:pPr>
      <w:r>
        <w:rPr>
          <w:rFonts w:hint="default" w:ascii="Times New Roman" w:hAnsi="Times New Roman" w:eastAsia="宋体" w:cs="Times New Roman"/>
          <w:color w:val="000000"/>
          <w:sz w:val="24"/>
          <w:szCs w:val="28"/>
          <w:lang w:val="en-US" w:eastAsia="zh-CN"/>
        </w:rPr>
        <w:t>1.1油气回收处理装置排放口检测结果见下表</w:t>
      </w:r>
    </w:p>
    <w:p>
      <w:pPr>
        <w:pStyle w:val="3"/>
        <w:keepNext w:val="0"/>
        <w:keepLines w:val="0"/>
        <w:pageBreakBefore w:val="0"/>
        <w:widowControl w:val="0"/>
        <w:kinsoku/>
        <w:wordWrap/>
        <w:overflowPunct/>
        <w:topLinePunct w:val="0"/>
        <w:autoSpaceDE/>
        <w:autoSpaceDN/>
        <w:bidi w:val="0"/>
        <w:adjustRightInd/>
        <w:snapToGrid/>
        <w:spacing w:beforeAutospacing="0"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表9-2  油气回收处理系统排放口检测结果</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941"/>
        <w:gridCol w:w="941"/>
        <w:gridCol w:w="944"/>
        <w:gridCol w:w="941"/>
        <w:gridCol w:w="941"/>
        <w:gridCol w:w="943"/>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exact"/>
          <w:jc w:val="center"/>
        </w:trPr>
        <w:tc>
          <w:tcPr>
            <w:tcW w:w="5000" w:type="pct"/>
            <w:gridSpan w:val="8"/>
            <w:noWrap w:val="0"/>
            <w:vAlign w:val="center"/>
          </w:tcPr>
          <w:p>
            <w:pPr>
              <w:spacing w:line="240" w:lineRule="auto"/>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b/>
                <w:bCs w:val="0"/>
                <w:color w:val="auto"/>
                <w:sz w:val="21"/>
                <w:szCs w:val="21"/>
                <w:lang w:val="en-US" w:eastAsia="zh-CN"/>
              </w:rPr>
              <w:t>油气回收处理装置排放口</w:t>
            </w:r>
            <w:r>
              <w:rPr>
                <w:rFonts w:hint="default" w:ascii="Times New Roman" w:hAnsi="Times New Roman" w:eastAsia="宋体" w:cs="Times New Roman"/>
                <w:b/>
                <w:bCs w:val="0"/>
                <w:color w:val="auto"/>
                <w:sz w:val="21"/>
                <w:szCs w:val="21"/>
                <w:lang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exact"/>
          <w:jc w:val="center"/>
        </w:trPr>
        <w:tc>
          <w:tcPr>
            <w:tcW w:w="1022" w:type="pct"/>
            <w:noWrap w:val="0"/>
            <w:vAlign w:val="center"/>
          </w:tcPr>
          <w:p>
            <w:pPr>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检测点位</w:t>
            </w:r>
          </w:p>
        </w:tc>
        <w:tc>
          <w:tcPr>
            <w:tcW w:w="3977" w:type="pct"/>
            <w:gridSpan w:val="7"/>
            <w:noWrap w:val="0"/>
            <w:vAlign w:val="center"/>
          </w:tcPr>
          <w:p>
            <w:pPr>
              <w:spacing w:line="240" w:lineRule="exact"/>
              <w:jc w:val="center"/>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caps w:val="0"/>
                <w:smallCaps w:val="0"/>
                <w:snapToGrid w:val="0"/>
                <w:color w:val="auto"/>
                <w:spacing w:val="0"/>
                <w:kern w:val="0"/>
                <w:sz w:val="21"/>
                <w:szCs w:val="21"/>
                <w:lang w:val="en-US" w:eastAsia="zh-CN" w:bidi="ar-SA"/>
              </w:rPr>
              <w:t>油气回收处理装置排放口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exact"/>
          <w:jc w:val="center"/>
        </w:trPr>
        <w:tc>
          <w:tcPr>
            <w:tcW w:w="1022" w:type="pct"/>
            <w:noWrap w:val="0"/>
            <w:vAlign w:val="center"/>
          </w:tcPr>
          <w:p>
            <w:pPr>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分析日期</w:t>
            </w:r>
          </w:p>
        </w:tc>
        <w:tc>
          <w:tcPr>
            <w:tcW w:w="1658" w:type="pct"/>
            <w:gridSpan w:val="3"/>
            <w:noWrap w:val="0"/>
            <w:vAlign w:val="center"/>
          </w:tcPr>
          <w:p>
            <w:pPr>
              <w:spacing w:line="240" w:lineRule="exact"/>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rPr>
              <w:t>2024.01.02</w:t>
            </w:r>
          </w:p>
        </w:tc>
        <w:tc>
          <w:tcPr>
            <w:tcW w:w="2319" w:type="pct"/>
            <w:gridSpan w:val="4"/>
            <w:noWrap w:val="0"/>
            <w:vAlign w:val="center"/>
          </w:tcPr>
          <w:p>
            <w:pPr>
              <w:spacing w:line="240" w:lineRule="exact"/>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2024.01.03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exact"/>
          <w:jc w:val="center"/>
        </w:trPr>
        <w:tc>
          <w:tcPr>
            <w:tcW w:w="1022" w:type="pct"/>
            <w:noWrap w:val="0"/>
            <w:vAlign w:val="center"/>
          </w:tcPr>
          <w:p>
            <w:pPr>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检测频次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552" w:type="pc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662" w:type="pct"/>
            <w:noWrap w:val="0"/>
            <w:vAlign w:val="center"/>
          </w:tcPr>
          <w:p>
            <w:pPr>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3" w:hRule="exact"/>
          <w:jc w:val="center"/>
        </w:trPr>
        <w:tc>
          <w:tcPr>
            <w:tcW w:w="1022" w:type="pct"/>
            <w:noWrap w:val="0"/>
            <w:vAlign w:val="center"/>
          </w:tcPr>
          <w:p>
            <w:pPr>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油气浓度</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lang w:eastAsia="zh-CN"/>
              </w:rPr>
              <w:t>）</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5.23</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5.51</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5.43</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5.09</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5.45</w:t>
            </w:r>
          </w:p>
        </w:tc>
        <w:tc>
          <w:tcPr>
            <w:tcW w:w="55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5.24</w:t>
            </w:r>
          </w:p>
        </w:tc>
        <w:tc>
          <w:tcPr>
            <w:tcW w:w="662"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3" w:hRule="exact"/>
          <w:jc w:val="center"/>
        </w:trPr>
        <w:tc>
          <w:tcPr>
            <w:tcW w:w="1022" w:type="pct"/>
            <w:noWrap w:val="0"/>
            <w:vAlign w:val="center"/>
          </w:tcPr>
          <w:p>
            <w:pPr>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标准限值</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lang w:eastAsia="zh-CN"/>
              </w:rPr>
              <w:t>）</w:t>
            </w:r>
          </w:p>
        </w:tc>
        <w:tc>
          <w:tcPr>
            <w:tcW w:w="3315" w:type="pct"/>
            <w:gridSpan w:val="6"/>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c>
          <w:tcPr>
            <w:tcW w:w="662" w:type="pct"/>
            <w:noWrap w:val="0"/>
            <w:vAlign w:val="center"/>
          </w:tcPr>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3" w:hRule="exact"/>
          <w:jc w:val="center"/>
        </w:trPr>
        <w:tc>
          <w:tcPr>
            <w:tcW w:w="1022" w:type="pct"/>
            <w:noWrap w:val="0"/>
            <w:vAlign w:val="center"/>
          </w:tcPr>
          <w:p>
            <w:pPr>
              <w:keepNext w:val="0"/>
              <w:keepLines w:val="0"/>
              <w:pageBreakBefore w:val="0"/>
              <w:widowControl w:val="0"/>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备注</w:t>
            </w:r>
          </w:p>
        </w:tc>
        <w:tc>
          <w:tcPr>
            <w:tcW w:w="3977" w:type="pct"/>
            <w:gridSpan w:val="7"/>
            <w:noWrap w:val="0"/>
            <w:vAlign w:val="center"/>
          </w:tcPr>
          <w:p>
            <w:pPr>
              <w:spacing w:line="240" w:lineRule="auto"/>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lang w:val="en-US" w:eastAsia="zh-CN"/>
              </w:rPr>
              <w:t>油气排放浓度符合</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加油站大气污染物排放标准</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GB 20952-2020</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 xml:space="preserve"> 5.4 </w:t>
            </w:r>
            <w:r>
              <w:rPr>
                <w:rFonts w:hint="default" w:ascii="Times New Roman" w:hAnsi="Times New Roman" w:eastAsia="宋体" w:cs="Times New Roman"/>
                <w:b w:val="0"/>
                <w:bCs w:val="0"/>
                <w:color w:val="auto"/>
                <w:sz w:val="21"/>
                <w:szCs w:val="21"/>
                <w:lang w:eastAsia="zh-CN"/>
              </w:rPr>
              <w:t>的</w:t>
            </w:r>
          </w:p>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要求。</w:t>
            </w:r>
          </w:p>
        </w:tc>
      </w:tr>
    </w:tbl>
    <w:p>
      <w:pPr>
        <w:pStyle w:val="32"/>
        <w:spacing w:after="0" w:afterLines="0" w:afterAutospacing="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1.2油气回收处理系统密闭性检测结果见下表</w:t>
      </w:r>
    </w:p>
    <w:p>
      <w:pPr>
        <w:pStyle w:val="3"/>
        <w:keepNext w:val="0"/>
        <w:keepLines w:val="0"/>
        <w:pageBreakBefore w:val="0"/>
        <w:widowControl w:val="0"/>
        <w:kinsoku/>
        <w:wordWrap/>
        <w:overflowPunct/>
        <w:topLinePunct w:val="0"/>
        <w:autoSpaceDE/>
        <w:autoSpaceDN/>
        <w:bidi w:val="0"/>
        <w:adjustRightInd/>
        <w:snapToGrid/>
        <w:spacing w:beforeAutospacing="0"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表9-3  油气回收处理系统密闭性检测结果</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5"/>
        <w:gridCol w:w="1704"/>
        <w:gridCol w:w="1704"/>
        <w:gridCol w:w="1357"/>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000" w:type="pct"/>
            <w:gridSpan w:val="5"/>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
                <w:bCs w:val="0"/>
                <w:color w:val="000000"/>
                <w:sz w:val="21"/>
                <w:szCs w:val="21"/>
                <w:highlight w:val="none"/>
              </w:rPr>
              <w:t>密闭性检测结果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加油站</w:t>
            </w:r>
            <w:r>
              <w:rPr>
                <w:rFonts w:hint="default" w:ascii="Times New Roman" w:hAnsi="Times New Roman" w:eastAsia="宋体" w:cs="Times New Roman"/>
                <w:bCs/>
                <w:color w:val="000000"/>
                <w:sz w:val="21"/>
                <w:szCs w:val="21"/>
                <w:lang w:eastAsia="zh-CN"/>
              </w:rPr>
              <w:t>油气回收处理系统</w:t>
            </w:r>
            <w:r>
              <w:rPr>
                <w:rFonts w:hint="default" w:ascii="Times New Roman" w:hAnsi="Times New Roman" w:eastAsia="宋体" w:cs="Times New Roman"/>
                <w:bCs/>
                <w:color w:val="000000"/>
                <w:sz w:val="21"/>
                <w:szCs w:val="21"/>
              </w:rPr>
              <w:t>设备参数</w:t>
            </w:r>
          </w:p>
        </w:tc>
        <w:tc>
          <w:tcPr>
            <w:tcW w:w="2000" w:type="pct"/>
            <w:gridSpan w:val="2"/>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各油罐</w:t>
            </w:r>
            <w:r>
              <w:rPr>
                <w:rFonts w:hint="default" w:ascii="Times New Roman" w:hAnsi="Times New Roman" w:eastAsia="宋体" w:cs="Times New Roman"/>
                <w:bCs/>
                <w:color w:val="000000"/>
                <w:sz w:val="21"/>
                <w:szCs w:val="21"/>
                <w:lang w:val="en-US" w:eastAsia="zh-CN"/>
              </w:rPr>
              <w:t>的</w:t>
            </w:r>
            <w:r>
              <w:rPr>
                <w:rFonts w:hint="default" w:ascii="Times New Roman" w:hAnsi="Times New Roman" w:eastAsia="宋体" w:cs="Times New Roman"/>
                <w:bCs/>
                <w:color w:val="000000"/>
                <w:sz w:val="21"/>
                <w:szCs w:val="21"/>
              </w:rPr>
              <w:t>油气管线是否连通</w:t>
            </w:r>
          </w:p>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是</w:t>
            </w:r>
            <w:r>
              <w:rPr>
                <w:rFonts w:hint="default" w:ascii="Times New Roman" w:hAnsi="Times New Roman" w:eastAsia="宋体" w:cs="Times New Roman"/>
                <w:bCs/>
                <w:color w:val="000000"/>
                <w:sz w:val="21"/>
                <w:szCs w:val="21"/>
              </w:rPr>
              <w:sym w:font="Wingdings" w:char="00FE"/>
            </w:r>
            <w:r>
              <w:rPr>
                <w:rFonts w:hint="default" w:ascii="Times New Roman" w:hAnsi="Times New Roman" w:eastAsia="宋体" w:cs="Times New Roman"/>
                <w:bCs/>
                <w:color w:val="000000"/>
                <w:sz w:val="21"/>
                <w:szCs w:val="21"/>
              </w:rPr>
              <w:t>否</w:t>
            </w:r>
            <w:r>
              <w:rPr>
                <w:rFonts w:hint="default" w:ascii="Times New Roman" w:hAnsi="Times New Roman" w:eastAsia="宋体" w:cs="Times New Roman"/>
                <w:bCs/>
                <w:color w:val="000000"/>
                <w:sz w:val="21"/>
                <w:szCs w:val="21"/>
              </w:rPr>
              <w:sym w:font="Wingdings" w:char="00A8"/>
            </w:r>
          </w:p>
        </w:tc>
        <w:tc>
          <w:tcPr>
            <w:tcW w:w="1593" w:type="pct"/>
            <w:gridSpan w:val="2"/>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是否有</w:t>
            </w:r>
            <w:r>
              <w:rPr>
                <w:rFonts w:hint="default" w:ascii="Times New Roman" w:hAnsi="Times New Roman" w:eastAsia="宋体" w:cs="Times New Roman"/>
                <w:bCs/>
                <w:color w:val="000000"/>
                <w:sz w:val="21"/>
                <w:szCs w:val="21"/>
                <w:lang w:val="en-US" w:eastAsia="zh-CN"/>
              </w:rPr>
              <w:t>油气</w:t>
            </w:r>
            <w:r>
              <w:rPr>
                <w:rFonts w:hint="default" w:ascii="Times New Roman" w:hAnsi="Times New Roman" w:eastAsia="宋体" w:cs="Times New Roman"/>
                <w:bCs/>
                <w:color w:val="000000"/>
                <w:sz w:val="21"/>
                <w:szCs w:val="21"/>
              </w:rPr>
              <w:t>处理装置</w:t>
            </w:r>
          </w:p>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是</w:t>
            </w:r>
            <w:r>
              <w:rPr>
                <w:rFonts w:hint="default" w:ascii="Times New Roman" w:hAnsi="Times New Roman" w:eastAsia="宋体" w:cs="Times New Roman"/>
                <w:bCs/>
                <w:color w:val="000000"/>
                <w:sz w:val="21"/>
                <w:szCs w:val="21"/>
              </w:rPr>
              <w:sym w:font="Wingdings" w:char="00FE"/>
            </w:r>
            <w:r>
              <w:rPr>
                <w:rFonts w:hint="default" w:ascii="Times New Roman" w:hAnsi="Times New Roman" w:eastAsia="宋体" w:cs="Times New Roman"/>
                <w:bCs/>
                <w:color w:val="000000"/>
                <w:sz w:val="21"/>
                <w:szCs w:val="21"/>
              </w:rPr>
              <w:t>否</w:t>
            </w:r>
            <w:r>
              <w:rPr>
                <w:rFonts w:hint="default" w:ascii="Times New Roman" w:hAnsi="Times New Roman" w:eastAsia="宋体" w:cs="Times New Roman"/>
                <w:bCs/>
                <w:color w:val="000000"/>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采样日期</w:t>
            </w:r>
          </w:p>
        </w:tc>
        <w:tc>
          <w:tcPr>
            <w:tcW w:w="2000" w:type="pct"/>
            <w:gridSpan w:val="2"/>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2024.01.02</w:t>
            </w:r>
          </w:p>
        </w:tc>
        <w:tc>
          <w:tcPr>
            <w:tcW w:w="1593" w:type="pct"/>
            <w:gridSpan w:val="2"/>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2024.01.03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油罐编号</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1#</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w:t>
            </w:r>
          </w:p>
        </w:tc>
        <w:tc>
          <w:tcPr>
            <w:tcW w:w="796" w:type="pct"/>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1#</w:t>
            </w:r>
          </w:p>
        </w:tc>
        <w:tc>
          <w:tcPr>
            <w:tcW w:w="796" w:type="pct"/>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color w:val="000000"/>
                <w:sz w:val="21"/>
                <w:szCs w:val="21"/>
                <w:highlight w:val="none"/>
              </w:rPr>
              <w:t>汽油标号</w:t>
            </w:r>
          </w:p>
        </w:tc>
        <w:tc>
          <w:tcPr>
            <w:tcW w:w="1000" w:type="pct"/>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92#</w:t>
            </w:r>
          </w:p>
        </w:tc>
        <w:tc>
          <w:tcPr>
            <w:tcW w:w="1000" w:type="pct"/>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95#</w:t>
            </w:r>
          </w:p>
        </w:tc>
        <w:tc>
          <w:tcPr>
            <w:tcW w:w="796"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92#</w:t>
            </w:r>
          </w:p>
        </w:tc>
        <w:tc>
          <w:tcPr>
            <w:tcW w:w="796"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 w:val="0"/>
                <w:bCs w:val="0"/>
                <w:color w:val="000000"/>
                <w:sz w:val="21"/>
                <w:szCs w:val="21"/>
                <w:vertAlign w:val="baseline"/>
                <w:lang w:eastAsia="zh-CN"/>
              </w:rPr>
              <w:t>油罐服务</w:t>
            </w:r>
            <w:r>
              <w:rPr>
                <w:rFonts w:hint="default" w:ascii="Times New Roman" w:hAnsi="Times New Roman" w:eastAsia="宋体" w:cs="Times New Roman"/>
                <w:b w:val="0"/>
                <w:bCs w:val="0"/>
                <w:color w:val="000000"/>
                <w:sz w:val="21"/>
                <w:szCs w:val="21"/>
                <w:highlight w:val="none"/>
                <w:vertAlign w:val="baseline"/>
                <w:lang w:eastAsia="zh-CN"/>
              </w:rPr>
              <w:t>加油枪数（支）</w:t>
            </w:r>
          </w:p>
        </w:tc>
        <w:tc>
          <w:tcPr>
            <w:tcW w:w="2000" w:type="pct"/>
            <w:gridSpan w:val="2"/>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highlight w:val="none"/>
                <w:lang w:val="en-US" w:eastAsia="zh-CN"/>
              </w:rPr>
              <w:t>4</w:t>
            </w:r>
          </w:p>
        </w:tc>
        <w:tc>
          <w:tcPr>
            <w:tcW w:w="1593"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油罐</w:t>
            </w:r>
            <w:r>
              <w:rPr>
                <w:rFonts w:hint="default" w:ascii="Times New Roman" w:hAnsi="Times New Roman" w:eastAsia="宋体" w:cs="Times New Roman"/>
                <w:bCs/>
                <w:color w:val="000000"/>
                <w:sz w:val="21"/>
                <w:szCs w:val="21"/>
                <w:lang w:val="en-US" w:eastAsia="zh-CN"/>
              </w:rPr>
              <w:t>总</w:t>
            </w:r>
            <w:r>
              <w:rPr>
                <w:rFonts w:hint="default" w:ascii="Times New Roman" w:hAnsi="Times New Roman" w:eastAsia="宋体" w:cs="Times New Roman"/>
                <w:bCs/>
                <w:color w:val="000000"/>
                <w:sz w:val="21"/>
                <w:szCs w:val="21"/>
              </w:rPr>
              <w:t>容积（L）</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30000</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30000</w:t>
            </w:r>
          </w:p>
        </w:tc>
        <w:tc>
          <w:tcPr>
            <w:tcW w:w="796"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30000</w:t>
            </w:r>
          </w:p>
        </w:tc>
        <w:tc>
          <w:tcPr>
            <w:tcW w:w="796"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汽油</w:t>
            </w:r>
            <w:r>
              <w:rPr>
                <w:rFonts w:hint="default" w:ascii="Times New Roman" w:hAnsi="Times New Roman" w:eastAsia="宋体" w:cs="Times New Roman"/>
                <w:bCs/>
                <w:color w:val="000000"/>
                <w:sz w:val="21"/>
                <w:szCs w:val="21"/>
                <w:lang w:val="en-US" w:eastAsia="zh-CN"/>
              </w:rPr>
              <w:t>实际</w:t>
            </w:r>
            <w:r>
              <w:rPr>
                <w:rFonts w:hint="default" w:ascii="Times New Roman" w:hAnsi="Times New Roman" w:eastAsia="宋体" w:cs="Times New Roman"/>
                <w:bCs/>
                <w:color w:val="000000"/>
                <w:sz w:val="21"/>
                <w:szCs w:val="21"/>
              </w:rPr>
              <w:t>体积（L）</w:t>
            </w:r>
          </w:p>
        </w:tc>
        <w:tc>
          <w:tcPr>
            <w:tcW w:w="1000" w:type="pct"/>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24000</w:t>
            </w:r>
          </w:p>
        </w:tc>
        <w:tc>
          <w:tcPr>
            <w:tcW w:w="1000" w:type="pct"/>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24000</w:t>
            </w:r>
          </w:p>
        </w:tc>
        <w:tc>
          <w:tcPr>
            <w:tcW w:w="796" w:type="pct"/>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24000</w:t>
            </w:r>
          </w:p>
        </w:tc>
        <w:tc>
          <w:tcPr>
            <w:tcW w:w="796" w:type="pct"/>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油气实际体积（L）</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6000</w:t>
            </w:r>
          </w:p>
        </w:tc>
        <w:tc>
          <w:tcPr>
            <w:tcW w:w="1000"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6000</w:t>
            </w:r>
          </w:p>
        </w:tc>
        <w:tc>
          <w:tcPr>
            <w:tcW w:w="796"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6000</w:t>
            </w:r>
          </w:p>
        </w:tc>
        <w:tc>
          <w:tcPr>
            <w:tcW w:w="796" w:type="pct"/>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油气实际总体积（L）</w:t>
            </w:r>
          </w:p>
        </w:tc>
        <w:tc>
          <w:tcPr>
            <w:tcW w:w="2000" w:type="pct"/>
            <w:gridSpan w:val="2"/>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12000</w:t>
            </w:r>
          </w:p>
        </w:tc>
        <w:tc>
          <w:tcPr>
            <w:tcW w:w="1593" w:type="pct"/>
            <w:gridSpan w:val="2"/>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pStyle w:val="31"/>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检测初始压力（Pa）</w:t>
            </w:r>
          </w:p>
        </w:tc>
        <w:tc>
          <w:tcPr>
            <w:tcW w:w="3594" w:type="pct"/>
            <w:gridSpan w:val="4"/>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1分钟后压力值（Pa）</w:t>
            </w:r>
          </w:p>
        </w:tc>
        <w:tc>
          <w:tcPr>
            <w:tcW w:w="2000"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491</w:t>
            </w:r>
          </w:p>
        </w:tc>
        <w:tc>
          <w:tcPr>
            <w:tcW w:w="1593"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2分钟后压力值（Pa）</w:t>
            </w:r>
          </w:p>
        </w:tc>
        <w:tc>
          <w:tcPr>
            <w:tcW w:w="2000"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483</w:t>
            </w:r>
          </w:p>
        </w:tc>
        <w:tc>
          <w:tcPr>
            <w:tcW w:w="1593"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3分钟后压力值（Pa）</w:t>
            </w:r>
          </w:p>
        </w:tc>
        <w:tc>
          <w:tcPr>
            <w:tcW w:w="2000"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476</w:t>
            </w:r>
          </w:p>
        </w:tc>
        <w:tc>
          <w:tcPr>
            <w:tcW w:w="1593"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4分钟后压力值（Pa）</w:t>
            </w:r>
          </w:p>
        </w:tc>
        <w:tc>
          <w:tcPr>
            <w:tcW w:w="2000"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470</w:t>
            </w:r>
          </w:p>
        </w:tc>
        <w:tc>
          <w:tcPr>
            <w:tcW w:w="1593" w:type="pct"/>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pStyle w:val="31"/>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5分钟后压力值（Pa）</w:t>
            </w:r>
          </w:p>
        </w:tc>
        <w:tc>
          <w:tcPr>
            <w:tcW w:w="2000" w:type="pct"/>
            <w:gridSpan w:val="2"/>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464</w:t>
            </w:r>
          </w:p>
        </w:tc>
        <w:tc>
          <w:tcPr>
            <w:tcW w:w="1593" w:type="pct"/>
            <w:gridSpan w:val="2"/>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pStyle w:val="31"/>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最小剩余压力限值（Pa）</w:t>
            </w:r>
          </w:p>
        </w:tc>
        <w:tc>
          <w:tcPr>
            <w:tcW w:w="2000" w:type="pct"/>
            <w:gridSpan w:val="2"/>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424</w:t>
            </w:r>
          </w:p>
        </w:tc>
        <w:tc>
          <w:tcPr>
            <w:tcW w:w="1593" w:type="pct"/>
            <w:gridSpan w:val="2"/>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405" w:type="pct"/>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是否达标</w:t>
            </w:r>
          </w:p>
        </w:tc>
        <w:tc>
          <w:tcPr>
            <w:tcW w:w="3594" w:type="pct"/>
            <w:gridSpan w:val="4"/>
            <w:noWrap w:val="0"/>
            <w:vAlign w:val="center"/>
          </w:tcPr>
          <w:p>
            <w:pPr>
              <w:pStyle w:val="31"/>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405"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val="0"/>
                <w:bCs w:val="0"/>
                <w:color w:val="auto"/>
                <w:sz w:val="21"/>
                <w:szCs w:val="21"/>
                <w:vertAlign w:val="baseline"/>
                <w:lang w:eastAsia="zh-CN"/>
              </w:rPr>
              <w:t>备注</w:t>
            </w:r>
          </w:p>
        </w:tc>
        <w:tc>
          <w:tcPr>
            <w:tcW w:w="3594" w:type="pct"/>
            <w:gridSpan w:val="4"/>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val="0"/>
                <w:bCs w:val="0"/>
                <w:color w:val="auto"/>
                <w:sz w:val="21"/>
                <w:szCs w:val="21"/>
                <w:lang w:eastAsia="zh-CN"/>
              </w:rPr>
              <w:t>密闭性检测符合《</w:t>
            </w:r>
            <w:r>
              <w:rPr>
                <w:rFonts w:hint="default" w:ascii="Times New Roman" w:hAnsi="Times New Roman" w:eastAsia="宋体" w:cs="Times New Roman"/>
                <w:b w:val="0"/>
                <w:bCs w:val="0"/>
                <w:color w:val="auto"/>
                <w:sz w:val="21"/>
                <w:szCs w:val="21"/>
                <w:lang w:val="en-US" w:eastAsia="zh-CN"/>
              </w:rPr>
              <w:t>加油站大气污染物排放标准</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GB 20952-2020</w:t>
            </w:r>
            <w:r>
              <w:rPr>
                <w:rFonts w:hint="default" w:ascii="Times New Roman" w:hAnsi="Times New Roman" w:eastAsia="宋体" w:cs="Times New Roman"/>
                <w:b w:val="0"/>
                <w:bCs w:val="0"/>
                <w:color w:val="auto"/>
                <w:sz w:val="21"/>
                <w:szCs w:val="21"/>
                <w:lang w:eastAsia="zh-CN"/>
              </w:rPr>
              <w:t>）的要求。</w:t>
            </w:r>
          </w:p>
        </w:tc>
      </w:tr>
    </w:tbl>
    <w:p>
      <w:pPr>
        <w:pStyle w:val="3"/>
        <w:keepNext w:val="0"/>
        <w:keepLines w:val="0"/>
        <w:pageBreakBefore w:val="0"/>
        <w:widowControl w:val="0"/>
        <w:kinsoku/>
        <w:wordWrap/>
        <w:overflowPunct/>
        <w:topLinePunct w:val="0"/>
        <w:autoSpaceDE/>
        <w:autoSpaceDN/>
        <w:bidi w:val="0"/>
        <w:adjustRightInd/>
        <w:snapToGrid/>
        <w:spacing w:after="0" w:line="240" w:lineRule="auto"/>
        <w:ind w:left="0" w:firstLine="480" w:firstLineChars="200"/>
        <w:jc w:val="left"/>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1.3油气回收处理装置液阻压力检测结果见下表</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表9-4  油气回收处理系统液阻压力检测结果</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1151"/>
        <w:gridCol w:w="1087"/>
        <w:gridCol w:w="1087"/>
        <w:gridCol w:w="1087"/>
        <w:gridCol w:w="1087"/>
        <w:gridCol w:w="1087"/>
        <w:gridCol w:w="1087"/>
        <w:gridCol w:w="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000" w:type="pct"/>
            <w:gridSpan w:val="9"/>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highlight w:val="none"/>
              </w:rPr>
              <w:t>液阻压力检测结果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49" w:type="pct"/>
            <w:vMerge w:val="restar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加油机</w:t>
            </w:r>
          </w:p>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642" w:type="pct"/>
            <w:vMerge w:val="restar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加油机型号</w:t>
            </w:r>
          </w:p>
        </w:tc>
        <w:tc>
          <w:tcPr>
            <w:tcW w:w="3858" w:type="pct"/>
            <w:gridSpan w:val="6"/>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液阻压力（Pa）</w:t>
            </w:r>
          </w:p>
        </w:tc>
        <w:tc>
          <w:tcPr>
            <w:tcW w:w="249" w:type="pct"/>
            <w:vMerge w:val="restar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49" w:type="pct"/>
            <w:vMerge w:val="continue"/>
            <w:noWrap w:val="0"/>
            <w:vAlign w:val="center"/>
          </w:tcPr>
          <w:p>
            <w:pPr>
              <w:pStyle w:val="31"/>
              <w:jc w:val="center"/>
              <w:rPr>
                <w:rFonts w:hint="default" w:ascii="Times New Roman" w:hAnsi="Times New Roman" w:eastAsia="宋体" w:cs="Times New Roman"/>
                <w:color w:val="auto"/>
                <w:sz w:val="21"/>
                <w:szCs w:val="21"/>
              </w:rPr>
            </w:pPr>
          </w:p>
        </w:tc>
        <w:tc>
          <w:tcPr>
            <w:tcW w:w="642" w:type="pct"/>
            <w:vMerge w:val="continue"/>
            <w:noWrap w:val="0"/>
            <w:vAlign w:val="center"/>
          </w:tcPr>
          <w:p>
            <w:pPr>
              <w:pStyle w:val="31"/>
              <w:jc w:val="center"/>
              <w:rPr>
                <w:rFonts w:hint="default" w:ascii="Times New Roman" w:hAnsi="Times New Roman" w:eastAsia="宋体" w:cs="Times New Roman"/>
                <w:color w:val="auto"/>
                <w:sz w:val="21"/>
                <w:szCs w:val="21"/>
              </w:rPr>
            </w:pPr>
          </w:p>
        </w:tc>
        <w:tc>
          <w:tcPr>
            <w:tcW w:w="1929" w:type="pct"/>
            <w:gridSpan w:val="3"/>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000000"/>
                <w:sz w:val="21"/>
                <w:szCs w:val="21"/>
                <w:lang w:val="en-US" w:eastAsia="zh-CN"/>
              </w:rPr>
              <w:t>2024.01.02</w:t>
            </w:r>
          </w:p>
        </w:tc>
        <w:tc>
          <w:tcPr>
            <w:tcW w:w="1929" w:type="pct"/>
            <w:gridSpan w:val="3"/>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000000"/>
                <w:sz w:val="21"/>
                <w:szCs w:val="21"/>
                <w:lang w:val="en-US" w:eastAsia="zh-CN"/>
              </w:rPr>
              <w:t>2024.01.03</w:t>
            </w:r>
          </w:p>
        </w:tc>
        <w:tc>
          <w:tcPr>
            <w:tcW w:w="249" w:type="pct"/>
            <w:vMerge w:val="continue"/>
            <w:noWrap w:val="0"/>
            <w:vAlign w:val="center"/>
          </w:tcPr>
          <w:p>
            <w:pPr>
              <w:pStyle w:val="31"/>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49" w:type="pct"/>
            <w:vMerge w:val="continue"/>
            <w:noWrap w:val="0"/>
            <w:vAlign w:val="center"/>
          </w:tcPr>
          <w:p>
            <w:pPr>
              <w:pStyle w:val="31"/>
              <w:jc w:val="center"/>
              <w:rPr>
                <w:rFonts w:hint="default" w:ascii="Times New Roman" w:hAnsi="Times New Roman" w:eastAsia="宋体" w:cs="Times New Roman"/>
                <w:color w:val="auto"/>
                <w:sz w:val="21"/>
                <w:szCs w:val="21"/>
              </w:rPr>
            </w:pPr>
          </w:p>
        </w:tc>
        <w:tc>
          <w:tcPr>
            <w:tcW w:w="642" w:type="pct"/>
            <w:vMerge w:val="continue"/>
            <w:noWrap w:val="0"/>
            <w:vAlign w:val="center"/>
          </w:tcPr>
          <w:p>
            <w:pPr>
              <w:pStyle w:val="31"/>
              <w:jc w:val="center"/>
              <w:rPr>
                <w:rFonts w:hint="default" w:ascii="Times New Roman" w:hAnsi="Times New Roman" w:eastAsia="宋体" w:cs="Times New Roman"/>
                <w:color w:val="auto"/>
                <w:sz w:val="21"/>
                <w:szCs w:val="21"/>
              </w:rPr>
            </w:pP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18.0L/min</w:t>
            </w: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28.0L/min</w:t>
            </w: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38.0L/min</w:t>
            </w: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18.0L/min</w:t>
            </w: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28.0L/min</w:t>
            </w:r>
          </w:p>
        </w:tc>
        <w:tc>
          <w:tcPr>
            <w:tcW w:w="643" w:type="pct"/>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38.0L/min</w:t>
            </w:r>
          </w:p>
        </w:tc>
        <w:tc>
          <w:tcPr>
            <w:tcW w:w="249" w:type="pct"/>
            <w:vMerge w:val="continue"/>
            <w:noWrap w:val="0"/>
            <w:vAlign w:val="center"/>
          </w:tcPr>
          <w:p>
            <w:pPr>
              <w:pStyle w:val="31"/>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1" w:type="pct"/>
            <w:gridSpan w:val="2"/>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液阻最大压力</w:t>
            </w:r>
            <w:r>
              <w:rPr>
                <w:rFonts w:hint="default" w:ascii="Times New Roman" w:hAnsi="Times New Roman" w:eastAsia="宋体" w:cs="Times New Roman"/>
                <w:color w:val="auto"/>
                <w:sz w:val="21"/>
                <w:szCs w:val="21"/>
                <w:lang w:val="en-US" w:eastAsia="zh-CN"/>
              </w:rPr>
              <w:t>限值</w:t>
            </w:r>
            <w:r>
              <w:rPr>
                <w:rFonts w:hint="default" w:ascii="Times New Roman" w:hAnsi="Times New Roman" w:eastAsia="宋体" w:cs="Times New Roman"/>
                <w:color w:val="auto"/>
                <w:sz w:val="21"/>
                <w:szCs w:val="21"/>
              </w:rPr>
              <w:t>（Pa）</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155</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155</w:t>
            </w:r>
          </w:p>
        </w:tc>
        <w:tc>
          <w:tcPr>
            <w:tcW w:w="249" w:type="pct"/>
            <w:vMerge w:val="continue"/>
            <w:noWrap w:val="0"/>
            <w:vAlign w:val="center"/>
          </w:tcPr>
          <w:p>
            <w:pPr>
              <w:pStyle w:val="31"/>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49" w:type="pct"/>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kern w:val="2"/>
                <w:sz w:val="21"/>
                <w:szCs w:val="21"/>
                <w:lang w:val="en-US" w:eastAsia="zh-CN" w:bidi="ar-SA"/>
              </w:rPr>
              <w:t>3#</w:t>
            </w:r>
          </w:p>
        </w:tc>
        <w:tc>
          <w:tcPr>
            <w:tcW w:w="642"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bCs/>
                <w:color w:val="000000"/>
                <w:kern w:val="2"/>
                <w:sz w:val="21"/>
                <w:szCs w:val="21"/>
                <w:lang w:val="en-US" w:eastAsia="zh-CN" w:bidi="ar-SA"/>
              </w:rPr>
              <w:t>52QF222K</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8</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15</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52</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11</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15</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21</w:t>
            </w:r>
          </w:p>
        </w:tc>
        <w:tc>
          <w:tcPr>
            <w:tcW w:w="249" w:type="pct"/>
            <w:vMerge w:val="continue"/>
            <w:noWrap w:val="0"/>
            <w:vAlign w:val="center"/>
          </w:tcPr>
          <w:p>
            <w:pPr>
              <w:pStyle w:val="31"/>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249" w:type="pct"/>
            <w:noWrap w:val="0"/>
            <w:vAlign w:val="center"/>
          </w:tcPr>
          <w:p>
            <w:pPr>
              <w:pStyle w:val="31"/>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kern w:val="2"/>
                <w:sz w:val="21"/>
                <w:szCs w:val="21"/>
                <w:lang w:val="en-US" w:eastAsia="zh-CN" w:bidi="ar-SA"/>
              </w:rPr>
              <w:t>4#</w:t>
            </w:r>
          </w:p>
        </w:tc>
        <w:tc>
          <w:tcPr>
            <w:tcW w:w="642" w:type="pct"/>
            <w:vMerge w:val="continue"/>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8</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15</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10</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15</w:t>
            </w:r>
          </w:p>
        </w:tc>
        <w:tc>
          <w:tcPr>
            <w:tcW w:w="643" w:type="pct"/>
            <w:noWrap w:val="0"/>
            <w:vAlign w:val="center"/>
          </w:tcPr>
          <w:p>
            <w:pPr>
              <w:pStyle w:val="31"/>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w:t>
            </w:r>
          </w:p>
        </w:tc>
        <w:tc>
          <w:tcPr>
            <w:tcW w:w="249" w:type="pct"/>
            <w:vMerge w:val="continue"/>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49"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vertAlign w:val="baseline"/>
                <w:lang w:eastAsia="zh-CN"/>
              </w:rPr>
              <w:t>备注</w:t>
            </w:r>
          </w:p>
        </w:tc>
        <w:tc>
          <w:tcPr>
            <w:tcW w:w="4750" w:type="pct"/>
            <w:gridSpan w:val="8"/>
            <w:noWrap w:val="0"/>
            <w:vAlign w:val="center"/>
          </w:tcPr>
          <w:p>
            <w:pPr>
              <w:pStyle w:val="3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液阻压力检测</w:t>
            </w:r>
            <w:r>
              <w:rPr>
                <w:rFonts w:hint="default" w:ascii="Times New Roman" w:hAnsi="Times New Roman" w:eastAsia="宋体" w:cs="Times New Roman"/>
                <w:b w:val="0"/>
                <w:bCs w:val="0"/>
                <w:color w:val="auto"/>
                <w:sz w:val="21"/>
                <w:szCs w:val="21"/>
                <w:lang w:eastAsia="zh-CN"/>
              </w:rPr>
              <w:t>符合《</w:t>
            </w:r>
            <w:r>
              <w:rPr>
                <w:rFonts w:hint="default" w:ascii="Times New Roman" w:hAnsi="Times New Roman" w:eastAsia="宋体" w:cs="Times New Roman"/>
                <w:b w:val="0"/>
                <w:bCs w:val="0"/>
                <w:color w:val="auto"/>
                <w:sz w:val="21"/>
                <w:szCs w:val="21"/>
                <w:lang w:val="en-US" w:eastAsia="zh-CN"/>
              </w:rPr>
              <w:t>加油站大气污染物排放标准</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GB 20952-2020</w:t>
            </w:r>
            <w:r>
              <w:rPr>
                <w:rFonts w:hint="default" w:ascii="Times New Roman" w:hAnsi="Times New Roman" w:eastAsia="宋体" w:cs="Times New Roman"/>
                <w:b w:val="0"/>
                <w:bCs w:val="0"/>
                <w:color w:val="auto"/>
                <w:sz w:val="21"/>
                <w:szCs w:val="21"/>
                <w:lang w:eastAsia="zh-CN"/>
              </w:rPr>
              <w:t>）表</w:t>
            </w:r>
            <w:r>
              <w:rPr>
                <w:rFonts w:hint="default" w:ascii="Times New Roman" w:hAnsi="Times New Roman" w:eastAsia="宋体"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eastAsia="zh-CN"/>
              </w:rPr>
              <w:t>的要求。</w:t>
            </w:r>
          </w:p>
        </w:tc>
      </w:tr>
    </w:tbl>
    <w:p>
      <w:pPr>
        <w:pStyle w:val="32"/>
        <w:spacing w:after="0" w:afterLines="0" w:afterAutospacing="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1.4油气回收处理装置液阻压力检测结果见下表</w:t>
      </w:r>
    </w:p>
    <w:p>
      <w:pPr>
        <w:pStyle w:val="3"/>
        <w:keepNext w:val="0"/>
        <w:keepLines w:val="0"/>
        <w:pageBreakBefore w:val="0"/>
        <w:widowControl w:val="0"/>
        <w:kinsoku/>
        <w:wordWrap/>
        <w:overflowPunct/>
        <w:topLinePunct w:val="0"/>
        <w:autoSpaceDE/>
        <w:autoSpaceDN/>
        <w:bidi w:val="0"/>
        <w:adjustRightInd/>
        <w:snapToGrid/>
        <w:spacing w:beforeAutospacing="0"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表9-5  油气回收处理系统气液比检测结果</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487"/>
        <w:gridCol w:w="487"/>
        <w:gridCol w:w="540"/>
        <w:gridCol w:w="539"/>
        <w:gridCol w:w="1215"/>
        <w:gridCol w:w="741"/>
        <w:gridCol w:w="489"/>
        <w:gridCol w:w="486"/>
        <w:gridCol w:w="1125"/>
        <w:gridCol w:w="824"/>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5000" w:type="pct"/>
            <w:gridSpan w:val="12"/>
            <w:noWrap w:val="0"/>
            <w:vAlign w:val="center"/>
          </w:tcPr>
          <w:p>
            <w:pPr>
              <w:pStyle w:val="3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气液比检测结果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24" w:type="pct"/>
            <w:gridSpan w:val="4"/>
            <w:noWrap w:val="0"/>
            <w:vAlign w:val="center"/>
          </w:tcPr>
          <w:p>
            <w:pPr>
              <w:pStyle w:val="31"/>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检测前泄露检查</w:t>
            </w:r>
          </w:p>
        </w:tc>
        <w:tc>
          <w:tcPr>
            <w:tcW w:w="1751" w:type="pct"/>
            <w:gridSpan w:val="4"/>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初始/最终压力(Pa):</w:t>
            </w:r>
            <w:r>
              <w:rPr>
                <w:rFonts w:hint="default" w:ascii="Times New Roman" w:hAnsi="Times New Roman" w:eastAsia="宋体" w:cs="Times New Roman"/>
                <w:b/>
                <w:bCs/>
                <w:color w:val="auto"/>
                <w:sz w:val="21"/>
                <w:szCs w:val="21"/>
                <w:highlight w:val="none"/>
                <w:lang w:val="en-US" w:eastAsia="zh-CN"/>
              </w:rPr>
              <w:t>1242/1243</w:t>
            </w:r>
          </w:p>
        </w:tc>
        <w:tc>
          <w:tcPr>
            <w:tcW w:w="1428" w:type="pct"/>
            <w:gridSpan w:val="3"/>
            <w:vMerge w:val="restar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技术评估报告给出的气液比限值范围</w:t>
            </w:r>
          </w:p>
        </w:tc>
        <w:tc>
          <w:tcPr>
            <w:tcW w:w="496" w:type="pct"/>
            <w:vMerge w:val="restar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1.0≤气液比≤1.2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24" w:type="pct"/>
            <w:gridSpan w:val="4"/>
            <w:noWrap w:val="0"/>
            <w:vAlign w:val="center"/>
          </w:tcPr>
          <w:p>
            <w:pPr>
              <w:pStyle w:val="31"/>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检测后泄露检查</w:t>
            </w:r>
          </w:p>
        </w:tc>
        <w:tc>
          <w:tcPr>
            <w:tcW w:w="1751" w:type="pct"/>
            <w:gridSpan w:val="4"/>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初始/最终压力(Pa):</w:t>
            </w:r>
            <w:r>
              <w:rPr>
                <w:rFonts w:hint="default" w:ascii="Times New Roman" w:hAnsi="Times New Roman" w:eastAsia="宋体" w:cs="Times New Roman"/>
                <w:b/>
                <w:bCs/>
                <w:color w:val="auto"/>
                <w:sz w:val="21"/>
                <w:szCs w:val="21"/>
                <w:highlight w:val="none"/>
                <w:lang w:val="en-US" w:eastAsia="zh-CN"/>
              </w:rPr>
              <w:t>1240/1242</w:t>
            </w:r>
          </w:p>
        </w:tc>
        <w:tc>
          <w:tcPr>
            <w:tcW w:w="1428" w:type="pct"/>
            <w:gridSpan w:val="3"/>
            <w:vMerge w:val="continue"/>
            <w:noWrap w:val="0"/>
            <w:vAlign w:val="center"/>
          </w:tcPr>
          <w:p>
            <w:pPr>
              <w:pStyle w:val="31"/>
              <w:jc w:val="center"/>
              <w:rPr>
                <w:rFonts w:hint="default" w:ascii="Times New Roman" w:hAnsi="Times New Roman" w:eastAsia="宋体" w:cs="Times New Roman"/>
                <w:color w:val="auto"/>
                <w:sz w:val="21"/>
                <w:szCs w:val="21"/>
                <w:highlight w:val="none"/>
              </w:rPr>
            </w:pPr>
          </w:p>
        </w:tc>
        <w:tc>
          <w:tcPr>
            <w:tcW w:w="496" w:type="pct"/>
            <w:vMerge w:val="continue"/>
            <w:noWrap w:val="0"/>
            <w:vAlign w:val="center"/>
          </w:tcPr>
          <w:p>
            <w:pPr>
              <w:pStyle w:val="31"/>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353" w:type="pct"/>
            <w:gridSpan w:val="6"/>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2024.01.02</w:t>
            </w:r>
          </w:p>
        </w:tc>
        <w:tc>
          <w:tcPr>
            <w:tcW w:w="2149" w:type="pct"/>
            <w:gridSpan w:val="5"/>
            <w:noWrap w:val="0"/>
            <w:vAlign w:val="center"/>
          </w:tcPr>
          <w:p>
            <w:pPr>
              <w:pStyle w:val="31"/>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2024.01.03</w:t>
            </w:r>
          </w:p>
        </w:tc>
        <w:tc>
          <w:tcPr>
            <w:tcW w:w="496"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5"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加油枪编号</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加油体积（L）</w:t>
            </w:r>
          </w:p>
        </w:tc>
        <w:tc>
          <w:tcPr>
            <w:tcW w:w="633" w:type="pct"/>
            <w:gridSpan w:val="2"/>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回收油气体积（L）</w:t>
            </w:r>
          </w:p>
        </w:tc>
        <w:tc>
          <w:tcPr>
            <w:tcW w:w="713"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气液比（无量纲）</w:t>
            </w:r>
          </w:p>
        </w:tc>
        <w:tc>
          <w:tcPr>
            <w:tcW w:w="435"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加油枪编号</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加油体积（L）</w:t>
            </w:r>
          </w:p>
        </w:tc>
        <w:tc>
          <w:tcPr>
            <w:tcW w:w="660"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回收油气体积（L）</w:t>
            </w:r>
          </w:p>
        </w:tc>
        <w:tc>
          <w:tcPr>
            <w:tcW w:w="482"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气液</w:t>
            </w:r>
          </w:p>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（无量纲）</w:t>
            </w:r>
          </w:p>
        </w:tc>
        <w:tc>
          <w:tcPr>
            <w:tcW w:w="496" w:type="pct"/>
            <w:noWrap w:val="0"/>
            <w:vAlign w:val="center"/>
          </w:tcPr>
          <w:p>
            <w:pPr>
              <w:pStyle w:val="31"/>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5"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633"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15.45</w:t>
            </w:r>
          </w:p>
        </w:tc>
        <w:tc>
          <w:tcPr>
            <w:tcW w:w="713"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1.03</w:t>
            </w:r>
          </w:p>
        </w:tc>
        <w:tc>
          <w:tcPr>
            <w:tcW w:w="435"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72"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15.0</w:t>
            </w:r>
          </w:p>
        </w:tc>
        <w:tc>
          <w:tcPr>
            <w:tcW w:w="660"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15.53</w:t>
            </w:r>
          </w:p>
        </w:tc>
        <w:tc>
          <w:tcPr>
            <w:tcW w:w="482"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1.04</w:t>
            </w:r>
          </w:p>
        </w:tc>
        <w:tc>
          <w:tcPr>
            <w:tcW w:w="496" w:type="pct"/>
            <w:vMerge w:val="restart"/>
            <w:noWrap w:val="0"/>
            <w:vAlign w:val="center"/>
          </w:tcPr>
          <w:p>
            <w:pPr>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5"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633"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15.73</w:t>
            </w:r>
          </w:p>
        </w:tc>
        <w:tc>
          <w:tcPr>
            <w:tcW w:w="713"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1.05</w:t>
            </w:r>
          </w:p>
        </w:tc>
        <w:tc>
          <w:tcPr>
            <w:tcW w:w="435"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572"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15.0</w:t>
            </w:r>
          </w:p>
        </w:tc>
        <w:tc>
          <w:tcPr>
            <w:tcW w:w="660"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15.96</w:t>
            </w:r>
          </w:p>
        </w:tc>
        <w:tc>
          <w:tcPr>
            <w:tcW w:w="482"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1.06</w:t>
            </w:r>
          </w:p>
        </w:tc>
        <w:tc>
          <w:tcPr>
            <w:tcW w:w="496" w:type="pct"/>
            <w:vMerge w:val="continue"/>
            <w:noWrap w:val="0"/>
            <w:vAlign w:val="center"/>
          </w:tcPr>
          <w:p>
            <w:pPr>
              <w:jc w:val="center"/>
              <w:rPr>
                <w:rFonts w:hint="default" w:ascii="Times New Roman" w:hAnsi="Times New Roman" w:eastAsia="宋体" w:cs="Times New Roman"/>
                <w:b w:val="0"/>
                <w:bCs w:val="0"/>
                <w:color w:val="auto"/>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5"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633"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16.08</w:t>
            </w:r>
          </w:p>
        </w:tc>
        <w:tc>
          <w:tcPr>
            <w:tcW w:w="713"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1.07</w:t>
            </w:r>
          </w:p>
        </w:tc>
        <w:tc>
          <w:tcPr>
            <w:tcW w:w="435"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572"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15.0</w:t>
            </w:r>
          </w:p>
        </w:tc>
        <w:tc>
          <w:tcPr>
            <w:tcW w:w="660"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15.48</w:t>
            </w:r>
          </w:p>
        </w:tc>
        <w:tc>
          <w:tcPr>
            <w:tcW w:w="482"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1.03</w:t>
            </w:r>
          </w:p>
        </w:tc>
        <w:tc>
          <w:tcPr>
            <w:tcW w:w="496" w:type="pct"/>
            <w:vMerge w:val="continue"/>
            <w:noWrap w:val="0"/>
            <w:vAlign w:val="center"/>
          </w:tcPr>
          <w:p>
            <w:pPr>
              <w:jc w:val="center"/>
              <w:rPr>
                <w:rFonts w:hint="default" w:ascii="Times New Roman" w:hAnsi="Times New Roman" w:eastAsia="宋体" w:cs="Times New Roman"/>
                <w:b w:val="0"/>
                <w:bCs w:val="0"/>
                <w:color w:val="auto"/>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35" w:type="pct"/>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72" w:type="pct"/>
            <w:gridSpan w:val="2"/>
            <w:noWrap w:val="0"/>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633"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15.70</w:t>
            </w:r>
          </w:p>
        </w:tc>
        <w:tc>
          <w:tcPr>
            <w:tcW w:w="713"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1.05</w:t>
            </w:r>
          </w:p>
        </w:tc>
        <w:tc>
          <w:tcPr>
            <w:tcW w:w="435"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572" w:type="pct"/>
            <w:gridSpan w:val="2"/>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15.0</w:t>
            </w:r>
          </w:p>
        </w:tc>
        <w:tc>
          <w:tcPr>
            <w:tcW w:w="660"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15.53</w:t>
            </w:r>
          </w:p>
        </w:tc>
        <w:tc>
          <w:tcPr>
            <w:tcW w:w="482" w:type="pct"/>
            <w:noWrap w:val="0"/>
            <w:vAlign w:val="center"/>
          </w:tcPr>
          <w:p>
            <w:pPr>
              <w:pStyle w:val="31"/>
              <w:jc w:val="center"/>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bidi="ar-SA"/>
              </w:rPr>
              <w:t>1.04</w:t>
            </w:r>
          </w:p>
        </w:tc>
        <w:tc>
          <w:tcPr>
            <w:tcW w:w="496" w:type="pct"/>
            <w:vMerge w:val="continue"/>
            <w:noWrap w:val="0"/>
            <w:vAlign w:val="center"/>
          </w:tcPr>
          <w:p>
            <w:pPr>
              <w:jc w:val="center"/>
              <w:rPr>
                <w:rFonts w:hint="default" w:ascii="Times New Roman" w:hAnsi="Times New Roman" w:eastAsia="宋体" w:cs="Times New Roman"/>
                <w:b w:val="0"/>
                <w:bCs w:val="0"/>
                <w:color w:val="auto"/>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21" w:type="pct"/>
            <w:gridSpan w:val="2"/>
            <w:noWrap w:val="0"/>
            <w:vAlign w:val="center"/>
          </w:tcPr>
          <w:p>
            <w:pPr>
              <w:pStyle w:val="31"/>
              <w:jc w:val="center"/>
              <w:rPr>
                <w:rFonts w:hint="default" w:ascii="Times New Roman" w:hAnsi="Times New Roman" w:eastAsia="宋体" w:cs="Times New Roman"/>
                <w:b w:val="0"/>
                <w:bCs w:val="0"/>
                <w:color w:val="auto"/>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eastAsia="zh-CN"/>
              </w:rPr>
              <w:t>备注</w:t>
            </w:r>
          </w:p>
        </w:tc>
        <w:tc>
          <w:tcPr>
            <w:tcW w:w="4278" w:type="pct"/>
            <w:gridSpan w:val="10"/>
            <w:noWrap w:val="0"/>
            <w:vAlign w:val="center"/>
          </w:tcPr>
          <w:p>
            <w:pPr>
              <w:jc w:val="both"/>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lang w:val="en-US" w:eastAsia="zh-CN"/>
              </w:rPr>
              <w:t>气液比检测</w:t>
            </w:r>
            <w:r>
              <w:rPr>
                <w:rFonts w:hint="default" w:ascii="Times New Roman" w:hAnsi="Times New Roman" w:eastAsia="宋体" w:cs="Times New Roman"/>
                <w:b w:val="0"/>
                <w:bCs w:val="0"/>
                <w:color w:val="auto"/>
                <w:sz w:val="21"/>
                <w:szCs w:val="21"/>
                <w:lang w:eastAsia="zh-CN"/>
              </w:rPr>
              <w:t>符合《</w:t>
            </w:r>
            <w:r>
              <w:rPr>
                <w:rFonts w:hint="default" w:ascii="Times New Roman" w:hAnsi="Times New Roman" w:eastAsia="宋体" w:cs="Times New Roman"/>
                <w:b w:val="0"/>
                <w:bCs w:val="0"/>
                <w:color w:val="auto"/>
                <w:sz w:val="21"/>
                <w:szCs w:val="21"/>
                <w:lang w:val="en-US" w:eastAsia="zh-CN"/>
              </w:rPr>
              <w:t>加油站大气污染物排放标准</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GB 20952-2020</w:t>
            </w:r>
            <w:r>
              <w:rPr>
                <w:rFonts w:hint="default" w:ascii="Times New Roman" w:hAnsi="Times New Roman" w:eastAsia="宋体" w:cs="Times New Roman"/>
                <w:b w:val="0"/>
                <w:bCs w:val="0"/>
                <w:color w:val="auto"/>
                <w:sz w:val="21"/>
                <w:szCs w:val="21"/>
                <w:lang w:eastAsia="zh-CN"/>
              </w:rPr>
              <w:t>）表</w:t>
            </w:r>
            <w:r>
              <w:rPr>
                <w:rFonts w:hint="default" w:ascii="Times New Roman" w:hAnsi="Times New Roman" w:eastAsia="宋体"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lang w:eastAsia="zh-CN"/>
              </w:rPr>
              <w:t>的要求。</w:t>
            </w:r>
          </w:p>
        </w:tc>
      </w:tr>
    </w:tbl>
    <w:p>
      <w:pPr>
        <w:pStyle w:val="3"/>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由上表可知，</w:t>
      </w:r>
      <w:bookmarkStart w:id="67" w:name="_Hlk74757783"/>
      <w:r>
        <w:rPr>
          <w:rFonts w:hint="default" w:ascii="Times New Roman" w:hAnsi="Times New Roman" w:eastAsia="宋体" w:cs="Times New Roman"/>
          <w:color w:val="000000"/>
          <w:sz w:val="24"/>
          <w:szCs w:val="24"/>
          <w:lang w:val="en-US" w:eastAsia="zh-CN"/>
        </w:rPr>
        <w:t>验收监测期间，油气回收处理系统出口VOCs的最高排放浓度为</w:t>
      </w:r>
      <w:r>
        <w:rPr>
          <w:rFonts w:hint="default" w:ascii="Times New Roman" w:hAnsi="Times New Roman" w:eastAsia="宋体" w:cs="Times New Roman"/>
          <w:color w:val="000000"/>
          <w:sz w:val="24"/>
          <w:szCs w:val="24"/>
          <w:highlight w:val="none"/>
          <w:lang w:val="en-US" w:eastAsia="zh-CN"/>
        </w:rPr>
        <w:t>5.51g/m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lang w:val="en-US" w:eastAsia="zh-CN"/>
        </w:rPr>
        <w:t xml:space="preserve">排放浓度满足《加油站大气污染物排放标准》（GB20952-2020）中的相关规定。5min后的剩余压力值油气回收处理系统剩余最小压力值为464Pa，满足《加油站大气污染物排放标准》（GB20952-2020）中的表2限值要求。油气回收处理系统液阻压力通入氮气流量18L/min、28L/min、38L/min时最大压力分别为11Pa、15Pa、52Pa满足《加油站大气污染物排放标准》（GB20952-2020）中表1限值要求。油气回收处理系统气液比值在1.03-1.06之间满足《加油站大气污染物排放标准》（GB20952-2020）中5.3各种加油油气回收处理系统的气液比均应在大于等于1.0和小于等于1.2范围内的要求。 </w:t>
      </w:r>
    </w:p>
    <w:bookmarkEnd w:id="67"/>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2、无组织排放</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该项目产生的无组织废气污染物主要为油罐大小呼吸、卸油、加油机作业过程中挥发的油气以及进出加油站的车辆排放的尾气产生的无组织废气。</w:t>
      </w:r>
    </w:p>
    <w:p>
      <w:pPr>
        <w:pStyle w:val="3"/>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监测结果见表9-</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表9-3  无组织废气监测结果汇总</w:t>
      </w:r>
    </w:p>
    <w:tbl>
      <w:tblPr>
        <w:tblStyle w:val="24"/>
        <w:tblpPr w:leftFromText="180" w:rightFromText="180" w:vertAnchor="text" w:horzAnchor="page" w:tblpX="1764" w:tblpY="77"/>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304"/>
        <w:gridCol w:w="905"/>
        <w:gridCol w:w="1185"/>
        <w:gridCol w:w="1253"/>
        <w:gridCol w:w="1253"/>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00" w:type="pct"/>
            <w:gridSpan w:val="7"/>
            <w:noWrap w:val="0"/>
            <w:vAlign w:val="center"/>
          </w:tcPr>
          <w:p>
            <w:pPr>
              <w:pStyle w:val="71"/>
              <w:rPr>
                <w:rFonts w:hint="default" w:ascii="Times New Roman" w:hAnsi="Times New Roman" w:eastAsia="宋体" w:cs="Times New Roman"/>
                <w:sz w:val="21"/>
                <w:szCs w:val="21"/>
              </w:rPr>
            </w:pPr>
            <w:bookmarkStart w:id="68" w:name="_Hlk74757806"/>
            <w:r>
              <w:rPr>
                <w:rFonts w:hint="default" w:ascii="Times New Roman" w:hAnsi="Times New Roman" w:eastAsia="宋体" w:cs="Times New Roman"/>
                <w:sz w:val="21"/>
                <w:szCs w:val="21"/>
                <w:lang w:val="en-US" w:eastAsia="zh-CN"/>
              </w:rPr>
              <w:t xml:space="preserve">无组织排放检测结果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restar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监测项目</w:t>
            </w:r>
          </w:p>
        </w:tc>
        <w:tc>
          <w:tcPr>
            <w:tcW w:w="1296" w:type="pct"/>
            <w:gridSpan w:val="2"/>
            <w:vMerge w:val="restar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采样日期</w:t>
            </w:r>
          </w:p>
        </w:tc>
        <w:tc>
          <w:tcPr>
            <w:tcW w:w="2911" w:type="pct"/>
            <w:gridSpan w:val="4"/>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rPr>
            </w:pPr>
          </w:p>
        </w:tc>
        <w:tc>
          <w:tcPr>
            <w:tcW w:w="1296" w:type="pct"/>
            <w:gridSpan w:val="2"/>
            <w:vMerge w:val="continue"/>
            <w:noWrap w:val="0"/>
            <w:vAlign w:val="center"/>
          </w:tcPr>
          <w:p>
            <w:pPr>
              <w:pStyle w:val="71"/>
              <w:rPr>
                <w:rFonts w:hint="default" w:ascii="Times New Roman" w:hAnsi="Times New Roman" w:eastAsia="宋体" w:cs="Times New Roman"/>
                <w:sz w:val="21"/>
                <w:szCs w:val="21"/>
              </w:rPr>
            </w:pPr>
          </w:p>
        </w:tc>
        <w:tc>
          <w:tcPr>
            <w:tcW w:w="695" w:type="pct"/>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上风向1</w:t>
            </w:r>
            <w:r>
              <w:rPr>
                <w:rFonts w:hint="default" w:ascii="Times New Roman" w:hAnsi="Times New Roman" w:eastAsia="宋体" w:cs="Times New Roman"/>
                <w:sz w:val="21"/>
                <w:szCs w:val="21"/>
                <w:vertAlign w:val="superscript"/>
              </w:rPr>
              <w:t>#</w:t>
            </w:r>
          </w:p>
        </w:tc>
        <w:tc>
          <w:tcPr>
            <w:tcW w:w="735" w:type="pct"/>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下风向2</w:t>
            </w:r>
            <w:r>
              <w:rPr>
                <w:rFonts w:hint="default" w:ascii="Times New Roman" w:hAnsi="Times New Roman" w:eastAsia="宋体" w:cs="Times New Roman"/>
                <w:sz w:val="21"/>
                <w:szCs w:val="21"/>
                <w:vertAlign w:val="superscript"/>
              </w:rPr>
              <w:t>#</w:t>
            </w:r>
          </w:p>
        </w:tc>
        <w:tc>
          <w:tcPr>
            <w:tcW w:w="735" w:type="pct"/>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下风向3</w:t>
            </w:r>
            <w:r>
              <w:rPr>
                <w:rFonts w:hint="default" w:ascii="Times New Roman" w:hAnsi="Times New Roman" w:eastAsia="宋体" w:cs="Times New Roman"/>
                <w:sz w:val="21"/>
                <w:szCs w:val="21"/>
                <w:vertAlign w:val="superscript"/>
              </w:rPr>
              <w:t>#</w:t>
            </w:r>
          </w:p>
        </w:tc>
        <w:tc>
          <w:tcPr>
            <w:tcW w:w="745" w:type="pct"/>
            <w:noWrap w:val="0"/>
            <w:vAlign w:val="center"/>
          </w:tcPr>
          <w:p>
            <w:pPr>
              <w:pStyle w:val="71"/>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下风向4</w:t>
            </w:r>
            <w:r>
              <w:rPr>
                <w:rFonts w:hint="default" w:ascii="Times New Roman" w:hAnsi="Times New Roman" w:eastAsia="宋体" w:cs="Times New Roman"/>
                <w:sz w:val="21"/>
                <w:szCs w:val="21"/>
                <w:vertAlign w:val="superscript"/>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非甲烷总烃（</w:t>
            </w:r>
            <w:r>
              <w:rPr>
                <w:rFonts w:hint="default" w:ascii="Times New Roman" w:hAnsi="Times New Roman" w:eastAsia="宋体" w:cs="Times New Roman"/>
                <w:sz w:val="21"/>
                <w:szCs w:val="21"/>
                <w:lang w:eastAsia="zh-CN"/>
              </w:rPr>
              <w:t>mg/m</w:t>
            </w:r>
            <w:r>
              <w:rPr>
                <w:rFonts w:hint="default" w:ascii="Times New Roman" w:hAnsi="Times New Roman" w:eastAsia="宋体" w:cs="Times New Roman"/>
                <w:sz w:val="21"/>
                <w:szCs w:val="21"/>
                <w:vertAlign w:val="superscript"/>
                <w:lang w:eastAsia="zh-CN"/>
              </w:rPr>
              <w:t>3</w:t>
            </w:r>
            <w:r>
              <w:rPr>
                <w:rFonts w:hint="default" w:ascii="Times New Roman" w:hAnsi="Times New Roman" w:eastAsia="宋体" w:cs="Times New Roman"/>
                <w:sz w:val="21"/>
                <w:szCs w:val="21"/>
                <w:lang w:val="en-US" w:eastAsia="zh-CN"/>
              </w:rPr>
              <w:t>）</w:t>
            </w:r>
          </w:p>
        </w:tc>
        <w:tc>
          <w:tcPr>
            <w:tcW w:w="765" w:type="pct"/>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2024.01.02</w:t>
            </w: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12:07</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0.54</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1.04</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1.12</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765"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13:41</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0.58</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1.06</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1.00</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765"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14:45</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0.50</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1.26</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1.19</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765" w:type="pct"/>
            <w:vMerge w:val="restart"/>
            <w:noWrap w:val="0"/>
            <w:vAlign w:val="center"/>
          </w:tcPr>
          <w:p>
            <w:pPr>
              <w:pStyle w:val="71"/>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2024.01.03</w:t>
            </w: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9:59</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0.56</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1.02</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1.09</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765"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11:05</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0.52</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1.15</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1.01</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92"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765" w:type="pct"/>
            <w:vMerge w:val="continue"/>
            <w:noWrap w:val="0"/>
            <w:vAlign w:val="center"/>
          </w:tcPr>
          <w:p>
            <w:pPr>
              <w:pStyle w:val="71"/>
              <w:rPr>
                <w:rFonts w:hint="default" w:ascii="Times New Roman" w:hAnsi="Times New Roman" w:eastAsia="宋体" w:cs="Times New Roman"/>
                <w:sz w:val="21"/>
                <w:szCs w:val="21"/>
                <w:lang w:val="en-US" w:eastAsia="zh-CN"/>
              </w:rPr>
            </w:pPr>
          </w:p>
        </w:tc>
        <w:tc>
          <w:tcPr>
            <w:tcW w:w="530" w:type="pct"/>
            <w:noWrap w:val="0"/>
            <w:vAlign w:val="center"/>
          </w:tcPr>
          <w:p>
            <w:pPr>
              <w:pStyle w:val="71"/>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12:17</w:t>
            </w:r>
          </w:p>
        </w:tc>
        <w:tc>
          <w:tcPr>
            <w:tcW w:w="69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0.65</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1.22</w:t>
            </w:r>
          </w:p>
        </w:tc>
        <w:tc>
          <w:tcPr>
            <w:tcW w:w="73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1.17</w:t>
            </w:r>
          </w:p>
        </w:tc>
        <w:tc>
          <w:tcPr>
            <w:tcW w:w="745" w:type="pct"/>
            <w:noWrap w:val="0"/>
            <w:vAlign w:val="center"/>
          </w:tcPr>
          <w:p>
            <w:pPr>
              <w:pStyle w:val="71"/>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1.15</w:t>
            </w:r>
          </w:p>
        </w:tc>
      </w:tr>
    </w:tbl>
    <w:p>
      <w:pPr>
        <w:spacing w:line="360" w:lineRule="auto"/>
        <w:ind w:firstLine="480" w:firstLineChars="200"/>
        <w:rPr>
          <w:rFonts w:hint="default" w:ascii="Times New Roman" w:hAnsi="Times New Roman" w:eastAsia="宋体" w:cs="Times New Roman"/>
          <w:color w:val="000000"/>
          <w:sz w:val="24"/>
          <w:szCs w:val="32"/>
          <w:lang w:eastAsia="zh-CN"/>
        </w:rPr>
      </w:pPr>
      <w:r>
        <w:rPr>
          <w:rFonts w:hint="default" w:ascii="Times New Roman" w:hAnsi="Times New Roman" w:eastAsia="宋体" w:cs="Times New Roman"/>
          <w:color w:val="000000"/>
          <w:sz w:val="24"/>
          <w:szCs w:val="32"/>
          <w:lang w:val="en-US" w:eastAsia="zh-CN"/>
        </w:rPr>
        <w:t>根据上表可知，项目厂界无组织</w:t>
      </w:r>
      <w:r>
        <w:rPr>
          <w:rFonts w:hint="default" w:ascii="Times New Roman" w:hAnsi="Times New Roman" w:eastAsia="宋体" w:cs="Times New Roman"/>
          <w:color w:val="000000"/>
          <w:sz w:val="24"/>
          <w:szCs w:val="32"/>
        </w:rPr>
        <w:t>VOCs排放浓度</w:t>
      </w:r>
      <w:r>
        <w:rPr>
          <w:rFonts w:hint="default" w:ascii="Times New Roman" w:hAnsi="Times New Roman" w:eastAsia="宋体" w:cs="Times New Roman"/>
          <w:color w:val="000000"/>
          <w:sz w:val="24"/>
          <w:szCs w:val="32"/>
          <w:lang w:val="en-US" w:eastAsia="zh-CN"/>
        </w:rPr>
        <w:t>满足</w:t>
      </w:r>
      <w:r>
        <w:rPr>
          <w:rFonts w:hint="default" w:ascii="Times New Roman" w:hAnsi="Times New Roman" w:eastAsia="宋体" w:cs="Times New Roman"/>
          <w:color w:val="000000"/>
          <w:sz w:val="24"/>
          <w:szCs w:val="32"/>
        </w:rPr>
        <w:t>山东省《挥发性有机物排放标准 第7部分：其他行业》(DB37/ 2801.7—2019)表2厂界监控点浓度限值(VOCs≤2.0mg/m</w:t>
      </w:r>
      <w:r>
        <w:rPr>
          <w:rFonts w:hint="default" w:ascii="Times New Roman" w:hAnsi="Times New Roman" w:eastAsia="宋体" w:cs="Times New Roman"/>
          <w:color w:val="000000"/>
          <w:sz w:val="24"/>
          <w:szCs w:val="32"/>
          <w:vertAlign w:val="superscript"/>
        </w:rPr>
        <w:t>3</w:t>
      </w:r>
      <w:r>
        <w:rPr>
          <w:rFonts w:hint="default" w:ascii="Times New Roman" w:hAnsi="Times New Roman" w:eastAsia="宋体" w:cs="Times New Roman"/>
          <w:color w:val="000000"/>
          <w:sz w:val="24"/>
          <w:szCs w:val="32"/>
        </w:rPr>
        <w:t>)</w:t>
      </w:r>
      <w:r>
        <w:rPr>
          <w:rFonts w:hint="default" w:ascii="Times New Roman" w:hAnsi="Times New Roman" w:eastAsia="宋体" w:cs="Times New Roman"/>
          <w:color w:val="000000"/>
          <w:sz w:val="24"/>
          <w:szCs w:val="32"/>
          <w:lang w:val="en-US" w:eastAsia="zh-CN"/>
        </w:rPr>
        <w:t>以及《加油站大气污染物排放标准》（GB20952-2020）表3中油气浓度无组织排放限值要求</w:t>
      </w:r>
      <w:r>
        <w:rPr>
          <w:rFonts w:hint="default" w:ascii="Times New Roman" w:hAnsi="Times New Roman" w:eastAsia="宋体" w:cs="Times New Roman"/>
          <w:color w:val="000000"/>
          <w:sz w:val="24"/>
          <w:szCs w:val="32"/>
        </w:rPr>
        <w:t>(VOCs≤</w:t>
      </w:r>
      <w:r>
        <w:rPr>
          <w:rFonts w:hint="default" w:ascii="Times New Roman" w:hAnsi="Times New Roman" w:eastAsia="宋体" w:cs="Times New Roman"/>
          <w:color w:val="000000"/>
          <w:sz w:val="24"/>
          <w:szCs w:val="32"/>
          <w:lang w:val="en-US" w:eastAsia="zh-CN"/>
        </w:rPr>
        <w:t>4</w:t>
      </w:r>
      <w:r>
        <w:rPr>
          <w:rFonts w:hint="default" w:ascii="Times New Roman" w:hAnsi="Times New Roman" w:eastAsia="宋体" w:cs="Times New Roman"/>
          <w:color w:val="000000"/>
          <w:sz w:val="24"/>
          <w:szCs w:val="32"/>
        </w:rPr>
        <w:t>.0mg/m</w:t>
      </w:r>
      <w:r>
        <w:rPr>
          <w:rFonts w:hint="default" w:ascii="Times New Roman" w:hAnsi="Times New Roman" w:eastAsia="宋体" w:cs="Times New Roman"/>
          <w:color w:val="000000"/>
          <w:sz w:val="24"/>
          <w:szCs w:val="32"/>
          <w:vertAlign w:val="superscript"/>
        </w:rPr>
        <w:t>3</w:t>
      </w:r>
      <w:r>
        <w:rPr>
          <w:rFonts w:hint="default" w:ascii="Times New Roman" w:hAnsi="Times New Roman" w:eastAsia="宋体" w:cs="Times New Roman"/>
          <w:color w:val="000000"/>
          <w:sz w:val="24"/>
          <w:szCs w:val="32"/>
        </w:rPr>
        <w:t>)</w:t>
      </w:r>
      <w:r>
        <w:rPr>
          <w:rFonts w:hint="default" w:ascii="Times New Roman" w:hAnsi="Times New Roman" w:eastAsia="宋体" w:cs="Times New Roman"/>
          <w:color w:val="000000"/>
          <w:sz w:val="24"/>
          <w:szCs w:val="32"/>
          <w:lang w:eastAsia="zh-CN"/>
        </w:rPr>
        <w:t>。</w:t>
      </w:r>
    </w:p>
    <w:bookmarkEnd w:id="68"/>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9.2.1.3厂界噪声</w:t>
      </w:r>
    </w:p>
    <w:p>
      <w:pPr>
        <w:pStyle w:val="3"/>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该项目的厂界噪声监测数据见表9-</w:t>
      </w:r>
      <w:r>
        <w:rPr>
          <w:rFonts w:hint="default"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rPr>
        <w:t>：</w:t>
      </w:r>
    </w:p>
    <w:p>
      <w:pPr>
        <w:pStyle w:val="3"/>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lang w:val="en-US" w:eastAsia="zh-CN"/>
        </w:rPr>
        <w:t>表9-4  噪声监测结果</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838"/>
        <w:gridCol w:w="2926"/>
        <w:gridCol w:w="1248"/>
        <w:gridCol w:w="1248"/>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0" w:type="auto"/>
            <w:gridSpan w:val="2"/>
            <w:noWrap w:val="0"/>
            <w:vAlign w:val="center"/>
          </w:tcPr>
          <w:p>
            <w:pPr>
              <w:spacing w:line="3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采样日期</w:t>
            </w:r>
          </w:p>
        </w:tc>
        <w:tc>
          <w:tcPr>
            <w:tcW w:w="0" w:type="auto"/>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02日至2024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03日</w:t>
            </w:r>
          </w:p>
        </w:tc>
        <w:tc>
          <w:tcPr>
            <w:tcW w:w="0" w:type="auto"/>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完成日期</w:t>
            </w:r>
          </w:p>
        </w:tc>
        <w:tc>
          <w:tcPr>
            <w:tcW w:w="0" w:type="auto"/>
            <w:gridSpan w:val="2"/>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03日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测试项目</w:t>
            </w:r>
          </w:p>
        </w:tc>
        <w:tc>
          <w:tcPr>
            <w:tcW w:w="0" w:type="auto"/>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0" w:type="auto"/>
            <w:noWrap w:val="0"/>
            <w:vAlign w:val="center"/>
          </w:tcPr>
          <w:p>
            <w:pPr>
              <w:ind w:right="-107"/>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气象条件</w:t>
            </w:r>
          </w:p>
        </w:tc>
        <w:tc>
          <w:tcPr>
            <w:tcW w:w="0" w:type="auto"/>
            <w:gridSpan w:val="2"/>
            <w:noWrap w:val="0"/>
            <w:vAlign w:val="center"/>
          </w:tcPr>
          <w:p>
            <w:pPr>
              <w:ind w:right="-107"/>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多云/晴</w:t>
            </w:r>
            <w:r>
              <w:rPr>
                <w:rFonts w:hint="default" w:ascii="Times New Roman" w:hAnsi="Times New Roman" w:eastAsia="宋体" w:cs="Times New Roman"/>
                <w:sz w:val="21"/>
                <w:szCs w:val="21"/>
                <w:highlight w:val="none"/>
              </w:rPr>
              <w:t>，最大风速</w:t>
            </w:r>
            <w:r>
              <w:rPr>
                <w:rFonts w:hint="default" w:ascii="Times New Roman" w:hAnsi="Times New Roman" w:eastAsia="宋体" w:cs="Times New Roman"/>
                <w:sz w:val="21"/>
                <w:szCs w:val="21"/>
                <w:highlight w:val="none"/>
                <w:lang w:val="en-US" w:eastAsia="zh-CN"/>
              </w:rPr>
              <w:t>1.9</w:t>
            </w:r>
            <w:r>
              <w:rPr>
                <w:rFonts w:hint="default" w:ascii="Times New Roman" w:hAnsi="Times New Roman" w:eastAsia="宋体" w:cs="Times New Roman"/>
                <w:kern w:val="0"/>
                <w:sz w:val="21"/>
                <w:szCs w:val="21"/>
                <w:highlight w:val="none"/>
                <w:lang w:val="en-US" w:eastAsia="zh-CN" w:bidi="zh-CN"/>
              </w:rPr>
              <w:t>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校准仪器</w:t>
            </w:r>
          </w:p>
        </w:tc>
        <w:tc>
          <w:tcPr>
            <w:tcW w:w="0" w:type="auto"/>
            <w:gridSpan w:val="4"/>
            <w:noWrap w:val="0"/>
            <w:vAlign w:val="center"/>
          </w:tcPr>
          <w:p>
            <w:pPr>
              <w:ind w:right="-107"/>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lang w:val="en-US" w:eastAsia="zh-CN"/>
              </w:rPr>
              <w:t>AWA6021B声级校准器(编号：THYQ-149)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vMerge w:val="continue"/>
            <w:noWrap w:val="0"/>
            <w:vAlign w:val="center"/>
          </w:tcPr>
          <w:p>
            <w:pPr>
              <w:jc w:val="center"/>
              <w:rPr>
                <w:rFonts w:hint="default" w:ascii="Times New Roman" w:hAnsi="Times New Roman" w:eastAsia="宋体" w:cs="Times New Roman"/>
                <w:sz w:val="21"/>
                <w:szCs w:val="21"/>
              </w:rPr>
            </w:pPr>
          </w:p>
        </w:tc>
        <w:tc>
          <w:tcPr>
            <w:tcW w:w="0" w:type="auto"/>
            <w:gridSpan w:val="4"/>
            <w:noWrap w:val="0"/>
            <w:vAlign w:val="center"/>
          </w:tcPr>
          <w:p>
            <w:pPr>
              <w:ind w:right="-10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测前校</w:t>
            </w:r>
            <w:r>
              <w:rPr>
                <w:rFonts w:hint="default" w:ascii="Times New Roman" w:hAnsi="Times New Roman" w:eastAsia="宋体" w:cs="Times New Roman"/>
                <w:sz w:val="21"/>
                <w:szCs w:val="21"/>
                <w:highlight w:val="none"/>
              </w:rPr>
              <w:t>准：</w:t>
            </w:r>
            <w:r>
              <w:rPr>
                <w:rFonts w:hint="default" w:ascii="Times New Roman" w:hAnsi="Times New Roman" w:eastAsia="宋体" w:cs="Times New Roman"/>
                <w:kern w:val="0"/>
                <w:sz w:val="21"/>
                <w:szCs w:val="21"/>
                <w:lang w:val="en-US" w:eastAsia="zh-CN" w:bidi="zh-CN"/>
              </w:rPr>
              <w:t>93.8dB（A）</w:t>
            </w:r>
            <w:r>
              <w:rPr>
                <w:rFonts w:hint="default" w:ascii="Times New Roman" w:hAnsi="Times New Roman" w:eastAsia="宋体" w:cs="Times New Roman"/>
                <w:sz w:val="21"/>
                <w:szCs w:val="21"/>
                <w:highlight w:val="none"/>
              </w:rPr>
              <w:t xml:space="preserve">       测后校准：</w:t>
            </w:r>
            <w:r>
              <w:rPr>
                <w:rFonts w:hint="default" w:ascii="Times New Roman" w:hAnsi="Times New Roman" w:eastAsia="宋体" w:cs="Times New Roman"/>
                <w:kern w:val="0"/>
                <w:sz w:val="21"/>
                <w:szCs w:val="21"/>
                <w:lang w:val="en-US" w:eastAsia="zh-CN" w:bidi="zh-CN"/>
              </w:rPr>
              <w:t>93.8dB（A）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检测日期</w:t>
            </w:r>
          </w:p>
        </w:tc>
        <w:tc>
          <w:tcPr>
            <w:tcW w:w="0" w:type="auto"/>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检测时间</w:t>
            </w:r>
          </w:p>
        </w:tc>
        <w:tc>
          <w:tcPr>
            <w:tcW w:w="0" w:type="auto"/>
            <w:gridSpan w:val="4"/>
            <w:noWrap w:val="0"/>
            <w:vAlign w:val="center"/>
          </w:tcPr>
          <w:p>
            <w:pPr>
              <w:ind w:right="-187" w:rightChars="-89"/>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检测结果</w:t>
            </w:r>
            <w:r>
              <w:rPr>
                <w:rFonts w:hint="default" w:ascii="Times New Roman" w:hAnsi="Times New Roman" w:eastAsia="宋体" w:cs="Times New Roman"/>
                <w:kern w:val="0"/>
                <w:sz w:val="21"/>
                <w:szCs w:val="21"/>
                <w:lang w:val="en-US" w:eastAsia="zh-CN" w:bidi="zh-CN"/>
              </w:rPr>
              <w:t>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vMerge w:val="continue"/>
            <w:noWrap w:val="0"/>
            <w:vAlign w:val="center"/>
          </w:tcPr>
          <w:p>
            <w:pPr>
              <w:spacing w:line="528" w:lineRule="auto"/>
              <w:jc w:val="center"/>
              <w:rPr>
                <w:rFonts w:hint="default" w:ascii="Times New Roman" w:hAnsi="Times New Roman" w:eastAsia="宋体" w:cs="Times New Roman"/>
                <w:sz w:val="21"/>
                <w:szCs w:val="21"/>
              </w:rPr>
            </w:pPr>
          </w:p>
        </w:tc>
        <w:tc>
          <w:tcPr>
            <w:tcW w:w="0" w:type="auto"/>
            <w:vMerge w:val="continue"/>
            <w:noWrap w:val="0"/>
            <w:vAlign w:val="center"/>
          </w:tcPr>
          <w:p>
            <w:pPr>
              <w:spacing w:line="528" w:lineRule="auto"/>
              <w:jc w:val="center"/>
              <w:rPr>
                <w:rFonts w:hint="default" w:ascii="Times New Roman" w:hAnsi="Times New Roman" w:eastAsia="宋体" w:cs="Times New Roman"/>
                <w:sz w:val="21"/>
                <w:szCs w:val="21"/>
              </w:rPr>
            </w:pP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东厂界外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南厂界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西厂界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北厂界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noWrap w:val="0"/>
            <w:vAlign w:val="center"/>
          </w:tcPr>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2024</w:t>
            </w:r>
            <w:r>
              <w:rPr>
                <w:rFonts w:hint="default" w:ascii="Times New Roman" w:hAnsi="Times New Roman" w:eastAsia="宋体" w:cs="Times New Roman"/>
                <w:bCs/>
                <w:sz w:val="21"/>
                <w:szCs w:val="21"/>
              </w:rPr>
              <w:t>年</w:t>
            </w:r>
          </w:p>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01</w:t>
            </w:r>
            <w:r>
              <w:rPr>
                <w:rFonts w:hint="default" w:ascii="Times New Roman" w:hAnsi="Times New Roman" w:eastAsia="宋体" w:cs="Times New Roman"/>
                <w:bCs/>
                <w:sz w:val="21"/>
                <w:szCs w:val="21"/>
              </w:rPr>
              <w:t>月</w:t>
            </w:r>
            <w:r>
              <w:rPr>
                <w:rFonts w:hint="default" w:ascii="Times New Roman" w:hAnsi="Times New Roman" w:eastAsia="宋体" w:cs="Times New Roman"/>
                <w:bCs/>
                <w:sz w:val="21"/>
                <w:szCs w:val="21"/>
                <w:lang w:val="en-US" w:eastAsia="zh-CN"/>
              </w:rPr>
              <w:t>02</w:t>
            </w:r>
            <w:r>
              <w:rPr>
                <w:rFonts w:hint="default" w:ascii="Times New Roman" w:hAnsi="Times New Roman" w:eastAsia="宋体" w:cs="Times New Roman"/>
                <w:bCs/>
                <w:sz w:val="21"/>
                <w:szCs w:val="21"/>
              </w:rPr>
              <w:t>日</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昼间</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59.3</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58.2</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55.3</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noWrap w:val="0"/>
            <w:vAlign w:val="center"/>
          </w:tcPr>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2024</w:t>
            </w:r>
            <w:r>
              <w:rPr>
                <w:rFonts w:hint="default" w:ascii="Times New Roman" w:hAnsi="Times New Roman" w:eastAsia="宋体" w:cs="Times New Roman"/>
                <w:bCs/>
                <w:sz w:val="21"/>
                <w:szCs w:val="21"/>
              </w:rPr>
              <w:t>年</w:t>
            </w:r>
          </w:p>
          <w:p>
            <w:pPr>
              <w:jc w:val="center"/>
              <w:rPr>
                <w:rFonts w:hint="default" w:ascii="Times New Roman" w:hAnsi="Times New Roman" w:eastAsia="宋体" w:cs="Times New Roman"/>
                <w:kern w:val="0"/>
                <w:sz w:val="21"/>
                <w:szCs w:val="21"/>
                <w:lang w:val="en-US" w:eastAsia="zh-CN" w:bidi="zh-CN"/>
              </w:rPr>
            </w:pPr>
            <w:r>
              <w:rPr>
                <w:rFonts w:hint="default" w:ascii="Times New Roman" w:hAnsi="Times New Roman" w:eastAsia="宋体" w:cs="Times New Roman"/>
                <w:kern w:val="0"/>
                <w:sz w:val="21"/>
                <w:szCs w:val="21"/>
                <w:lang w:val="en-US" w:eastAsia="zh-CN" w:bidi="zh-CN"/>
              </w:rPr>
              <w:t>01</w:t>
            </w:r>
            <w:r>
              <w:rPr>
                <w:rFonts w:hint="default" w:ascii="Times New Roman" w:hAnsi="Times New Roman" w:eastAsia="宋体" w:cs="Times New Roman"/>
                <w:bCs/>
                <w:sz w:val="21"/>
                <w:szCs w:val="21"/>
              </w:rPr>
              <w:t>月</w:t>
            </w:r>
            <w:r>
              <w:rPr>
                <w:rFonts w:hint="default" w:ascii="Times New Roman" w:hAnsi="Times New Roman" w:eastAsia="宋体" w:cs="Times New Roman"/>
                <w:bCs/>
                <w:sz w:val="21"/>
                <w:szCs w:val="21"/>
                <w:lang w:val="en-US" w:eastAsia="zh-CN"/>
              </w:rPr>
              <w:t>03</w:t>
            </w:r>
            <w:r>
              <w:rPr>
                <w:rFonts w:hint="default" w:ascii="Times New Roman" w:hAnsi="Times New Roman" w:eastAsia="宋体" w:cs="Times New Roman"/>
                <w:bCs/>
                <w:sz w:val="21"/>
                <w:szCs w:val="21"/>
              </w:rPr>
              <w:t>日</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昼间</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52.3</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52.2</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56.0</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备注</w:t>
            </w:r>
          </w:p>
        </w:tc>
        <w:tc>
          <w:tcPr>
            <w:tcW w:w="0" w:type="auto"/>
            <w:gridSpan w:val="4"/>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noWrap w:val="0"/>
            <w:vAlign w:val="center"/>
          </w:tcPr>
          <w:p>
            <w:pPr>
              <w:spacing w:line="3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采样日期</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29日至2024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30日</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完成日期</w:t>
            </w:r>
          </w:p>
        </w:tc>
        <w:tc>
          <w:tcPr>
            <w:tcW w:w="0" w:type="auto"/>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2024</w:t>
            </w:r>
            <w:r>
              <w:rPr>
                <w:rFonts w:hint="default" w:ascii="Times New Roman" w:hAnsi="Times New Roman" w:eastAsia="宋体" w:cs="Times New Roman"/>
                <w:sz w:val="21"/>
                <w:szCs w:val="21"/>
              </w:rPr>
              <w:t>年</w:t>
            </w:r>
            <w:r>
              <w:rPr>
                <w:rFonts w:hint="default" w:ascii="Times New Roman" w:hAnsi="Times New Roman" w:eastAsia="宋体" w:cs="Times New Roman"/>
                <w:sz w:val="21"/>
                <w:szCs w:val="21"/>
                <w:lang w:val="en-US" w:eastAsia="zh-CN"/>
              </w:rPr>
              <w:t>01</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测试项目</w:t>
            </w:r>
          </w:p>
        </w:tc>
        <w:tc>
          <w:tcPr>
            <w:tcW w:w="0" w:type="auto"/>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0" w:type="auto"/>
            <w:noWrap w:val="0"/>
            <w:vAlign w:val="center"/>
          </w:tcPr>
          <w:p>
            <w:pPr>
              <w:ind w:right="-107"/>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气象条件</w:t>
            </w:r>
          </w:p>
        </w:tc>
        <w:tc>
          <w:tcPr>
            <w:tcW w:w="0" w:type="auto"/>
            <w:gridSpan w:val="2"/>
            <w:noWrap w:val="0"/>
            <w:vAlign w:val="center"/>
          </w:tcPr>
          <w:p>
            <w:pPr>
              <w:ind w:right="-107"/>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阴</w:t>
            </w:r>
            <w:r>
              <w:rPr>
                <w:rFonts w:hint="default" w:ascii="Times New Roman" w:hAnsi="Times New Roman" w:eastAsia="宋体" w:cs="Times New Roman"/>
                <w:sz w:val="21"/>
                <w:szCs w:val="21"/>
                <w:highlight w:val="none"/>
              </w:rPr>
              <w:t>，最大风速</w:t>
            </w:r>
            <w:r>
              <w:rPr>
                <w:rFonts w:hint="default" w:ascii="Times New Roman" w:hAnsi="Times New Roman" w:eastAsia="宋体" w:cs="Times New Roman"/>
                <w:kern w:val="0"/>
                <w:sz w:val="21"/>
                <w:szCs w:val="21"/>
                <w:highlight w:val="none"/>
                <w:lang w:val="en-US" w:eastAsia="zh-CN" w:bidi="zh-CN"/>
              </w:rPr>
              <w:t>3.2m/s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校准仪器</w:t>
            </w:r>
          </w:p>
        </w:tc>
        <w:tc>
          <w:tcPr>
            <w:tcW w:w="0" w:type="auto"/>
            <w:gridSpan w:val="4"/>
            <w:noWrap w:val="0"/>
            <w:vAlign w:val="center"/>
          </w:tcPr>
          <w:p>
            <w:pPr>
              <w:ind w:right="-107"/>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lang w:val="en-US" w:eastAsia="zh-CN"/>
              </w:rPr>
              <w:t>AWA6021B声级校准器(编号：THYQ-149)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vMerge w:val="continue"/>
            <w:noWrap w:val="0"/>
            <w:vAlign w:val="center"/>
          </w:tcPr>
          <w:p>
            <w:pPr>
              <w:jc w:val="center"/>
              <w:rPr>
                <w:rFonts w:hint="default" w:ascii="Times New Roman" w:hAnsi="Times New Roman" w:eastAsia="宋体" w:cs="Times New Roman"/>
                <w:sz w:val="21"/>
                <w:szCs w:val="21"/>
              </w:rPr>
            </w:pPr>
          </w:p>
        </w:tc>
        <w:tc>
          <w:tcPr>
            <w:tcW w:w="0" w:type="auto"/>
            <w:gridSpan w:val="4"/>
            <w:noWrap w:val="0"/>
            <w:vAlign w:val="center"/>
          </w:tcPr>
          <w:p>
            <w:pPr>
              <w:ind w:right="-107"/>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测前校</w:t>
            </w:r>
            <w:r>
              <w:rPr>
                <w:rFonts w:hint="default" w:ascii="Times New Roman" w:hAnsi="Times New Roman" w:eastAsia="宋体" w:cs="Times New Roman"/>
                <w:sz w:val="21"/>
                <w:szCs w:val="21"/>
                <w:highlight w:val="none"/>
              </w:rPr>
              <w:t>准：</w:t>
            </w:r>
            <w:r>
              <w:rPr>
                <w:rFonts w:hint="default" w:ascii="Times New Roman" w:hAnsi="Times New Roman" w:eastAsia="宋体" w:cs="Times New Roman"/>
                <w:kern w:val="0"/>
                <w:sz w:val="21"/>
                <w:szCs w:val="21"/>
                <w:lang w:val="en-US" w:eastAsia="zh-CN" w:bidi="zh-CN"/>
              </w:rPr>
              <w:t>93.8dB（A）</w:t>
            </w:r>
            <w:r>
              <w:rPr>
                <w:rFonts w:hint="default" w:ascii="Times New Roman" w:hAnsi="Times New Roman" w:eastAsia="宋体" w:cs="Times New Roman"/>
                <w:sz w:val="21"/>
                <w:szCs w:val="21"/>
                <w:highlight w:val="none"/>
              </w:rPr>
              <w:t xml:space="preserve">       测后校准：</w:t>
            </w:r>
            <w:r>
              <w:rPr>
                <w:rFonts w:hint="default" w:ascii="Times New Roman" w:hAnsi="Times New Roman" w:eastAsia="宋体" w:cs="Times New Roman"/>
                <w:kern w:val="0"/>
                <w:sz w:val="21"/>
                <w:szCs w:val="21"/>
                <w:lang w:val="en-US" w:eastAsia="zh-CN" w:bidi="zh-CN"/>
              </w:rPr>
              <w:t>93.8dB（A）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检测日期</w:t>
            </w:r>
          </w:p>
        </w:tc>
        <w:tc>
          <w:tcPr>
            <w:tcW w:w="0" w:type="auto"/>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检测时间</w:t>
            </w:r>
          </w:p>
        </w:tc>
        <w:tc>
          <w:tcPr>
            <w:tcW w:w="0" w:type="auto"/>
            <w:gridSpan w:val="4"/>
            <w:noWrap w:val="0"/>
            <w:vAlign w:val="center"/>
          </w:tcPr>
          <w:p>
            <w:pPr>
              <w:ind w:right="-187" w:rightChars="-89"/>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检测结果</w:t>
            </w:r>
            <w:r>
              <w:rPr>
                <w:rFonts w:hint="default" w:ascii="Times New Roman" w:hAnsi="Times New Roman" w:eastAsia="宋体" w:cs="Times New Roman"/>
                <w:kern w:val="0"/>
                <w:sz w:val="21"/>
                <w:szCs w:val="21"/>
                <w:lang w:val="en-US" w:eastAsia="zh-CN" w:bidi="zh-CN"/>
              </w:rPr>
              <w:t>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vMerge w:val="continue"/>
            <w:noWrap w:val="0"/>
            <w:vAlign w:val="center"/>
          </w:tcPr>
          <w:p>
            <w:pPr>
              <w:spacing w:line="528" w:lineRule="auto"/>
              <w:jc w:val="center"/>
              <w:rPr>
                <w:rFonts w:hint="default" w:ascii="Times New Roman" w:hAnsi="Times New Roman" w:eastAsia="宋体" w:cs="Times New Roman"/>
                <w:sz w:val="21"/>
                <w:szCs w:val="21"/>
              </w:rPr>
            </w:pPr>
          </w:p>
        </w:tc>
        <w:tc>
          <w:tcPr>
            <w:tcW w:w="0" w:type="auto"/>
            <w:vMerge w:val="continue"/>
            <w:noWrap w:val="0"/>
            <w:vAlign w:val="center"/>
          </w:tcPr>
          <w:p>
            <w:pPr>
              <w:spacing w:line="528" w:lineRule="auto"/>
              <w:jc w:val="center"/>
              <w:rPr>
                <w:rFonts w:hint="default" w:ascii="Times New Roman" w:hAnsi="Times New Roman" w:eastAsia="宋体" w:cs="Times New Roman"/>
                <w:sz w:val="21"/>
                <w:szCs w:val="21"/>
              </w:rPr>
            </w:pP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东厂界外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南厂界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西厂界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北厂界</w:t>
            </w:r>
            <w:r>
              <w:rPr>
                <w:rFonts w:hint="default" w:ascii="Times New Roman" w:hAnsi="Times New Roman" w:eastAsia="宋体" w:cs="Times New Roman"/>
                <w:sz w:val="21"/>
                <w:szCs w:val="21"/>
              </w:rPr>
              <w:t>外</w:t>
            </w:r>
            <w:r>
              <w:rPr>
                <w:rFonts w:hint="default" w:ascii="Times New Roman" w:hAnsi="Times New Roman" w:eastAsia="宋体" w:cs="Times New Roman"/>
                <w:kern w:val="0"/>
                <w:sz w:val="21"/>
                <w:szCs w:val="21"/>
                <w:lang w:val="en-US" w:eastAsia="zh-CN" w:bidi="zh-CN"/>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noWrap w:val="0"/>
            <w:vAlign w:val="center"/>
          </w:tcPr>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2024</w:t>
            </w:r>
            <w:r>
              <w:rPr>
                <w:rFonts w:hint="default" w:ascii="Times New Roman" w:hAnsi="Times New Roman" w:eastAsia="宋体" w:cs="Times New Roman"/>
                <w:bCs/>
                <w:sz w:val="21"/>
                <w:szCs w:val="21"/>
              </w:rPr>
              <w:t>年</w:t>
            </w:r>
          </w:p>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01</w:t>
            </w:r>
            <w:r>
              <w:rPr>
                <w:rFonts w:hint="default" w:ascii="Times New Roman" w:hAnsi="Times New Roman" w:eastAsia="宋体" w:cs="Times New Roman"/>
                <w:bCs/>
                <w:sz w:val="21"/>
                <w:szCs w:val="21"/>
              </w:rPr>
              <w:t>月</w:t>
            </w:r>
            <w:r>
              <w:rPr>
                <w:rFonts w:hint="default" w:ascii="Times New Roman" w:hAnsi="Times New Roman" w:eastAsia="宋体" w:cs="Times New Roman"/>
                <w:bCs/>
                <w:sz w:val="21"/>
                <w:szCs w:val="21"/>
                <w:lang w:val="en-US" w:eastAsia="zh-CN"/>
              </w:rPr>
              <w:t>29</w:t>
            </w:r>
            <w:r>
              <w:rPr>
                <w:rFonts w:hint="default" w:ascii="Times New Roman" w:hAnsi="Times New Roman" w:eastAsia="宋体" w:cs="Times New Roman"/>
                <w:bCs/>
                <w:sz w:val="21"/>
                <w:szCs w:val="21"/>
              </w:rPr>
              <w:t>日</w:t>
            </w:r>
          </w:p>
        </w:tc>
        <w:tc>
          <w:tcPr>
            <w:tcW w:w="0" w:type="auto"/>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 xml:space="preserve">夜间 </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45.1</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46.3</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46.4</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noWrap w:val="0"/>
            <w:vAlign w:val="center"/>
          </w:tcPr>
          <w:p>
            <w:pPr>
              <w:jc w:val="center"/>
              <w:rPr>
                <w:rFonts w:hint="default" w:ascii="Times New Roman" w:hAnsi="Times New Roman" w:eastAsia="宋体" w:cs="Times New Roman"/>
                <w:bCs/>
                <w:sz w:val="21"/>
                <w:szCs w:val="21"/>
              </w:rPr>
            </w:pPr>
            <w:r>
              <w:rPr>
                <w:rFonts w:hint="default" w:ascii="Times New Roman" w:hAnsi="Times New Roman" w:eastAsia="宋体" w:cs="Times New Roman"/>
                <w:kern w:val="0"/>
                <w:sz w:val="21"/>
                <w:szCs w:val="21"/>
                <w:lang w:val="en-US" w:eastAsia="zh-CN" w:bidi="zh-CN"/>
              </w:rPr>
              <w:t>2024</w:t>
            </w:r>
            <w:r>
              <w:rPr>
                <w:rFonts w:hint="default" w:ascii="Times New Roman" w:hAnsi="Times New Roman" w:eastAsia="宋体" w:cs="Times New Roman"/>
                <w:bCs/>
                <w:sz w:val="21"/>
                <w:szCs w:val="21"/>
              </w:rPr>
              <w:t>年</w:t>
            </w:r>
          </w:p>
          <w:p>
            <w:pPr>
              <w:jc w:val="center"/>
              <w:rPr>
                <w:rFonts w:hint="default" w:ascii="Times New Roman" w:hAnsi="Times New Roman" w:eastAsia="宋体" w:cs="Times New Roman"/>
                <w:kern w:val="0"/>
                <w:sz w:val="21"/>
                <w:szCs w:val="21"/>
                <w:lang w:val="en-US" w:eastAsia="zh-CN" w:bidi="zh-CN"/>
              </w:rPr>
            </w:pPr>
            <w:r>
              <w:rPr>
                <w:rFonts w:hint="default" w:ascii="Times New Roman" w:hAnsi="Times New Roman" w:eastAsia="宋体" w:cs="Times New Roman"/>
                <w:kern w:val="0"/>
                <w:sz w:val="21"/>
                <w:szCs w:val="21"/>
                <w:lang w:val="en-US" w:eastAsia="zh-CN" w:bidi="zh-CN"/>
              </w:rPr>
              <w:t>01</w:t>
            </w:r>
            <w:r>
              <w:rPr>
                <w:rFonts w:hint="default" w:ascii="Times New Roman" w:hAnsi="Times New Roman" w:eastAsia="宋体" w:cs="Times New Roman"/>
                <w:bCs/>
                <w:sz w:val="21"/>
                <w:szCs w:val="21"/>
              </w:rPr>
              <w:t>月</w:t>
            </w:r>
            <w:r>
              <w:rPr>
                <w:rFonts w:hint="default" w:ascii="Times New Roman" w:hAnsi="Times New Roman" w:eastAsia="宋体" w:cs="Times New Roman"/>
                <w:bCs/>
                <w:sz w:val="21"/>
                <w:szCs w:val="21"/>
                <w:lang w:val="en-US" w:eastAsia="zh-CN"/>
              </w:rPr>
              <w:t>30</w:t>
            </w:r>
            <w:r>
              <w:rPr>
                <w:rFonts w:hint="default" w:ascii="Times New Roman" w:hAnsi="Times New Roman" w:eastAsia="宋体" w:cs="Times New Roman"/>
                <w:bCs/>
                <w:sz w:val="21"/>
                <w:szCs w:val="21"/>
              </w:rPr>
              <w:t>日</w:t>
            </w:r>
          </w:p>
        </w:tc>
        <w:tc>
          <w:tcPr>
            <w:tcW w:w="0" w:type="auto"/>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夜间</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41.1</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43.5</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43.7</w:t>
            </w:r>
          </w:p>
        </w:tc>
        <w:tc>
          <w:tcPr>
            <w:tcW w:w="0" w:type="auto"/>
            <w:noWrap w:val="0"/>
            <w:vAlign w:val="center"/>
          </w:tcPr>
          <w:p>
            <w:pPr>
              <w:pStyle w:val="49"/>
              <w:autoSpaceDE w:val="0"/>
              <w:autoSpaceDN w:val="0"/>
              <w:spacing w:before="10" w:after="0" w:line="240" w:lineRule="auto"/>
              <w:ind w:left="241" w:right="181"/>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0" w:type="auto"/>
            <w:gridSpan w:val="2"/>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备注</w:t>
            </w:r>
          </w:p>
        </w:tc>
        <w:tc>
          <w:tcPr>
            <w:tcW w:w="0" w:type="auto"/>
            <w:gridSpan w:val="4"/>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bl>
    <w:p>
      <w:pPr>
        <w:autoSpaceDE w:val="0"/>
        <w:autoSpaceDN w:val="0"/>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根据现场监测期间监测结果：</w:t>
      </w:r>
      <w:bookmarkStart w:id="69" w:name="_Hlk74757876"/>
      <w:r>
        <w:rPr>
          <w:rFonts w:hint="default" w:ascii="Times New Roman" w:hAnsi="Times New Roman" w:eastAsia="宋体" w:cs="Times New Roman"/>
          <w:color w:val="000000"/>
          <w:sz w:val="24"/>
          <w:szCs w:val="28"/>
          <w:highlight w:val="none"/>
        </w:rPr>
        <w:t>厂界4个噪声监测点，昼间噪声值范围为</w:t>
      </w:r>
      <w:r>
        <w:rPr>
          <w:rFonts w:hint="default" w:ascii="Times New Roman" w:hAnsi="Times New Roman" w:eastAsia="宋体" w:cs="Times New Roman"/>
          <w:color w:val="000000"/>
          <w:sz w:val="24"/>
          <w:szCs w:val="28"/>
          <w:highlight w:val="none"/>
          <w:lang w:val="en-US" w:eastAsia="zh-CN"/>
        </w:rPr>
        <w:t>52.2</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color w:val="000000"/>
          <w:sz w:val="24"/>
          <w:szCs w:val="28"/>
          <w:highlight w:val="none"/>
          <w:lang w:val="en-US" w:eastAsia="zh-CN"/>
        </w:rPr>
        <w:t>59.3</w:t>
      </w:r>
      <w:r>
        <w:rPr>
          <w:rFonts w:hint="default" w:ascii="Times New Roman" w:hAnsi="Times New Roman" w:eastAsia="宋体" w:cs="Times New Roman"/>
          <w:color w:val="000000"/>
          <w:sz w:val="24"/>
          <w:szCs w:val="28"/>
          <w:highlight w:val="none"/>
        </w:rPr>
        <w:t>dB(A)，夜间噪声值范围为</w:t>
      </w:r>
      <w:r>
        <w:rPr>
          <w:rFonts w:hint="default" w:ascii="Times New Roman" w:hAnsi="Times New Roman" w:eastAsia="宋体" w:cs="Times New Roman"/>
          <w:color w:val="000000"/>
          <w:sz w:val="24"/>
          <w:szCs w:val="28"/>
          <w:highlight w:val="none"/>
          <w:lang w:val="en-US" w:eastAsia="zh-CN"/>
        </w:rPr>
        <w:t>41.1</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color w:val="000000"/>
          <w:sz w:val="24"/>
          <w:szCs w:val="28"/>
          <w:highlight w:val="none"/>
          <w:lang w:val="en-US" w:eastAsia="zh-CN"/>
        </w:rPr>
        <w:t>46.4</w:t>
      </w:r>
      <w:r>
        <w:rPr>
          <w:rFonts w:hint="default" w:ascii="Times New Roman" w:hAnsi="Times New Roman" w:eastAsia="宋体" w:cs="Times New Roman"/>
          <w:color w:val="000000"/>
          <w:sz w:val="24"/>
          <w:szCs w:val="28"/>
          <w:highlight w:val="none"/>
        </w:rPr>
        <w:t>dB(A)</w:t>
      </w:r>
      <w:r>
        <w:rPr>
          <w:rFonts w:hint="default" w:ascii="Times New Roman" w:hAnsi="Times New Roman" w:eastAsia="宋体" w:cs="Times New Roman"/>
          <w:color w:val="000000"/>
          <w:sz w:val="24"/>
          <w:szCs w:val="28"/>
        </w:rPr>
        <w:t>检测结果达到《</w:t>
      </w:r>
      <w:r>
        <w:rPr>
          <w:rFonts w:hint="default" w:ascii="Times New Roman" w:hAnsi="Times New Roman" w:eastAsia="宋体" w:cs="Times New Roman"/>
          <w:color w:val="000000"/>
          <w:sz w:val="24"/>
          <w:szCs w:val="28"/>
          <w:lang w:val="en-US" w:eastAsia="zh-CN"/>
        </w:rPr>
        <w:t>社会生活</w:t>
      </w:r>
      <w:r>
        <w:rPr>
          <w:rFonts w:hint="default" w:ascii="Times New Roman" w:hAnsi="Times New Roman" w:eastAsia="宋体" w:cs="Times New Roman"/>
          <w:color w:val="000000"/>
          <w:sz w:val="24"/>
          <w:szCs w:val="28"/>
        </w:rPr>
        <w:t>环境噪声排放标准》(GB</w:t>
      </w:r>
      <w:r>
        <w:rPr>
          <w:rFonts w:hint="default" w:ascii="Times New Roman" w:hAnsi="Times New Roman" w:eastAsia="宋体" w:cs="Times New Roman"/>
          <w:color w:val="000000"/>
          <w:sz w:val="24"/>
          <w:szCs w:val="28"/>
          <w:lang w:val="en-US" w:eastAsia="zh-CN"/>
        </w:rPr>
        <w:t>22337</w:t>
      </w:r>
      <w:r>
        <w:rPr>
          <w:rFonts w:hint="default" w:ascii="Times New Roman" w:hAnsi="Times New Roman" w:eastAsia="宋体" w:cs="Times New Roman"/>
          <w:color w:val="000000"/>
          <w:sz w:val="24"/>
          <w:szCs w:val="28"/>
        </w:rPr>
        <w:t>-2008)中</w:t>
      </w:r>
      <w:r>
        <w:rPr>
          <w:rFonts w:hint="default"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rPr>
        <w:t>类标准限值要求。</w:t>
      </w:r>
    </w:p>
    <w:p>
      <w:pPr>
        <w:pStyle w:val="47"/>
        <w:spacing w:line="360" w:lineRule="auto"/>
        <w:ind w:firstLine="0" w:firstLineChars="0"/>
        <w:jc w:val="left"/>
        <w:rPr>
          <w:rFonts w:hint="default" w:ascii="Times New Roman" w:hAnsi="Times New Roman" w:eastAsia="宋体" w:cs="Times New Roman"/>
          <w:b/>
          <w:sz w:val="24"/>
          <w:szCs w:val="32"/>
          <w:lang w:val="en-US" w:eastAsia="zh-CN"/>
        </w:rPr>
      </w:pPr>
      <w:r>
        <w:rPr>
          <w:rFonts w:hint="default" w:ascii="Times New Roman" w:hAnsi="Times New Roman" w:eastAsia="宋体" w:cs="Times New Roman"/>
          <w:b/>
          <w:sz w:val="24"/>
          <w:szCs w:val="32"/>
        </w:rPr>
        <w:t>9.2.1.</w:t>
      </w:r>
      <w:r>
        <w:rPr>
          <w:rFonts w:hint="default" w:ascii="Times New Roman" w:hAnsi="Times New Roman" w:eastAsia="宋体" w:cs="Times New Roman"/>
          <w:b/>
          <w:sz w:val="24"/>
          <w:szCs w:val="32"/>
          <w:lang w:val="en-US" w:eastAsia="zh-CN"/>
        </w:rPr>
        <w:t>4地下水</w:t>
      </w:r>
    </w:p>
    <w:p>
      <w:pPr>
        <w:pStyle w:val="47"/>
        <w:spacing w:line="360" w:lineRule="auto"/>
        <w:ind w:firstLine="0" w:firstLineChars="0"/>
        <w:jc w:val="left"/>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b w:val="0"/>
          <w:bCs/>
          <w:sz w:val="24"/>
          <w:szCs w:val="32"/>
          <w:lang w:val="en-US" w:eastAsia="zh-CN"/>
        </w:rPr>
        <w:t>本项目</w:t>
      </w:r>
      <w:r>
        <w:rPr>
          <w:rFonts w:hint="default" w:ascii="Times New Roman" w:hAnsi="Times New Roman" w:eastAsia="宋体" w:cs="Times New Roman"/>
          <w:color w:val="000000"/>
          <w:sz w:val="24"/>
          <w:szCs w:val="28"/>
          <w:highlight w:val="none"/>
          <w:lang w:val="en-US" w:eastAsia="zh-CN"/>
        </w:rPr>
        <w:t>2024年01月02日、2024年01月03日检测</w:t>
      </w:r>
      <w:r>
        <w:rPr>
          <w:rFonts w:hint="default" w:ascii="Times New Roman" w:hAnsi="Times New Roman" w:eastAsia="宋体" w:cs="Times New Roman"/>
          <w:color w:val="000000"/>
          <w:sz w:val="24"/>
          <w:szCs w:val="28"/>
          <w:lang w:val="en-US" w:eastAsia="zh-CN"/>
        </w:rPr>
        <w:t>2天，每天各检测2次。检测结果见下表。</w:t>
      </w:r>
    </w:p>
    <w:p>
      <w:pPr>
        <w:pStyle w:val="47"/>
        <w:spacing w:line="240" w:lineRule="auto"/>
        <w:ind w:firstLine="0" w:firstLineChars="0"/>
        <w:jc w:val="center"/>
        <w:rPr>
          <w:rFonts w:hint="default" w:ascii="Times New Roman" w:hAnsi="Times New Roman" w:eastAsia="宋体" w:cs="Times New Roman"/>
          <w:b/>
          <w:bCs/>
          <w:color w:val="000000"/>
          <w:sz w:val="24"/>
          <w:szCs w:val="28"/>
          <w:lang w:val="en-US" w:eastAsia="zh-CN"/>
        </w:rPr>
      </w:pPr>
      <w:r>
        <w:rPr>
          <w:rFonts w:hint="default" w:ascii="Times New Roman" w:hAnsi="Times New Roman" w:eastAsia="宋体" w:cs="Times New Roman"/>
          <w:b/>
          <w:bCs/>
          <w:color w:val="000000"/>
          <w:sz w:val="24"/>
          <w:szCs w:val="28"/>
          <w:lang w:val="en-US" w:eastAsia="zh-CN"/>
        </w:rPr>
        <w:t>表9-5地下水检测结果</w:t>
      </w:r>
    </w:p>
    <w:tbl>
      <w:tblPr>
        <w:tblStyle w:val="24"/>
        <w:tblpPr w:leftFromText="180" w:rightFromText="180" w:vertAnchor="text" w:horzAnchor="margin" w:tblpXSpec="center" w:tblpY="5"/>
        <w:tblW w:w="51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734"/>
        <w:gridCol w:w="1372"/>
        <w:gridCol w:w="1294"/>
        <w:gridCol w:w="1313"/>
        <w:gridCol w:w="1270"/>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266" w:type="pct"/>
            <w:gridSpan w:val="2"/>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采样点位</w:t>
            </w:r>
          </w:p>
        </w:tc>
        <w:tc>
          <w:tcPr>
            <w:tcW w:w="78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地下水监测井</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地下水监测井</w:t>
            </w:r>
          </w:p>
        </w:tc>
        <w:tc>
          <w:tcPr>
            <w:tcW w:w="749"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地下水监测井</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地下水监测井</w:t>
            </w:r>
          </w:p>
        </w:tc>
        <w:tc>
          <w:tcPr>
            <w:tcW w:w="737" w:type="pct"/>
            <w:vMerge w:val="restar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266" w:type="pct"/>
            <w:gridSpan w:val="2"/>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样品编号</w:t>
            </w:r>
          </w:p>
        </w:tc>
        <w:tc>
          <w:tcPr>
            <w:tcW w:w="78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DX20240102001</w:t>
            </w:r>
          </w:p>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（11:36）</w:t>
            </w:r>
          </w:p>
        </w:tc>
        <w:tc>
          <w:tcPr>
            <w:tcW w:w="73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DX20240102002</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（13:12）</w:t>
            </w:r>
          </w:p>
        </w:tc>
        <w:tc>
          <w:tcPr>
            <w:tcW w:w="749"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DX20240103001</w:t>
            </w:r>
          </w:p>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（9:58）</w:t>
            </w:r>
          </w:p>
        </w:tc>
        <w:tc>
          <w:tcPr>
            <w:tcW w:w="72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DX20240103002</w:t>
            </w:r>
          </w:p>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（12:20）</w:t>
            </w:r>
          </w:p>
        </w:tc>
        <w:tc>
          <w:tcPr>
            <w:tcW w:w="737" w:type="pct"/>
            <w:vMerge w:val="continue"/>
            <w:noWrap w:val="0"/>
            <w:vAlign w:val="center"/>
          </w:tcPr>
          <w:p>
            <w:pPr>
              <w:jc w:val="center"/>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276"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序号</w:t>
            </w:r>
          </w:p>
        </w:tc>
        <w:tc>
          <w:tcPr>
            <w:tcW w:w="989"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检验项目</w:t>
            </w:r>
          </w:p>
        </w:tc>
        <w:tc>
          <w:tcPr>
            <w:tcW w:w="2995" w:type="pct"/>
            <w:gridSpan w:val="4"/>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检验结果</w:t>
            </w:r>
          </w:p>
        </w:tc>
        <w:tc>
          <w:tcPr>
            <w:tcW w:w="737" w:type="pct"/>
            <w:vMerge w:val="continue"/>
            <w:noWrap w:val="0"/>
            <w:vAlign w:val="center"/>
          </w:tcPr>
          <w:p>
            <w:pPr>
              <w:jc w:val="center"/>
              <w:rPr>
                <w:rFonts w:hint="default" w:ascii="Times New Roman" w:hAnsi="Times New Roman" w:eastAsia="宋体" w:cs="Times New Roman"/>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0"/>
                <w:sz w:val="21"/>
                <w:szCs w:val="21"/>
                <w:highlight w:val="none"/>
                <w:lang w:bidi="ar"/>
              </w:rPr>
              <w:t>pH</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7.3</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7.5</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6.5≤pH≥8.5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highlight w:val="none"/>
              </w:rPr>
              <w:t>总硬度</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540</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521</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586</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565</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highlight w:val="none"/>
              </w:rPr>
              <w:t>硫酸</w:t>
            </w:r>
            <w:r>
              <w:rPr>
                <w:rFonts w:hint="default" w:ascii="Times New Roman" w:hAnsi="Times New Roman" w:eastAsia="宋体" w:cs="Times New Roman"/>
                <w:sz w:val="21"/>
                <w:szCs w:val="21"/>
                <w:highlight w:val="none"/>
                <w:lang w:eastAsia="zh-CN"/>
              </w:rPr>
              <w:t>盐，</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303</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317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331</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326</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硝酸盐</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4.57</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4.18</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3.95</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4.26</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亚硝酸盐</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0.028</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0.044</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0.035</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0.039</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989" w:type="pct"/>
            <w:noWrap w:val="0"/>
            <w:vAlign w:val="center"/>
          </w:tcPr>
          <w:p>
            <w:pPr>
              <w:widowControl/>
              <w:jc w:val="center"/>
              <w:textAlignment w:val="bottom"/>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浑浊度，NTU</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氨氮</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0.14</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0.11</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0.18</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0.11</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氟化物</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1.10 </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1.18</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1.22</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1.09</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氰化物</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阴离子表面活性剂</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tc>
        <w:tc>
          <w:tcPr>
            <w:tcW w:w="989"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val="en-US" w:eastAsia="zh-CN" w:bidi="ar"/>
              </w:rPr>
              <w:t>溶解性总固体</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1596</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1607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1545</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1568</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989"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kern w:val="0"/>
                <w:sz w:val="21"/>
                <w:szCs w:val="21"/>
                <w:highlight w:val="none"/>
                <w:lang w:val="en-US" w:eastAsia="zh-CN" w:bidi="ar"/>
              </w:rPr>
              <w:t>臭和味</w:t>
            </w:r>
          </w:p>
        </w:tc>
        <w:tc>
          <w:tcPr>
            <w:tcW w:w="783" w:type="pct"/>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highlight w:val="none"/>
                <w:lang w:val="en-US" w:eastAsia="zh-CN" w:bidi="ar-SA"/>
              </w:rPr>
              <w:t>无</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highlight w:val="none"/>
                <w:lang w:val="en-US" w:eastAsia="zh-CN" w:bidi="ar-SA"/>
              </w:rPr>
              <w:t>无</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highlight w:val="none"/>
                <w:lang w:val="en-US" w:eastAsia="zh-CN" w:bidi="ar-SA"/>
              </w:rPr>
              <w:t>无</w:t>
            </w:r>
          </w:p>
        </w:tc>
        <w:tc>
          <w:tcPr>
            <w:tcW w:w="7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肉眼可见物</w:t>
            </w:r>
          </w:p>
        </w:tc>
        <w:tc>
          <w:tcPr>
            <w:tcW w:w="783" w:type="pct"/>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highlight w:val="none"/>
                <w:lang w:val="en-US" w:eastAsia="zh-CN" w:bidi="ar-SA"/>
              </w:rPr>
              <w:t>无</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c>
          <w:tcPr>
            <w:tcW w:w="737"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砷</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汞</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铅</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铁</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锰</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挥发酚</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bidi="ar"/>
              </w:rPr>
              <w:t>色度</w:t>
            </w:r>
            <w:r>
              <w:rPr>
                <w:rFonts w:hint="default" w:ascii="Times New Roman" w:hAnsi="Times New Roman" w:eastAsia="宋体" w:cs="Times New Roman"/>
                <w:kern w:val="0"/>
                <w:sz w:val="21"/>
                <w:szCs w:val="21"/>
                <w:highlight w:val="none"/>
                <w:lang w:eastAsia="zh-CN" w:bidi="ar"/>
              </w:rPr>
              <w:t>，</w:t>
            </w:r>
            <w:r>
              <w:rPr>
                <w:rFonts w:hint="default" w:ascii="Times New Roman" w:hAnsi="Times New Roman" w:eastAsia="宋体" w:cs="Times New Roman"/>
                <w:kern w:val="0"/>
                <w:sz w:val="21"/>
                <w:szCs w:val="21"/>
                <w:highlight w:val="none"/>
                <w:lang w:val="en-US" w:eastAsia="zh-CN" w:bidi="ar"/>
              </w:rPr>
              <w:t>度</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＜5</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＜5</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＜5</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铜</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锌</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i w:val="0"/>
                <w:iCs w:val="0"/>
                <w:sz w:val="21"/>
                <w:szCs w:val="21"/>
                <w:highlight w:val="none"/>
                <w:lang w:val="en-US" w:eastAsia="zh-CN"/>
              </w:rPr>
              <w:t>铬（六价）</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耗氧量</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1.28</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1.49</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1.27</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1.56</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氯化物</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172</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189</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204</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191</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铝</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28</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钠</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272</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284</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283</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29</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
              </w:rPr>
              <w:t>碘化物</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kern w:val="0"/>
                <w:sz w:val="21"/>
                <w:szCs w:val="21"/>
                <w:highlight w:val="none"/>
                <w:lang w:bidi="ar"/>
              </w:rPr>
              <w:t>硒</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31</w:t>
            </w:r>
          </w:p>
        </w:tc>
        <w:tc>
          <w:tcPr>
            <w:tcW w:w="989"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三氯甲烷</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w:t>
            </w:r>
          </w:p>
        </w:tc>
        <w:tc>
          <w:tcPr>
            <w:tcW w:w="989" w:type="pct"/>
            <w:noWrap w:val="0"/>
            <w:vAlign w:val="center"/>
          </w:tcPr>
          <w:p>
            <w:pPr>
              <w:jc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四氯化碳</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溶解氧</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8.17 </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8.51 </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8.29 </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8.29 </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化学需氧量（CODcr）</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76"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35</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*总有机碳</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7.6</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乙苯</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苯</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38</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甲苯</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邻二甲苯</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间，对-二甲苯</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41</w:t>
            </w:r>
          </w:p>
        </w:tc>
        <w:tc>
          <w:tcPr>
            <w:tcW w:w="989" w:type="pct"/>
            <w:noWrap w:val="0"/>
            <w:vAlign w:val="center"/>
          </w:tcPr>
          <w:p>
            <w:pPr>
              <w:jc w:val="center"/>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kern w:val="2"/>
                <w:sz w:val="21"/>
                <w:szCs w:val="21"/>
                <w:highlight w:val="none"/>
                <w:lang w:val="en-US" w:eastAsia="zh-CN" w:bidi="ar-SA"/>
              </w:rPr>
              <w:t>悬浮物</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42</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43</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碳酸氢根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683</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657</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676</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683</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44</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石油烃（C6-C9）</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石油烃（C10-C40）</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钾</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2.33</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2.29</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3.04</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3.03</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47</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钙</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203</w:t>
            </w:r>
          </w:p>
        </w:tc>
        <w:tc>
          <w:tcPr>
            <w:tcW w:w="73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208</w:t>
            </w:r>
          </w:p>
        </w:tc>
        <w:tc>
          <w:tcPr>
            <w:tcW w:w="749"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219</w:t>
            </w:r>
          </w:p>
        </w:tc>
        <w:tc>
          <w:tcPr>
            <w:tcW w:w="72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220</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镁</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mg/L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151</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151</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178</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175</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49</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萘</w:t>
            </w:r>
            <w:r>
              <w:rPr>
                <w:rFonts w:hint="default" w:ascii="Times New Roman" w:hAnsi="Times New Roman" w:eastAsia="宋体" w:cs="Times New Roman"/>
                <w:sz w:val="21"/>
                <w:szCs w:val="21"/>
                <w:highlight w:val="none"/>
                <w:lang w:eastAsia="zh-CN"/>
              </w:rPr>
              <w:t>，μ</w:t>
            </w:r>
            <w:r>
              <w:rPr>
                <w:rFonts w:hint="default" w:ascii="Times New Roman" w:hAnsi="Times New Roman" w:eastAsia="宋体" w:cs="Times New Roman"/>
                <w:sz w:val="21"/>
                <w:szCs w:val="21"/>
                <w:highlight w:val="none"/>
                <w:lang w:val="en-US" w:eastAsia="zh-CN"/>
              </w:rPr>
              <w:t>g/L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w:t>
            </w:r>
          </w:p>
        </w:tc>
        <w:tc>
          <w:tcPr>
            <w:tcW w:w="989" w:type="pc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总大肠菌群，MPN/100mL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76"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51</w:t>
            </w:r>
          </w:p>
        </w:tc>
        <w:tc>
          <w:tcPr>
            <w:tcW w:w="989"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菌落总数，CFU/mL</w:t>
            </w:r>
          </w:p>
        </w:tc>
        <w:tc>
          <w:tcPr>
            <w:tcW w:w="783"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38</w:t>
            </w:r>
          </w:p>
        </w:tc>
        <w:tc>
          <w:tcPr>
            <w:tcW w:w="73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w:t>
            </w:r>
          </w:p>
        </w:tc>
        <w:tc>
          <w:tcPr>
            <w:tcW w:w="749"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38</w:t>
            </w:r>
          </w:p>
        </w:tc>
        <w:tc>
          <w:tcPr>
            <w:tcW w:w="724"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w:t>
            </w:r>
          </w:p>
        </w:tc>
        <w:tc>
          <w:tcPr>
            <w:tcW w:w="737"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w:t>
            </w:r>
          </w:p>
        </w:tc>
      </w:tr>
      <w:bookmarkEnd w:id="69"/>
    </w:tbl>
    <w:p>
      <w:pPr>
        <w:pStyle w:val="47"/>
        <w:spacing w:line="360" w:lineRule="auto"/>
        <w:ind w:firstLine="0" w:firstLineChars="0"/>
        <w:jc w:val="left"/>
        <w:rPr>
          <w:rFonts w:hint="default" w:ascii="Times New Roman" w:hAnsi="Times New Roman" w:eastAsia="宋体" w:cs="Times New Roman"/>
          <w:b/>
          <w:sz w:val="24"/>
          <w:szCs w:val="32"/>
          <w:lang w:val="en-US" w:eastAsia="zh-CN"/>
        </w:rPr>
      </w:pPr>
      <w:r>
        <w:rPr>
          <w:rFonts w:hint="default" w:ascii="Times New Roman" w:hAnsi="Times New Roman" w:eastAsia="宋体" w:cs="Times New Roman"/>
          <w:b/>
          <w:sz w:val="24"/>
          <w:szCs w:val="32"/>
          <w:lang w:val="en-US" w:eastAsia="zh-CN"/>
        </w:rPr>
        <w:t xml:space="preserve">   </w:t>
      </w:r>
      <w:r>
        <w:rPr>
          <w:rFonts w:hint="default" w:ascii="Times New Roman" w:hAnsi="Times New Roman" w:eastAsia="宋体" w:cs="Times New Roman"/>
          <w:b w:val="0"/>
          <w:bCs/>
          <w:sz w:val="24"/>
          <w:szCs w:val="32"/>
          <w:lang w:val="en-US" w:eastAsia="zh-CN"/>
        </w:rPr>
        <w:t>根据监测结果地下水水质中部分指标总硬度、硫酸盐、氟化物、溶解性总固体无法满足地下水质量标准（GBT14848-2017）Ⅲ类标准限值要求，主要原因为当地水质的问题。</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w:t>
      </w:r>
      <w:r>
        <w:rPr>
          <w:rFonts w:hint="default" w:ascii="Times New Roman" w:hAnsi="Times New Roman" w:eastAsia="宋体" w:cs="Times New Roman"/>
          <w:b/>
          <w:sz w:val="24"/>
          <w:szCs w:val="32"/>
          <w:lang w:val="en-US" w:eastAsia="zh-CN"/>
        </w:rPr>
        <w:t>5</w:t>
      </w:r>
      <w:r>
        <w:rPr>
          <w:rFonts w:hint="default" w:ascii="Times New Roman" w:hAnsi="Times New Roman" w:eastAsia="宋体" w:cs="Times New Roman"/>
          <w:b/>
          <w:sz w:val="24"/>
          <w:szCs w:val="32"/>
        </w:rPr>
        <w:t>固（液）体废物</w:t>
      </w:r>
    </w:p>
    <w:p>
      <w:pPr>
        <w:pStyle w:val="47"/>
        <w:spacing w:line="360" w:lineRule="auto"/>
        <w:ind w:firstLine="480" w:firstLineChars="200"/>
        <w:jc w:val="left"/>
        <w:rPr>
          <w:rFonts w:hint="default" w:ascii="Times New Roman" w:hAnsi="Times New Roman" w:eastAsia="宋体" w:cs="Times New Roman"/>
          <w:b w:val="0"/>
          <w:bCs/>
          <w:sz w:val="24"/>
          <w:szCs w:val="32"/>
          <w:lang w:val="en-US" w:eastAsia="zh-CN"/>
        </w:rPr>
      </w:pPr>
      <w:r>
        <w:rPr>
          <w:rFonts w:hint="default" w:ascii="Times New Roman" w:hAnsi="Times New Roman" w:eastAsia="宋体" w:cs="Times New Roman"/>
          <w:color w:val="000000"/>
          <w:sz w:val="24"/>
          <w:szCs w:val="28"/>
        </w:rPr>
        <w:t>该项目不涉及固（液）体废物监测项目</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b w:val="0"/>
          <w:bCs/>
          <w:sz w:val="24"/>
          <w:szCs w:val="32"/>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9.2.2环保设施去除效率监测结果</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9.2.2.1废水治理设施</w:t>
      </w:r>
    </w:p>
    <w:p>
      <w:pPr>
        <w:pStyle w:val="3"/>
        <w:spacing w:after="0" w:line="360" w:lineRule="auto"/>
        <w:ind w:left="0"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color w:val="000000"/>
          <w:sz w:val="24"/>
          <w:szCs w:val="20"/>
        </w:rPr>
        <w:t>本项目产生的生活污水经化粪池预处理后</w:t>
      </w:r>
      <w:r>
        <w:rPr>
          <w:rFonts w:hint="default" w:ascii="Times New Roman" w:hAnsi="Times New Roman" w:eastAsia="宋体" w:cs="Times New Roman"/>
          <w:color w:val="000000"/>
          <w:sz w:val="24"/>
          <w:szCs w:val="20"/>
          <w:lang w:val="en-US" w:eastAsia="zh-CN"/>
        </w:rPr>
        <w:t>由环保部门定期清运</w:t>
      </w:r>
      <w:r>
        <w:rPr>
          <w:rFonts w:hint="default" w:ascii="Times New Roman" w:hAnsi="Times New Roman" w:eastAsia="宋体" w:cs="Times New Roman"/>
          <w:color w:val="000000"/>
          <w:sz w:val="24"/>
          <w:szCs w:val="20"/>
        </w:rPr>
        <w:t>；</w:t>
      </w:r>
      <w:r>
        <w:rPr>
          <w:rFonts w:hint="default" w:ascii="Times New Roman" w:hAnsi="Times New Roman" w:eastAsia="宋体" w:cs="Times New Roman"/>
          <w:color w:val="000000"/>
          <w:sz w:val="24"/>
          <w:szCs w:val="20"/>
          <w:lang w:val="en-US" w:eastAsia="zh-CN"/>
        </w:rPr>
        <w:t>地面清洗废水</w:t>
      </w:r>
      <w:r>
        <w:rPr>
          <w:rFonts w:hint="default" w:ascii="Times New Roman" w:hAnsi="Times New Roman" w:eastAsia="宋体" w:cs="Times New Roman"/>
          <w:color w:val="000000"/>
          <w:sz w:val="24"/>
          <w:szCs w:val="20"/>
        </w:rPr>
        <w:t>经</w:t>
      </w:r>
      <w:r>
        <w:rPr>
          <w:rFonts w:hint="default" w:ascii="Times New Roman" w:hAnsi="Times New Roman" w:eastAsia="宋体" w:cs="Times New Roman"/>
          <w:color w:val="000000"/>
          <w:sz w:val="24"/>
          <w:szCs w:val="20"/>
          <w:lang w:val="en-US" w:eastAsia="zh-CN"/>
        </w:rPr>
        <w:t>经隔油池预</w:t>
      </w:r>
      <w:r>
        <w:rPr>
          <w:rFonts w:hint="default" w:ascii="Times New Roman" w:hAnsi="Times New Roman" w:eastAsia="宋体" w:cs="Times New Roman"/>
          <w:color w:val="000000"/>
          <w:sz w:val="24"/>
          <w:szCs w:val="20"/>
        </w:rPr>
        <w:t>处理后</w:t>
      </w:r>
      <w:r>
        <w:rPr>
          <w:rFonts w:hint="default" w:ascii="Times New Roman" w:hAnsi="Times New Roman" w:eastAsia="宋体" w:cs="Times New Roman"/>
          <w:color w:val="000000"/>
          <w:sz w:val="24"/>
          <w:szCs w:val="20"/>
          <w:lang w:val="en-US" w:eastAsia="zh-CN"/>
        </w:rPr>
        <w:t>循环使用</w:t>
      </w:r>
      <w:r>
        <w:rPr>
          <w:rFonts w:hint="default" w:ascii="Times New Roman" w:hAnsi="Times New Roman" w:eastAsia="宋体" w:cs="Times New Roman"/>
          <w:color w:val="000000"/>
          <w:sz w:val="24"/>
          <w:szCs w:val="20"/>
        </w:rPr>
        <w:t>，不外排</w:t>
      </w:r>
      <w:r>
        <w:rPr>
          <w:rFonts w:hint="default" w:ascii="Times New Roman" w:hAnsi="Times New Roman" w:eastAsia="宋体" w:cs="Times New Roman"/>
          <w:color w:val="000000"/>
          <w:sz w:val="24"/>
          <w:szCs w:val="20"/>
          <w:lang w:val="en-US" w:eastAsia="zh-CN"/>
        </w:rPr>
        <w:t>。</w:t>
      </w:r>
      <w:r>
        <w:rPr>
          <w:rFonts w:hint="default" w:ascii="Times New Roman" w:hAnsi="Times New Roman" w:eastAsia="宋体" w:cs="Times New Roman"/>
          <w:color w:val="000000"/>
          <w:sz w:val="24"/>
          <w:szCs w:val="20"/>
        </w:rPr>
        <w:t>另外，项目厂区化粪池进行了防渗漏处理，防止生活污水渗入地下而影响到本区域地下水环境</w:t>
      </w:r>
      <w:r>
        <w:rPr>
          <w:rFonts w:hint="default" w:ascii="Times New Roman" w:hAnsi="Times New Roman" w:eastAsia="宋体" w:cs="Times New Roman"/>
          <w:sz w:val="24"/>
          <w:szCs w:val="28"/>
        </w:rPr>
        <w:t>。污水处理措施有效可行、经济实用。</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9.2.2.2废气治理设施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color w:val="000000"/>
          <w:sz w:val="24"/>
          <w:szCs w:val="20"/>
        </w:rPr>
        <w:t>本项目</w:t>
      </w:r>
      <w:r>
        <w:rPr>
          <w:rFonts w:hint="default" w:ascii="Times New Roman" w:hAnsi="Times New Roman" w:eastAsia="宋体" w:cs="Times New Roman"/>
          <w:color w:val="000000"/>
          <w:sz w:val="24"/>
          <w:szCs w:val="20"/>
          <w:lang w:val="en-US" w:eastAsia="zh-CN"/>
        </w:rPr>
        <w:t>采取密闭卸油方式，卸油油气由罐车自带油气回收处理系统（</w:t>
      </w:r>
      <w:r>
        <w:rPr>
          <w:rFonts w:hint="default" w:ascii="Times New Roman" w:hAnsi="Times New Roman" w:eastAsia="宋体" w:cs="Times New Roman"/>
          <w:color w:val="000000"/>
          <w:sz w:val="24"/>
          <w:szCs w:val="20"/>
        </w:rPr>
        <w:t>一次</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lang w:val="en-US" w:eastAsia="zh-CN"/>
        </w:rPr>
        <w:t>）回收至油罐车；</w:t>
      </w:r>
      <w:r>
        <w:rPr>
          <w:rFonts w:hint="default" w:ascii="Times New Roman" w:hAnsi="Times New Roman" w:eastAsia="宋体" w:cs="Times New Roman"/>
          <w:color w:val="000000"/>
          <w:sz w:val="24"/>
          <w:szCs w:val="20"/>
        </w:rPr>
        <w:t>加油</w:t>
      </w:r>
      <w:r>
        <w:rPr>
          <w:rFonts w:hint="default" w:ascii="Times New Roman" w:hAnsi="Times New Roman" w:eastAsia="宋体" w:cs="Times New Roman"/>
          <w:color w:val="000000"/>
          <w:sz w:val="24"/>
          <w:szCs w:val="20"/>
          <w:lang w:val="en-US" w:eastAsia="zh-CN"/>
        </w:rPr>
        <w:t>过程中设置</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rPr>
        <w:t>（即</w:t>
      </w:r>
      <w:r>
        <w:rPr>
          <w:rFonts w:hint="default" w:ascii="Times New Roman" w:hAnsi="Times New Roman" w:eastAsia="宋体" w:cs="Times New Roman"/>
          <w:color w:val="000000"/>
          <w:sz w:val="24"/>
          <w:szCs w:val="20"/>
          <w:lang w:val="en-US" w:eastAsia="zh-CN"/>
        </w:rPr>
        <w:t>二次</w:t>
      </w:r>
      <w:r>
        <w:rPr>
          <w:rFonts w:hint="default" w:ascii="Times New Roman" w:hAnsi="Times New Roman" w:eastAsia="宋体" w:cs="Times New Roman"/>
          <w:color w:val="000000"/>
          <w:sz w:val="24"/>
          <w:szCs w:val="20"/>
          <w:lang w:eastAsia="zh-CN"/>
        </w:rPr>
        <w:t>油气回收处理系统</w:t>
      </w:r>
      <w:r>
        <w:rPr>
          <w:rFonts w:hint="default" w:ascii="Times New Roman" w:hAnsi="Times New Roman" w:eastAsia="宋体" w:cs="Times New Roman"/>
          <w:color w:val="000000"/>
          <w:sz w:val="24"/>
          <w:szCs w:val="20"/>
        </w:rPr>
        <w:t>）、</w:t>
      </w:r>
      <w:r>
        <w:rPr>
          <w:rFonts w:hint="default" w:ascii="Times New Roman" w:hAnsi="Times New Roman" w:eastAsia="宋体" w:cs="Times New Roman"/>
          <w:color w:val="000000"/>
          <w:sz w:val="24"/>
          <w:szCs w:val="20"/>
          <w:lang w:val="en-US" w:eastAsia="zh-CN"/>
        </w:rPr>
        <w:t>加油作业中产生的油气通过地下油气回收管线收集到地下储罐内；油罐呼吸油气通过油气处理装置（三次油气回收处理系统），采用冷凝+吸附工艺处理后通过距地平面4m的排气口排放，</w:t>
      </w:r>
      <w:r>
        <w:rPr>
          <w:rFonts w:hint="default" w:ascii="Times New Roman" w:hAnsi="Times New Roman" w:eastAsia="宋体" w:cs="Times New Roman"/>
          <w:sz w:val="24"/>
          <w:szCs w:val="28"/>
        </w:rPr>
        <w:t>废气处理措施有效可行、经济实用。</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9.2.2.3厂界噪声治理设施</w:t>
      </w:r>
    </w:p>
    <w:p>
      <w:pPr>
        <w:pStyle w:val="3"/>
        <w:spacing w:after="0" w:line="360" w:lineRule="auto"/>
        <w:ind w:left="0"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该项目的噪声源治理采取集中布置、基础减振、建筑物隔音和加强管理等措施，这些降噪措施在技术上是成熟的，在经济上是合理的。</w:t>
      </w:r>
    </w:p>
    <w:p>
      <w:pPr>
        <w:pStyle w:val="47"/>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9.2.2.4固体废物治理设施</w:t>
      </w:r>
    </w:p>
    <w:p>
      <w:pPr>
        <w:pStyle w:val="47"/>
        <w:spacing w:line="360" w:lineRule="auto"/>
        <w:ind w:firstLine="480" w:firstLineChars="200"/>
        <w:jc w:val="left"/>
        <w:rPr>
          <w:rFonts w:hint="default" w:ascii="Times New Roman" w:hAnsi="Times New Roman" w:eastAsia="宋体" w:cs="Times New Roman"/>
          <w:sz w:val="24"/>
          <w:szCs w:val="24"/>
        </w:rPr>
      </w:pPr>
      <w:bookmarkStart w:id="70" w:name="_Hlk46997474"/>
      <w:r>
        <w:rPr>
          <w:rFonts w:hint="default" w:ascii="Times New Roman" w:hAnsi="Times New Roman" w:eastAsia="宋体" w:cs="Times New Roman"/>
          <w:color w:val="000000"/>
          <w:sz w:val="24"/>
          <w:szCs w:val="28"/>
        </w:rPr>
        <w:t>该项目不涉及固（液）体废物监测项目</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b w:val="0"/>
          <w:bCs/>
          <w:sz w:val="24"/>
          <w:szCs w:val="32"/>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w:t>
      </w:r>
      <w:r>
        <w:rPr>
          <w:rFonts w:hint="default" w:ascii="Times New Roman" w:hAnsi="Times New Roman" w:eastAsia="宋体" w:cs="Times New Roman"/>
          <w:sz w:val="24"/>
          <w:szCs w:val="24"/>
        </w:rPr>
        <w:t>以上措施有效可行，固废做到了无害化处理，对周围环境影响较小。</w:t>
      </w:r>
    </w:p>
    <w:bookmarkEnd w:id="70"/>
    <w:p>
      <w:pPr>
        <w:pStyle w:val="47"/>
        <w:spacing w:line="360" w:lineRule="auto"/>
        <w:ind w:firstLine="0" w:firstLineChars="0"/>
        <w:jc w:val="left"/>
        <w:outlineLvl w:val="1"/>
        <w:rPr>
          <w:rFonts w:hint="default" w:ascii="Times New Roman" w:hAnsi="Times New Roman" w:eastAsia="宋体" w:cs="Times New Roman"/>
          <w:b/>
          <w:sz w:val="28"/>
          <w:szCs w:val="32"/>
        </w:rPr>
      </w:pPr>
      <w:bookmarkStart w:id="71" w:name="_Toc26317"/>
      <w:r>
        <w:rPr>
          <w:rFonts w:hint="default" w:ascii="Times New Roman" w:hAnsi="Times New Roman" w:eastAsia="宋体" w:cs="Times New Roman"/>
          <w:b/>
          <w:sz w:val="28"/>
          <w:szCs w:val="32"/>
        </w:rPr>
        <w:t>9.3工程建设对环境的影响</w:t>
      </w:r>
      <w:bookmarkEnd w:id="71"/>
    </w:p>
    <w:p>
      <w:pPr>
        <w:pStyle w:val="3"/>
        <w:spacing w:after="0" w:line="360" w:lineRule="auto"/>
        <w:ind w:left="0" w:firstLine="480" w:firstLineChars="200"/>
        <w:rPr>
          <w:rFonts w:hint="default" w:ascii="Times New Roman" w:hAnsi="Times New Roman" w:eastAsia="宋体" w:cs="Times New Roman"/>
          <w:color w:val="000000"/>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sz w:val="24"/>
          <w:szCs w:val="28"/>
        </w:rPr>
        <w:t>在各项环保措施落实的情况下，该项目外排污染物能够达到相应标准的要求，对周围环境影响很小。</w:t>
      </w:r>
    </w:p>
    <w:p>
      <w:pPr>
        <w:pStyle w:val="47"/>
        <w:spacing w:line="360" w:lineRule="auto"/>
        <w:ind w:left="-210" w:leftChars="-100" w:firstLine="0" w:firstLineChars="0"/>
        <w:jc w:val="center"/>
        <w:outlineLvl w:val="0"/>
        <w:rPr>
          <w:rFonts w:hint="default" w:ascii="Times New Roman" w:hAnsi="Times New Roman" w:eastAsia="宋体" w:cs="Times New Roman"/>
          <w:b/>
          <w:sz w:val="32"/>
          <w:szCs w:val="32"/>
          <w:highlight w:val="none"/>
        </w:rPr>
      </w:pPr>
      <w:bookmarkStart w:id="72" w:name="_Toc25932"/>
      <w:r>
        <w:rPr>
          <w:rFonts w:hint="default" w:ascii="Times New Roman" w:hAnsi="Times New Roman" w:eastAsia="宋体" w:cs="Times New Roman"/>
          <w:b/>
          <w:sz w:val="32"/>
          <w:szCs w:val="32"/>
          <w:highlight w:val="none"/>
        </w:rPr>
        <w:t>10、验收监测结论</w:t>
      </w:r>
      <w:bookmarkEnd w:id="72"/>
    </w:p>
    <w:p>
      <w:pPr>
        <w:pStyle w:val="47"/>
        <w:spacing w:line="360" w:lineRule="auto"/>
        <w:ind w:firstLine="0" w:firstLineChars="0"/>
        <w:jc w:val="both"/>
        <w:outlineLvl w:val="1"/>
        <w:rPr>
          <w:rFonts w:hint="default" w:ascii="Times New Roman" w:hAnsi="Times New Roman" w:eastAsia="宋体" w:cs="Times New Roman"/>
          <w:b/>
          <w:sz w:val="28"/>
          <w:szCs w:val="32"/>
        </w:rPr>
      </w:pPr>
      <w:bookmarkStart w:id="73" w:name="_Toc302"/>
      <w:r>
        <w:rPr>
          <w:rFonts w:hint="default" w:ascii="Times New Roman" w:hAnsi="Times New Roman" w:eastAsia="宋体" w:cs="Times New Roman"/>
          <w:b/>
          <w:sz w:val="28"/>
          <w:szCs w:val="32"/>
        </w:rPr>
        <w:t>10.1环境保护设施调试效果</w:t>
      </w:r>
      <w:bookmarkEnd w:id="73"/>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该项目按照国家建设项目环境保护法律法规办理了环评手续，环评及批复中提出的污染防治措施和各项要求基本落实到位，验收监测期间各项环保设施运行稳定正常。本次对</w:t>
      </w:r>
      <w:r>
        <w:rPr>
          <w:rFonts w:hint="default" w:ascii="Times New Roman" w:hAnsi="Times New Roman" w:eastAsia="宋体" w:cs="Times New Roman"/>
          <w:color w:val="000000"/>
          <w:sz w:val="24"/>
          <w:szCs w:val="28"/>
          <w:lang w:val="en-US" w:eastAsia="zh-CN"/>
        </w:rPr>
        <w:t>中国石化销售股份有限公司山东菏泽石油分公司成武六一七加油站新建项目</w:t>
      </w:r>
      <w:r>
        <w:rPr>
          <w:rFonts w:hint="default" w:ascii="Times New Roman" w:hAnsi="Times New Roman" w:eastAsia="宋体" w:cs="Times New Roman"/>
          <w:color w:val="000000"/>
          <w:sz w:val="24"/>
          <w:szCs w:val="28"/>
        </w:rPr>
        <w:t>验收结论如下：</w:t>
      </w:r>
    </w:p>
    <w:p>
      <w:pPr>
        <w:pStyle w:val="47"/>
        <w:spacing w:line="360" w:lineRule="auto"/>
        <w:ind w:firstLine="0" w:firstLineChars="0"/>
        <w:jc w:val="both"/>
        <w:rPr>
          <w:rFonts w:hint="default" w:ascii="Times New Roman" w:hAnsi="Times New Roman" w:eastAsia="宋体" w:cs="Times New Roman"/>
          <w:b/>
          <w:sz w:val="24"/>
          <w:szCs w:val="32"/>
          <w:lang w:eastAsia="zh-CN"/>
        </w:rPr>
      </w:pPr>
      <w:r>
        <w:rPr>
          <w:rFonts w:hint="default" w:ascii="Times New Roman" w:hAnsi="Times New Roman" w:eastAsia="宋体" w:cs="Times New Roman"/>
          <w:b/>
          <w:sz w:val="24"/>
          <w:szCs w:val="32"/>
        </w:rPr>
        <w:t>10.1.1</w:t>
      </w:r>
      <w:r>
        <w:rPr>
          <w:rFonts w:hint="default" w:ascii="Times New Roman" w:hAnsi="Times New Roman" w:eastAsia="宋体" w:cs="Times New Roman"/>
          <w:b/>
          <w:sz w:val="24"/>
          <w:szCs w:val="32"/>
          <w:lang w:val="en-US" w:eastAsia="zh-CN"/>
        </w:rPr>
        <w:t>油气回收处理系统</w:t>
      </w:r>
    </w:p>
    <w:p>
      <w:pPr>
        <w:pStyle w:val="47"/>
        <w:spacing w:line="360" w:lineRule="auto"/>
        <w:ind w:firstLine="480" w:firstLineChars="200"/>
        <w:jc w:val="both"/>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验收监测期间，根据验收监测数据</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油气回收处理系统出口VOCs的最高排放浓度为</w:t>
      </w:r>
      <w:r>
        <w:rPr>
          <w:rFonts w:hint="default" w:ascii="Times New Roman" w:hAnsi="Times New Roman" w:eastAsia="宋体" w:cs="Times New Roman"/>
          <w:color w:val="000000"/>
          <w:sz w:val="24"/>
          <w:szCs w:val="24"/>
          <w:highlight w:val="none"/>
          <w:lang w:val="en-US" w:eastAsia="zh-CN"/>
        </w:rPr>
        <w:t>5.51g/m</w:t>
      </w:r>
      <w:r>
        <w:rPr>
          <w:rFonts w:hint="default" w:ascii="Times New Roman" w:hAnsi="Times New Roman" w:eastAsia="宋体" w:cs="Times New Roman"/>
          <w:color w:val="000000"/>
          <w:sz w:val="24"/>
          <w:szCs w:val="24"/>
          <w:highlight w:val="none"/>
          <w:vertAlign w:val="superscript"/>
          <w:lang w:val="en-US" w:eastAsia="zh-CN"/>
        </w:rPr>
        <w:t>3</w:t>
      </w:r>
      <w:r>
        <w:rPr>
          <w:rFonts w:hint="default"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lang w:val="en-US" w:eastAsia="zh-CN"/>
        </w:rPr>
        <w:t>排放浓度满足《加油站大气污染物排放标准》（GB20952-2020）中的相关规定。5min后的剩余压力值油气回收处理系统剩余最小压力值为464Pa，满足《加油站大气污染物排放标准》（GB20952-2020）中的表2限值要求。油气回收处理系统液阻压力通入氮气流量18L/min、28L/min、38L/min时最大压力分别为11Pa、15Pa、52Pa满足《加油站大气污染物排放标准》（GB20952-2020）中表1限值要求。油气回收处理系统气液比值在1.03-1.06之间满足《加油站大气污染物排放标准》（GB20952-2020）中5.3各种加油油气回收处理系统的气液比均应在大于等于1.0和小于等于1.2范围内的要求。</w:t>
      </w:r>
    </w:p>
    <w:p>
      <w:pPr>
        <w:pStyle w:val="47"/>
        <w:spacing w:line="360" w:lineRule="auto"/>
        <w:ind w:firstLine="482" w:firstLineChars="20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10.1.2无组织废气</w:t>
      </w:r>
    </w:p>
    <w:p>
      <w:pPr>
        <w:spacing w:line="360" w:lineRule="auto"/>
        <w:ind w:firstLine="480" w:firstLineChars="200"/>
        <w:rPr>
          <w:rFonts w:hint="default" w:ascii="Times New Roman" w:hAnsi="Times New Roman" w:eastAsia="宋体" w:cs="Times New Roman"/>
          <w:color w:val="000000"/>
          <w:sz w:val="24"/>
          <w:szCs w:val="32"/>
          <w:lang w:eastAsia="zh-CN"/>
        </w:rPr>
      </w:pPr>
      <w:r>
        <w:rPr>
          <w:rFonts w:hint="default" w:ascii="Times New Roman" w:hAnsi="Times New Roman" w:eastAsia="宋体" w:cs="Times New Roman"/>
          <w:color w:val="000000"/>
          <w:sz w:val="24"/>
          <w:szCs w:val="32"/>
          <w:lang w:val="en-US" w:eastAsia="zh-CN"/>
        </w:rPr>
        <w:t>项目厂界无组织</w:t>
      </w:r>
      <w:r>
        <w:rPr>
          <w:rFonts w:hint="default" w:ascii="Times New Roman" w:hAnsi="Times New Roman" w:eastAsia="宋体" w:cs="Times New Roman"/>
          <w:color w:val="000000"/>
          <w:sz w:val="24"/>
          <w:szCs w:val="32"/>
        </w:rPr>
        <w:t>VOCs排放浓度</w:t>
      </w:r>
      <w:r>
        <w:rPr>
          <w:rFonts w:hint="default" w:ascii="Times New Roman" w:hAnsi="Times New Roman" w:eastAsia="宋体" w:cs="Times New Roman"/>
          <w:color w:val="000000"/>
          <w:sz w:val="24"/>
          <w:szCs w:val="32"/>
          <w:lang w:val="en-US" w:eastAsia="zh-CN"/>
        </w:rPr>
        <w:t>满足</w:t>
      </w:r>
      <w:r>
        <w:rPr>
          <w:rFonts w:hint="default" w:ascii="Times New Roman" w:hAnsi="Times New Roman" w:eastAsia="宋体" w:cs="Times New Roman"/>
          <w:color w:val="000000"/>
          <w:sz w:val="24"/>
          <w:szCs w:val="32"/>
        </w:rPr>
        <w:t>山东省《挥发性有机物排放标准 第7部分：其他行业》(DB37/ 2801.7—2019)表2厂界监控点浓度限值(VOCs≤2.0mg/m</w:t>
      </w:r>
      <w:r>
        <w:rPr>
          <w:rFonts w:hint="default" w:ascii="Times New Roman" w:hAnsi="Times New Roman" w:eastAsia="宋体" w:cs="Times New Roman"/>
          <w:color w:val="000000"/>
          <w:sz w:val="24"/>
          <w:szCs w:val="32"/>
          <w:vertAlign w:val="superscript"/>
        </w:rPr>
        <w:t>3</w:t>
      </w:r>
      <w:r>
        <w:rPr>
          <w:rFonts w:hint="default" w:ascii="Times New Roman" w:hAnsi="Times New Roman" w:eastAsia="宋体" w:cs="Times New Roman"/>
          <w:color w:val="000000"/>
          <w:sz w:val="24"/>
          <w:szCs w:val="32"/>
        </w:rPr>
        <w:t>)</w:t>
      </w:r>
      <w:r>
        <w:rPr>
          <w:rFonts w:hint="default" w:ascii="Times New Roman" w:hAnsi="Times New Roman" w:eastAsia="宋体" w:cs="Times New Roman"/>
          <w:color w:val="000000"/>
          <w:sz w:val="24"/>
          <w:szCs w:val="32"/>
          <w:lang w:val="en-US" w:eastAsia="zh-CN"/>
        </w:rPr>
        <w:t>以及《加油站大气污染物排放标准》（GB20952-2020）表3中油气浓度无组织排放限值要求</w:t>
      </w:r>
      <w:r>
        <w:rPr>
          <w:rFonts w:hint="default" w:ascii="Times New Roman" w:hAnsi="Times New Roman" w:eastAsia="宋体" w:cs="Times New Roman"/>
          <w:color w:val="000000"/>
          <w:sz w:val="24"/>
          <w:szCs w:val="32"/>
        </w:rPr>
        <w:t>(VOCs≤</w:t>
      </w:r>
      <w:r>
        <w:rPr>
          <w:rFonts w:hint="default" w:ascii="Times New Roman" w:hAnsi="Times New Roman" w:eastAsia="宋体" w:cs="Times New Roman"/>
          <w:color w:val="000000"/>
          <w:sz w:val="24"/>
          <w:szCs w:val="32"/>
          <w:lang w:val="en-US" w:eastAsia="zh-CN"/>
        </w:rPr>
        <w:t>4</w:t>
      </w:r>
      <w:r>
        <w:rPr>
          <w:rFonts w:hint="default" w:ascii="Times New Roman" w:hAnsi="Times New Roman" w:eastAsia="宋体" w:cs="Times New Roman"/>
          <w:color w:val="000000"/>
          <w:sz w:val="24"/>
          <w:szCs w:val="32"/>
        </w:rPr>
        <w:t>.0mg/m</w:t>
      </w:r>
      <w:r>
        <w:rPr>
          <w:rFonts w:hint="default" w:ascii="Times New Roman" w:hAnsi="Times New Roman" w:eastAsia="宋体" w:cs="Times New Roman"/>
          <w:color w:val="000000"/>
          <w:sz w:val="24"/>
          <w:szCs w:val="32"/>
          <w:vertAlign w:val="superscript"/>
        </w:rPr>
        <w:t>3</w:t>
      </w:r>
      <w:r>
        <w:rPr>
          <w:rFonts w:hint="default" w:ascii="Times New Roman" w:hAnsi="Times New Roman" w:eastAsia="宋体" w:cs="Times New Roman"/>
          <w:color w:val="000000"/>
          <w:sz w:val="24"/>
          <w:szCs w:val="32"/>
        </w:rPr>
        <w:t>)</w:t>
      </w:r>
      <w:r>
        <w:rPr>
          <w:rFonts w:hint="default" w:ascii="Times New Roman" w:hAnsi="Times New Roman" w:eastAsia="宋体" w:cs="Times New Roman"/>
          <w:color w:val="000000"/>
          <w:sz w:val="24"/>
          <w:szCs w:val="32"/>
          <w:lang w:eastAsia="zh-CN"/>
        </w:rPr>
        <w:t>。</w:t>
      </w:r>
    </w:p>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10.1.3噪声</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项目的主要噪声源为生产设备运行过程中产生的噪声。</w:t>
      </w:r>
      <w:bookmarkStart w:id="74" w:name="_Hlk46997552"/>
      <w:r>
        <w:rPr>
          <w:rFonts w:hint="default" w:ascii="Times New Roman" w:hAnsi="Times New Roman" w:eastAsia="宋体" w:cs="Times New Roman"/>
          <w:color w:val="000000"/>
          <w:sz w:val="24"/>
          <w:szCs w:val="28"/>
        </w:rPr>
        <w:t>企业在合理布局的基础上，选用了高效、低噪声设备，达到降噪的目的</w:t>
      </w:r>
      <w:r>
        <w:rPr>
          <w:rFonts w:hint="default" w:ascii="Times New Roman" w:hAnsi="Times New Roman" w:eastAsia="宋体" w:cs="Times New Roman"/>
          <w:color w:val="000000"/>
          <w:sz w:val="24"/>
          <w:szCs w:val="28"/>
          <w:highlight w:val="none"/>
        </w:rPr>
        <w:t>。由监测结果表明，厂界4</w:t>
      </w:r>
      <w:r>
        <w:rPr>
          <w:rFonts w:hint="default" w:ascii="Times New Roman" w:hAnsi="Times New Roman" w:eastAsia="宋体" w:cs="Times New Roman"/>
          <w:color w:val="000000"/>
          <w:sz w:val="24"/>
          <w:szCs w:val="28"/>
        </w:rPr>
        <w:t>个噪声监测点，</w:t>
      </w:r>
      <w:r>
        <w:rPr>
          <w:rFonts w:hint="default" w:ascii="Times New Roman" w:hAnsi="Times New Roman" w:eastAsia="宋体" w:cs="Times New Roman"/>
          <w:color w:val="000000"/>
          <w:sz w:val="24"/>
          <w:szCs w:val="28"/>
          <w:highlight w:val="none"/>
        </w:rPr>
        <w:t>昼间噪声值范围为</w:t>
      </w:r>
      <w:r>
        <w:rPr>
          <w:rFonts w:hint="default" w:ascii="Times New Roman" w:hAnsi="Times New Roman" w:eastAsia="宋体" w:cs="Times New Roman"/>
          <w:color w:val="000000"/>
          <w:sz w:val="24"/>
          <w:szCs w:val="28"/>
          <w:highlight w:val="none"/>
          <w:lang w:val="en-US" w:eastAsia="zh-CN"/>
        </w:rPr>
        <w:t>52.2</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color w:val="000000"/>
          <w:sz w:val="24"/>
          <w:szCs w:val="28"/>
          <w:highlight w:val="none"/>
          <w:lang w:val="en-US" w:eastAsia="zh-CN"/>
        </w:rPr>
        <w:t>59.3</w:t>
      </w:r>
      <w:r>
        <w:rPr>
          <w:rFonts w:hint="default" w:ascii="Times New Roman" w:hAnsi="Times New Roman" w:eastAsia="宋体" w:cs="Times New Roman"/>
          <w:color w:val="000000"/>
          <w:sz w:val="24"/>
          <w:szCs w:val="28"/>
          <w:highlight w:val="none"/>
        </w:rPr>
        <w:t>dB(A)，夜间噪声值范围为</w:t>
      </w:r>
      <w:r>
        <w:rPr>
          <w:rFonts w:hint="default" w:ascii="Times New Roman" w:hAnsi="Times New Roman" w:eastAsia="宋体" w:cs="Times New Roman"/>
          <w:color w:val="000000"/>
          <w:sz w:val="24"/>
          <w:szCs w:val="28"/>
          <w:highlight w:val="none"/>
          <w:lang w:val="en-US" w:eastAsia="zh-CN"/>
        </w:rPr>
        <w:t>41.1</w:t>
      </w:r>
      <w:r>
        <w:rPr>
          <w:rFonts w:hint="default" w:ascii="Times New Roman" w:hAnsi="Times New Roman" w:eastAsia="宋体" w:cs="Times New Roman"/>
          <w:color w:val="000000"/>
          <w:sz w:val="24"/>
          <w:szCs w:val="28"/>
          <w:highlight w:val="none"/>
        </w:rPr>
        <w:t>～</w:t>
      </w:r>
      <w:r>
        <w:rPr>
          <w:rFonts w:hint="default" w:ascii="Times New Roman" w:hAnsi="Times New Roman" w:eastAsia="宋体" w:cs="Times New Roman"/>
          <w:color w:val="000000"/>
          <w:sz w:val="24"/>
          <w:szCs w:val="28"/>
          <w:highlight w:val="none"/>
          <w:lang w:val="en-US" w:eastAsia="zh-CN"/>
        </w:rPr>
        <w:t>46.4</w:t>
      </w:r>
      <w:r>
        <w:rPr>
          <w:rFonts w:hint="default" w:ascii="Times New Roman" w:hAnsi="Times New Roman" w:eastAsia="宋体" w:cs="Times New Roman"/>
          <w:color w:val="000000"/>
          <w:sz w:val="24"/>
          <w:szCs w:val="28"/>
          <w:highlight w:val="none"/>
        </w:rPr>
        <w:t>dB(A)</w:t>
      </w:r>
      <w:r>
        <w:rPr>
          <w:rFonts w:hint="default" w:ascii="Times New Roman" w:hAnsi="Times New Roman" w:eastAsia="宋体" w:cs="Times New Roman"/>
          <w:color w:val="000000"/>
          <w:sz w:val="24"/>
          <w:szCs w:val="28"/>
        </w:rPr>
        <w:t>检测结果达到《</w:t>
      </w:r>
      <w:r>
        <w:rPr>
          <w:rFonts w:hint="default" w:ascii="Times New Roman" w:hAnsi="Times New Roman" w:eastAsia="宋体" w:cs="Times New Roman"/>
          <w:color w:val="000000"/>
          <w:sz w:val="24"/>
          <w:szCs w:val="28"/>
          <w:lang w:val="en-US" w:eastAsia="zh-CN"/>
        </w:rPr>
        <w:t>社会生活</w:t>
      </w:r>
      <w:r>
        <w:rPr>
          <w:rFonts w:hint="default" w:ascii="Times New Roman" w:hAnsi="Times New Roman" w:eastAsia="宋体" w:cs="Times New Roman"/>
          <w:color w:val="000000"/>
          <w:sz w:val="24"/>
          <w:szCs w:val="28"/>
        </w:rPr>
        <w:t>环境噪声排放标准》(GB</w:t>
      </w:r>
      <w:r>
        <w:rPr>
          <w:rFonts w:hint="default" w:ascii="Times New Roman" w:hAnsi="Times New Roman" w:eastAsia="宋体" w:cs="Times New Roman"/>
          <w:color w:val="000000"/>
          <w:sz w:val="24"/>
          <w:szCs w:val="28"/>
          <w:lang w:val="en-US" w:eastAsia="zh-CN"/>
        </w:rPr>
        <w:t>22337</w:t>
      </w:r>
      <w:r>
        <w:rPr>
          <w:rFonts w:hint="default" w:ascii="Times New Roman" w:hAnsi="Times New Roman" w:eastAsia="宋体" w:cs="Times New Roman"/>
          <w:color w:val="000000"/>
          <w:sz w:val="24"/>
          <w:szCs w:val="28"/>
        </w:rPr>
        <w:t>-2008)中</w:t>
      </w:r>
      <w:r>
        <w:rPr>
          <w:rFonts w:hint="default" w:ascii="Times New Roman" w:hAnsi="Times New Roman" w:eastAsia="宋体" w:cs="Times New Roman"/>
          <w:color w:val="000000"/>
          <w:sz w:val="24"/>
          <w:szCs w:val="28"/>
          <w:highlight w:val="none"/>
          <w:lang w:val="en-US" w:eastAsia="zh-CN"/>
        </w:rPr>
        <w:t>2</w:t>
      </w:r>
      <w:r>
        <w:rPr>
          <w:rFonts w:hint="default" w:ascii="Times New Roman" w:hAnsi="Times New Roman" w:eastAsia="宋体" w:cs="Times New Roman"/>
          <w:color w:val="000000"/>
          <w:sz w:val="24"/>
          <w:szCs w:val="28"/>
          <w:highlight w:val="none"/>
        </w:rPr>
        <w:t>类</w:t>
      </w:r>
      <w:r>
        <w:rPr>
          <w:rFonts w:hint="default" w:ascii="Times New Roman" w:hAnsi="Times New Roman" w:eastAsia="宋体" w:cs="Times New Roman"/>
          <w:color w:val="000000"/>
          <w:sz w:val="24"/>
          <w:szCs w:val="28"/>
        </w:rPr>
        <w:t>标准限值要求。</w:t>
      </w:r>
    </w:p>
    <w:bookmarkEnd w:id="74"/>
    <w:p>
      <w:pPr>
        <w:pStyle w:val="47"/>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10.1.4固废</w:t>
      </w:r>
    </w:p>
    <w:p>
      <w:pPr>
        <w:pStyle w:val="47"/>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8"/>
        </w:rPr>
        <w:t>项目不涉及固（液）体废物监测项目</w:t>
      </w:r>
      <w:r>
        <w:rPr>
          <w:rFonts w:hint="default" w:ascii="Times New Roman" w:hAnsi="Times New Roman" w:eastAsia="宋体" w:cs="Times New Roman"/>
          <w:color w:val="000000"/>
          <w:sz w:val="24"/>
          <w:szCs w:val="28"/>
          <w:lang w:eastAsia="zh-CN"/>
        </w:rPr>
        <w:t>，</w:t>
      </w:r>
      <w:r>
        <w:rPr>
          <w:rFonts w:hint="default" w:ascii="Times New Roman" w:hAnsi="Times New Roman" w:eastAsia="宋体" w:cs="Times New Roman"/>
          <w:b w:val="0"/>
          <w:bCs/>
          <w:sz w:val="24"/>
          <w:szCs w:val="32"/>
          <w:lang w:val="en-US" w:eastAsia="zh-CN"/>
        </w:rPr>
        <w:t>生活垃圾由环卫部门统一收集处理；清罐废渣、含油吸油毡以及隔油池废油和污泥暂存危废暂存间，定期交有资质单位处置；含油废手套、废抹布属于危险废物豁免清单，与职工生活垃圾一同由环卫部门定期清运。</w:t>
      </w:r>
      <w:r>
        <w:rPr>
          <w:rFonts w:hint="default" w:ascii="Times New Roman" w:hAnsi="Times New Roman" w:eastAsia="宋体" w:cs="Times New Roman"/>
          <w:sz w:val="24"/>
          <w:szCs w:val="24"/>
        </w:rPr>
        <w:t>以上措施有效可行，固废做到了无害化处理，对周围环境影响较小。</w:t>
      </w:r>
    </w:p>
    <w:p>
      <w:pPr>
        <w:pStyle w:val="47"/>
        <w:spacing w:line="360" w:lineRule="auto"/>
        <w:ind w:firstLine="0" w:firstLineChars="0"/>
        <w:jc w:val="both"/>
        <w:outlineLvl w:val="1"/>
        <w:rPr>
          <w:rFonts w:hint="default" w:ascii="Times New Roman" w:hAnsi="Times New Roman" w:eastAsia="宋体" w:cs="Times New Roman"/>
          <w:b/>
          <w:sz w:val="28"/>
          <w:szCs w:val="32"/>
        </w:rPr>
      </w:pPr>
      <w:bookmarkStart w:id="75" w:name="_Toc21784"/>
      <w:r>
        <w:rPr>
          <w:rFonts w:hint="default" w:ascii="Times New Roman" w:hAnsi="Times New Roman" w:eastAsia="宋体" w:cs="Times New Roman"/>
          <w:b/>
          <w:sz w:val="28"/>
          <w:szCs w:val="32"/>
        </w:rPr>
        <w:t>10.2建议</w:t>
      </w:r>
      <w:bookmarkEnd w:id="75"/>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1、保护环境，人人有责，加强环境管理，提高职工环保意识，加强职工环保教育，制定各项环保规章制度，将环境管理纳入到日常生产中，最大限度减少资源浪费和环境污染。</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2、加强厂区周边绿化建设，扩大厂区绿化面积。</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3、加强厂区内风险防范设施的日常保养及维护，确保风险防范设施无故障。</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4、做好对噪声污染的防治措施，在设备选型时应优先选用高效、低噪的设备。对于高噪声的设备设置专门的消声、隔音罩，并加强维护管理。</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5、加强环保设施的维护与环境保护治理，确保项目运行期间</w:t>
      </w:r>
      <w:r>
        <w:rPr>
          <w:rFonts w:hint="default" w:ascii="Times New Roman" w:hAnsi="Times New Roman" w:eastAsia="宋体" w:cs="Times New Roman"/>
          <w:color w:val="000000"/>
          <w:sz w:val="24"/>
          <w:szCs w:val="28"/>
          <w:lang w:eastAsia="zh-CN"/>
        </w:rPr>
        <w:t>环保</w:t>
      </w:r>
      <w:r>
        <w:rPr>
          <w:rFonts w:hint="default" w:ascii="Times New Roman" w:hAnsi="Times New Roman" w:eastAsia="宋体" w:cs="Times New Roman"/>
          <w:color w:val="000000"/>
          <w:sz w:val="24"/>
          <w:szCs w:val="28"/>
        </w:rPr>
        <w:t>设施的正常运行，降低对周围环境造成的影响。</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6、做好环境应急预案的培训与演练，定期检查、维护消防设备与应急物资，提高环境事故应急响应能力。</w:t>
      </w:r>
    </w:p>
    <w:p>
      <w:pPr>
        <w:pStyle w:val="3"/>
        <w:spacing w:after="0" w:line="360" w:lineRule="auto"/>
        <w:ind w:left="0" w:firstLine="480" w:firstLineChars="200"/>
        <w:jc w:val="both"/>
        <w:rPr>
          <w:rFonts w:hint="default" w:ascii="Times New Roman" w:hAnsi="Times New Roman" w:eastAsia="宋体" w:cs="Times New Roman"/>
          <w:color w:val="000000"/>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sz w:val="24"/>
          <w:szCs w:val="28"/>
        </w:rPr>
        <w:t>7、建立固废</w:t>
      </w:r>
      <w:r>
        <w:rPr>
          <w:rFonts w:hint="default" w:ascii="Times New Roman" w:hAnsi="Times New Roman" w:eastAsia="宋体" w:cs="Times New Roman"/>
          <w:color w:val="000000"/>
          <w:sz w:val="24"/>
          <w:szCs w:val="28"/>
          <w:lang w:eastAsia="zh-CN"/>
        </w:rPr>
        <w:t>管理台账</w:t>
      </w:r>
      <w:r>
        <w:rPr>
          <w:rFonts w:hint="default" w:ascii="Times New Roman" w:hAnsi="Times New Roman" w:eastAsia="宋体" w:cs="Times New Roman"/>
          <w:color w:val="000000"/>
          <w:sz w:val="24"/>
          <w:szCs w:val="28"/>
        </w:rPr>
        <w:t>，做好固废处理记录。</w:t>
      </w:r>
    </w:p>
    <w:p>
      <w:pPr>
        <w:pStyle w:val="8"/>
        <w:bidi w:val="0"/>
        <w:spacing w:before="0" w:beforeAutospacing="0" w:after="0" w:afterAutospacing="0" w:line="240" w:lineRule="auto"/>
        <w:jc w:val="center"/>
        <w:rPr>
          <w:rFonts w:hint="default" w:ascii="Times New Roman" w:hAnsi="Times New Roman" w:eastAsia="宋体" w:cs="Times New Roman"/>
          <w:sz w:val="24"/>
          <w:szCs w:val="24"/>
        </w:rPr>
      </w:pPr>
      <w:bookmarkStart w:id="76" w:name="_Toc523409008"/>
      <w:bookmarkStart w:id="77" w:name="_Toc523388556"/>
      <w:bookmarkStart w:id="78" w:name="_Toc522270330"/>
      <w:bookmarkStart w:id="79" w:name="_Toc22935"/>
      <w:r>
        <w:rPr>
          <w:rFonts w:hint="default" w:ascii="Times New Roman" w:hAnsi="Times New Roman" w:eastAsia="宋体" w:cs="Times New Roman"/>
          <w:sz w:val="24"/>
          <w:szCs w:val="24"/>
        </w:rPr>
        <w:t>11、</w:t>
      </w:r>
      <w:bookmarkEnd w:id="76"/>
      <w:bookmarkEnd w:id="77"/>
      <w:bookmarkEnd w:id="78"/>
      <w:r>
        <w:rPr>
          <w:rFonts w:hint="default" w:ascii="Times New Roman" w:hAnsi="Times New Roman" w:eastAsia="宋体" w:cs="Times New Roman"/>
          <w:sz w:val="24"/>
          <w:szCs w:val="24"/>
        </w:rPr>
        <w:t>建设项目竣工环境保护“三同时”验收登记表</w:t>
      </w:r>
      <w:bookmarkEnd w:id="79"/>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Layout w:type="autofit"/>
        <w:tblCellMar>
          <w:top w:w="0" w:type="dxa"/>
          <w:left w:w="108" w:type="dxa"/>
          <w:bottom w:w="0" w:type="dxa"/>
          <w:right w:w="108" w:type="dxa"/>
        </w:tblCellMar>
      </w:tblPr>
      <w:tblGrid>
        <w:gridCol w:w="454"/>
        <w:gridCol w:w="122"/>
        <w:gridCol w:w="1005"/>
        <w:gridCol w:w="689"/>
        <w:gridCol w:w="485"/>
        <w:gridCol w:w="884"/>
        <w:gridCol w:w="37"/>
        <w:gridCol w:w="672"/>
        <w:gridCol w:w="88"/>
        <w:gridCol w:w="621"/>
        <w:gridCol w:w="388"/>
        <w:gridCol w:w="626"/>
        <w:gridCol w:w="862"/>
        <w:gridCol w:w="666"/>
        <w:gridCol w:w="2478"/>
        <w:gridCol w:w="646"/>
        <w:gridCol w:w="678"/>
        <w:gridCol w:w="85"/>
        <w:gridCol w:w="431"/>
        <w:gridCol w:w="712"/>
        <w:gridCol w:w="575"/>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5000" w:type="pct"/>
            <w:gridSpan w:val="22"/>
            <w:tcBorders>
              <w:top w:val="nil"/>
              <w:left w:val="nil"/>
              <w:bottom w:val="single" w:color="auto" w:sz="4" w:space="0"/>
              <w:right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beforeAutospacing="0"/>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填表单位(盖章)：                                             填表人(签字)：                                         项目经办人(签字)：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restart"/>
            <w:tcBorders>
              <w:top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建设项目</w:t>
            </w:r>
          </w:p>
        </w:tc>
        <w:tc>
          <w:tcPr>
            <w:tcW w:w="641" w:type="pct"/>
            <w:gridSpan w:val="3"/>
            <w:tcBorders>
              <w:top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项目名称</w:t>
            </w:r>
          </w:p>
        </w:tc>
        <w:tc>
          <w:tcPr>
            <w:tcW w:w="1341" w:type="pct"/>
            <w:gridSpan w:val="8"/>
            <w:tcBorders>
              <w:top w:val="single" w:color="auto"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中国石化销售股份有限公司山东菏泽石油分公司成武六一七加油站新建项目</w:t>
            </w:r>
          </w:p>
        </w:tc>
        <w:tc>
          <w:tcPr>
            <w:tcW w:w="539" w:type="pct"/>
            <w:gridSpan w:val="2"/>
            <w:tcBorders>
              <w:top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项目代码</w:t>
            </w:r>
          </w:p>
        </w:tc>
        <w:tc>
          <w:tcPr>
            <w:tcW w:w="874" w:type="pct"/>
            <w:tcBorders>
              <w:top w:val="single" w:color="auto" w:sz="4" w:space="0"/>
            </w:tcBorders>
            <w:shd w:val="clear" w:color="auto" w:fill="auto"/>
            <w:noWrap w:val="0"/>
            <w:vAlign w:val="center"/>
          </w:tcPr>
          <w:p>
            <w:pPr>
              <w:keepNext w:val="0"/>
              <w:keepLines w:val="0"/>
              <w:widowControl/>
              <w:suppressLineNumbers w:val="0"/>
              <w:jc w:val="left"/>
              <w:rPr>
                <w:rFonts w:hint="default" w:ascii="Times New Roman" w:hAnsi="Times New Roman" w:eastAsia="宋体" w:cs="Times New Roman"/>
                <w:sz w:val="18"/>
                <w:szCs w:val="18"/>
                <w:lang w:val="en-US"/>
              </w:rPr>
            </w:pPr>
            <w:r>
              <w:rPr>
                <w:rFonts w:hint="default" w:ascii="Times New Roman" w:hAnsi="Times New Roman" w:eastAsia="宋体" w:cs="Times New Roman"/>
                <w:sz w:val="18"/>
                <w:szCs w:val="18"/>
              </w:rPr>
              <w:t>2020-371723-</w:t>
            </w:r>
            <w:r>
              <w:rPr>
                <w:rFonts w:hint="default" w:ascii="Times New Roman" w:hAnsi="Times New Roman" w:eastAsia="宋体" w:cs="Times New Roman"/>
                <w:sz w:val="18"/>
                <w:szCs w:val="18"/>
                <w:lang w:val="en-US" w:eastAsia="zh-CN"/>
              </w:rPr>
              <w:t>52</w:t>
            </w:r>
            <w:r>
              <w:rPr>
                <w:rFonts w:hint="default" w:ascii="Times New Roman" w:hAnsi="Times New Roman" w:eastAsia="宋体" w:cs="Times New Roman"/>
                <w:sz w:val="18"/>
                <w:szCs w:val="18"/>
              </w:rPr>
              <w:t>-03-</w:t>
            </w:r>
            <w:r>
              <w:rPr>
                <w:rFonts w:hint="default" w:ascii="Times New Roman" w:hAnsi="Times New Roman" w:eastAsia="宋体" w:cs="Times New Roman"/>
                <w:sz w:val="18"/>
                <w:szCs w:val="18"/>
                <w:lang w:val="en-US" w:eastAsia="zh-CN"/>
              </w:rPr>
              <w:t>144441</w:t>
            </w:r>
          </w:p>
        </w:tc>
        <w:tc>
          <w:tcPr>
            <w:tcW w:w="467" w:type="pct"/>
            <w:gridSpan w:val="2"/>
            <w:tcBorders>
              <w:top w:val="single" w:color="auto" w:sz="4" w:space="0"/>
            </w:tcBorders>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建设地点</w:t>
            </w:r>
          </w:p>
        </w:tc>
        <w:tc>
          <w:tcPr>
            <w:tcW w:w="976" w:type="pct"/>
            <w:gridSpan w:val="5"/>
            <w:tcBorders>
              <w:top w:val="single" w:color="auto"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20"/>
                <w:sz w:val="18"/>
                <w:szCs w:val="18"/>
                <w:lang w:eastAsia="zh-CN"/>
              </w:rPr>
            </w:pPr>
            <w:r>
              <w:rPr>
                <w:rFonts w:hint="default" w:ascii="Times New Roman" w:hAnsi="Times New Roman" w:eastAsia="宋体" w:cs="Times New Roman"/>
                <w:spacing w:val="-20"/>
                <w:sz w:val="18"/>
                <w:szCs w:val="18"/>
                <w:lang w:val="en-US" w:eastAsia="zh-CN"/>
              </w:rPr>
              <w:t>山东省菏泽市成武县伯乐集镇康楼村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pacing w:val="-20"/>
                <w:sz w:val="18"/>
                <w:szCs w:val="18"/>
              </w:rPr>
              <w:t>行业类别(分类管理名录)</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F5264</w:t>
            </w:r>
            <w:r>
              <w:rPr>
                <w:rFonts w:hint="default" w:ascii="Times New Roman" w:hAnsi="Times New Roman" w:eastAsia="宋体" w:cs="Times New Roman"/>
                <w:spacing w:val="6"/>
                <w:sz w:val="18"/>
                <w:szCs w:val="18"/>
                <w:lang w:val="en-US" w:eastAsia="zh-CN"/>
              </w:rPr>
              <w:t>机动车燃料零售</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建设性质</w:t>
            </w:r>
          </w:p>
        </w:tc>
        <w:tc>
          <w:tcPr>
            <w:tcW w:w="13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sym w:font="Wingdings 2" w:char="0052"/>
            </w:r>
            <w:r>
              <w:rPr>
                <w:rFonts w:hint="default" w:ascii="Times New Roman" w:hAnsi="Times New Roman" w:eastAsia="宋体" w:cs="Times New Roman"/>
                <w:sz w:val="18"/>
                <w:szCs w:val="18"/>
              </w:rPr>
              <w:t>新建□改扩建□技术改造</w:t>
            </w:r>
          </w:p>
        </w:tc>
        <w:tc>
          <w:tcPr>
            <w:tcW w:w="433"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pacing w:val="-20"/>
                <w:sz w:val="18"/>
                <w:szCs w:val="18"/>
              </w:rPr>
              <w:t>项目厂区中心经度/纬度</w:t>
            </w: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pacing w:val="-20"/>
                <w:sz w:val="18"/>
                <w:szCs w:val="18"/>
              </w:rPr>
            </w:pPr>
            <w:r>
              <w:rPr>
                <w:rFonts w:hint="default" w:ascii="Times New Roman" w:hAnsi="Times New Roman" w:eastAsia="宋体" w:cs="Times New Roman"/>
                <w:sz w:val="18"/>
                <w:szCs w:val="18"/>
                <w:lang w:val="en-US" w:eastAsia="zh-CN"/>
              </w:rPr>
              <w:t>东经115°53'32.616"，北纬34°59'3.823"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设计生产能力</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年周转汽油1600t，柴油1000t</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实际生产能力</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年周转汽油1600t，柴油1000t</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环评单位</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菏泽泰诺</w:t>
            </w:r>
            <w:r>
              <w:rPr>
                <w:rFonts w:hint="default" w:ascii="Times New Roman" w:hAnsi="Times New Roman" w:eastAsia="宋体" w:cs="Times New Roman"/>
                <w:sz w:val="18"/>
                <w:szCs w:val="18"/>
                <w:lang w:eastAsia="zh-CN"/>
              </w:rPr>
              <w:t>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环评文件审批机关</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成武县行政审批服务局</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审批文号</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成行环审【2021】38号</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环评文件类型</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开工日期</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highlight w:val="none"/>
                <w:lang w:val="en-US" w:eastAsia="zh-CN"/>
              </w:rPr>
              <w:t>2022年09月</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竣工日期</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highlight w:val="none"/>
              </w:rPr>
              <w:t>202</w:t>
            </w:r>
            <w:r>
              <w:rPr>
                <w:rFonts w:hint="default" w:ascii="Times New Roman" w:hAnsi="Times New Roman" w:eastAsia="宋体" w:cs="Times New Roman"/>
                <w:sz w:val="18"/>
                <w:szCs w:val="18"/>
                <w:highlight w:val="none"/>
                <w:lang w:val="en-US" w:eastAsia="zh-CN"/>
              </w:rPr>
              <w:t>3</w:t>
            </w:r>
            <w:r>
              <w:rPr>
                <w:rFonts w:hint="default" w:ascii="Times New Roman" w:hAnsi="Times New Roman" w:eastAsia="宋体" w:cs="Times New Roman"/>
                <w:sz w:val="18"/>
                <w:szCs w:val="18"/>
                <w:highlight w:val="none"/>
              </w:rPr>
              <w:t>年</w:t>
            </w:r>
            <w:r>
              <w:rPr>
                <w:rFonts w:hint="default" w:ascii="Times New Roman" w:hAnsi="Times New Roman" w:eastAsia="宋体" w:cs="Times New Roman"/>
                <w:sz w:val="18"/>
                <w:szCs w:val="18"/>
                <w:highlight w:val="none"/>
                <w:lang w:val="en-US" w:eastAsia="zh-CN"/>
              </w:rPr>
              <w:t>12</w:t>
            </w:r>
            <w:r>
              <w:rPr>
                <w:rFonts w:hint="default" w:ascii="Times New Roman" w:hAnsi="Times New Roman" w:eastAsia="宋体" w:cs="Times New Roman"/>
                <w:sz w:val="18"/>
                <w:szCs w:val="18"/>
                <w:highlight w:val="none"/>
              </w:rPr>
              <w:t>月</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pacing w:val="-20"/>
                <w:sz w:val="18"/>
                <w:szCs w:val="18"/>
              </w:rPr>
            </w:pPr>
            <w:r>
              <w:rPr>
                <w:rFonts w:hint="default" w:ascii="Times New Roman" w:hAnsi="Times New Roman" w:eastAsia="宋体" w:cs="Times New Roman"/>
                <w:sz w:val="18"/>
                <w:szCs w:val="18"/>
              </w:rPr>
              <w:t>排污许可证申领时间</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2023年10月12日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环保设施设计单位</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环保设施施工单位</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pacing w:val="-20"/>
                <w:sz w:val="18"/>
                <w:szCs w:val="18"/>
              </w:rPr>
            </w:pPr>
            <w:r>
              <w:rPr>
                <w:rFonts w:hint="default" w:ascii="Times New Roman" w:hAnsi="Times New Roman" w:eastAsia="宋体" w:cs="Times New Roman"/>
                <w:sz w:val="18"/>
                <w:szCs w:val="18"/>
              </w:rPr>
              <w:t>本工程排污许可证编号</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highlight w:val="red"/>
                <w:lang w:val="en-US" w:eastAsia="zh-CN"/>
              </w:rPr>
            </w:pPr>
            <w:r>
              <w:rPr>
                <w:rFonts w:hint="default" w:ascii="Times New Roman" w:hAnsi="Times New Roman" w:eastAsia="宋体" w:cs="Times New Roman"/>
                <w:color w:val="auto"/>
                <w:sz w:val="18"/>
                <w:szCs w:val="18"/>
                <w:highlight w:val="none"/>
                <w:lang w:val="en-US" w:eastAsia="zh-CN"/>
              </w:rPr>
              <w:t>91371700MABYHY409Q001X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验收单位</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环保设施监测单位</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z w:val="18"/>
                <w:szCs w:val="18"/>
                <w:highlight w:val="yellow"/>
                <w:lang w:eastAsia="zh-CN"/>
              </w:rPr>
            </w:pPr>
            <w:r>
              <w:rPr>
                <w:rFonts w:hint="default" w:ascii="Times New Roman" w:hAnsi="Times New Roman" w:eastAsia="宋体" w:cs="Times New Roman"/>
                <w:color w:val="auto"/>
                <w:sz w:val="18"/>
                <w:szCs w:val="18"/>
                <w:highlight w:val="none"/>
                <w:lang w:val="en-US" w:eastAsia="zh-CN"/>
              </w:rPr>
              <w:t>山东天衡检测有限公司</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验收监测时工况</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highlight w:val="none"/>
                <w:lang w:val="en-US" w:eastAsia="zh-CN"/>
              </w:rPr>
              <w:t>90</w:t>
            </w:r>
            <w:r>
              <w:rPr>
                <w:rFonts w:hint="default" w:ascii="Times New Roman" w:hAnsi="Times New Roman" w:eastAsia="宋体"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投资总概算(万元)</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1451</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环保投资总概算(万元)</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所占比例(%)</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实际总投资(万元)</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1451</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实际环保投资(万元)</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所占比例(%)</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废水治理(万元)</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325"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废气治理(万元)</w:t>
            </w:r>
          </w:p>
        </w:tc>
        <w:tc>
          <w:tcPr>
            <w:tcW w:w="2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356"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噪声治理(万元)</w:t>
            </w:r>
          </w:p>
        </w:tc>
        <w:tc>
          <w:tcPr>
            <w:tcW w:w="220"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固体废物治理</w:t>
            </w:r>
          </w:p>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(万元)</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绿化及生态(万元)</w:t>
            </w:r>
          </w:p>
        </w:tc>
        <w:tc>
          <w:tcPr>
            <w:tcW w:w="18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w:t>
            </w:r>
          </w:p>
        </w:tc>
        <w:tc>
          <w:tcPr>
            <w:tcW w:w="454"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其他(万元)</w:t>
            </w:r>
          </w:p>
        </w:tc>
        <w:tc>
          <w:tcPr>
            <w:tcW w:w="340" w:type="pct"/>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0" w:type="pct"/>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641" w:type="pct"/>
            <w:gridSpan w:val="3"/>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新增废水处理设施能力</w:t>
            </w:r>
          </w:p>
        </w:tc>
        <w:tc>
          <w:tcPr>
            <w:tcW w:w="1341" w:type="pct"/>
            <w:gridSpan w:val="8"/>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3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新增废气处理设施能力</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20"/>
                <w:sz w:val="18"/>
                <w:szCs w:val="18"/>
              </w:rPr>
            </w:pP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年平均工作时</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01" w:type="pct"/>
            <w:gridSpan w:val="4"/>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w:t>
            </w:r>
          </w:p>
        </w:tc>
        <w:tc>
          <w:tcPr>
            <w:tcW w:w="733" w:type="pct"/>
            <w:gridSpan w:val="4"/>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中国石化销售股份有限公司山东菏泽石油分公司</w:t>
            </w:r>
          </w:p>
        </w:tc>
        <w:tc>
          <w:tcPr>
            <w:tcW w:w="1147" w:type="pct"/>
            <w:gridSpan w:val="6"/>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运营单位统一社会信用代码(或组织机构代码)</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20"/>
                <w:sz w:val="18"/>
                <w:szCs w:val="18"/>
                <w:lang w:val="en-US" w:eastAsia="zh-CN"/>
              </w:rPr>
            </w:pPr>
            <w:r>
              <w:rPr>
                <w:rFonts w:hint="default" w:ascii="Times New Roman" w:hAnsi="Times New Roman" w:eastAsia="宋体" w:cs="Times New Roman"/>
                <w:spacing w:val="-20"/>
                <w:sz w:val="18"/>
                <w:szCs w:val="18"/>
                <w:lang w:val="en-US" w:eastAsia="zh-CN"/>
              </w:rPr>
              <w:t>913717007248126452</w:t>
            </w:r>
          </w:p>
        </w:tc>
        <w:tc>
          <w:tcPr>
            <w:tcW w:w="46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验收时间</w:t>
            </w:r>
          </w:p>
        </w:tc>
        <w:tc>
          <w:tcPr>
            <w:tcW w:w="976" w:type="pct"/>
            <w:gridSpan w:val="5"/>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highlight w:val="none"/>
                <w:lang w:val="en-US" w:eastAsia="zh-CN"/>
              </w:rPr>
              <w:t>2024.01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restar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污染物排放达标与总量控制(工业建设项目详填)</w:t>
            </w: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pacing w:val="-20"/>
                <w:sz w:val="18"/>
                <w:szCs w:val="18"/>
              </w:rPr>
              <w:t>原有排放量(1)</w:t>
            </w: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本期工程实际排放浓度(2)</w:t>
            </w: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本期工程允许排放浓度(3)</w:t>
            </w: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本期工程产生量(4)</w:t>
            </w: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本期工程自身削减量(5)</w:t>
            </w: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本期工程实际排放量(6)</w:t>
            </w: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本期工程核定排放(7)</w:t>
            </w: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本期工程“以新带老”削减量(8)</w:t>
            </w: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全厂实际排放量(9)</w:t>
            </w: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全厂核定排放总量(10)</w:t>
            </w: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区域平衡替代削减量(11)</w:t>
            </w: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废水</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化学需氧量</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氨氮</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石油类</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bCs/>
                <w:sz w:val="18"/>
                <w:szCs w:val="18"/>
              </w:rPr>
              <w:t>废气</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vertAlign w:val="superscript"/>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二氧化硫</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烟尘</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工业粉尘</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lang w:val="en-US" w:eastAsia="zh-CN"/>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250" w:type="pct"/>
            <w:gridSpan w:val="2"/>
            <w:shd w:val="clear" w:color="auto" w:fill="auto"/>
            <w:noWrap w:val="0"/>
            <w:vAlign w:val="center"/>
          </w:tcPr>
          <w:p>
            <w:pPr>
              <w:rPr>
                <w:rFonts w:hint="default" w:ascii="Times New Roman" w:hAnsi="Times New Roman" w:eastAsia="宋体" w:cs="Times New Roman"/>
                <w:sz w:val="18"/>
                <w:szCs w:val="18"/>
                <w:lang w:val="en-US" w:eastAsia="zh-CN"/>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304" w:type="pct"/>
            <w:shd w:val="clear" w:color="auto" w:fill="auto"/>
            <w:noWrap w:val="0"/>
            <w:vAlign w:val="center"/>
          </w:tcPr>
          <w:p>
            <w:pPr>
              <w:rPr>
                <w:rFonts w:hint="default" w:ascii="Times New Roman" w:hAnsi="Times New Roman" w:eastAsia="宋体" w:cs="Times New Roman"/>
                <w:kern w:val="2"/>
                <w:sz w:val="18"/>
                <w:szCs w:val="18"/>
                <w:lang w:val="en-US" w:eastAsia="zh-CN" w:bidi="ar-SA"/>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rPr>
                <w:rFonts w:hint="default" w:ascii="Times New Roman" w:hAnsi="Times New Roman" w:eastAsia="宋体" w:cs="Times New Roman"/>
                <w:kern w:val="2"/>
                <w:sz w:val="18"/>
                <w:szCs w:val="18"/>
                <w:lang w:val="en-US" w:eastAsia="zh-CN" w:bidi="ar-SA"/>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CE8CF"/>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氮氧化物</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98"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bCs/>
                <w:sz w:val="18"/>
                <w:szCs w:val="18"/>
              </w:rPr>
              <w:t>工业固体废物</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203" w:type="pct"/>
            <w:gridSpan w:val="2"/>
            <w:vMerge w:val="continue"/>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55" w:type="pct"/>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bCs/>
                <w:sz w:val="18"/>
                <w:szCs w:val="18"/>
                <w:vertAlign w:val="subscript"/>
              </w:rPr>
            </w:pPr>
            <w:r>
              <w:rPr>
                <w:rFonts w:hint="default" w:ascii="Times New Roman" w:hAnsi="Times New Roman" w:eastAsia="宋体" w:cs="Times New Roman"/>
                <w:bCs/>
                <w:sz w:val="18"/>
                <w:szCs w:val="18"/>
              </w:rPr>
              <w:t>与项目有关其他特征污染物</w:t>
            </w:r>
          </w:p>
        </w:tc>
        <w:tc>
          <w:tcPr>
            <w:tcW w:w="242" w:type="pct"/>
            <w:shd w:val="clear" w:color="auto" w:fill="auto"/>
            <w:noWrap w:val="0"/>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bCs/>
                <w:sz w:val="18"/>
                <w:szCs w:val="18"/>
                <w:vertAlign w:val="subscript"/>
              </w:rPr>
            </w:pPr>
            <w:r>
              <w:rPr>
                <w:rFonts w:hint="default" w:ascii="Times New Roman" w:hAnsi="Times New Roman" w:eastAsia="宋体" w:cs="Times New Roman"/>
                <w:bCs/>
                <w:sz w:val="18"/>
                <w:szCs w:val="18"/>
                <w:lang w:val="en-US" w:eastAsia="zh-CN"/>
              </w:rPr>
              <w:t>VOCs</w:t>
            </w:r>
          </w:p>
        </w:tc>
        <w:tc>
          <w:tcPr>
            <w:tcW w:w="171"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2"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lang w:val="en-US" w:eastAsia="zh-CN"/>
              </w:rPr>
            </w:pPr>
          </w:p>
        </w:tc>
        <w:tc>
          <w:tcPr>
            <w:tcW w:w="24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lang w:val="en-US" w:eastAsia="zh-CN"/>
              </w:rPr>
            </w:pPr>
          </w:p>
        </w:tc>
        <w:tc>
          <w:tcPr>
            <w:tcW w:w="250"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lang w:val="en-US" w:eastAsia="zh-CN"/>
              </w:rPr>
            </w:pPr>
          </w:p>
        </w:tc>
        <w:tc>
          <w:tcPr>
            <w:tcW w:w="357"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lang w:val="en-US" w:eastAsia="zh-CN"/>
              </w:rPr>
            </w:pPr>
          </w:p>
        </w:tc>
        <w:tc>
          <w:tcPr>
            <w:tcW w:w="30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lang w:val="en-US" w:eastAsia="zh-CN"/>
              </w:rPr>
            </w:pPr>
          </w:p>
        </w:tc>
        <w:tc>
          <w:tcPr>
            <w:tcW w:w="23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rPr>
            </w:pPr>
          </w:p>
        </w:tc>
        <w:tc>
          <w:tcPr>
            <w:tcW w:w="874"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highlight w:val="yellow"/>
                <w:lang w:val="en-US" w:eastAsia="zh-CN" w:bidi="ar-SA"/>
              </w:rPr>
            </w:pPr>
          </w:p>
        </w:tc>
        <w:tc>
          <w:tcPr>
            <w:tcW w:w="228" w:type="pct"/>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rPr>
            </w:pPr>
          </w:p>
        </w:tc>
        <w:tc>
          <w:tcPr>
            <w:tcW w:w="269"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rPr>
            </w:pPr>
          </w:p>
        </w:tc>
        <w:tc>
          <w:tcPr>
            <w:tcW w:w="40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18"/>
                <w:szCs w:val="18"/>
                <w:highlight w:val="yellow"/>
                <w:lang w:val="en-US" w:eastAsia="zh-CN" w:bidi="ar-SA"/>
              </w:rPr>
            </w:pPr>
          </w:p>
        </w:tc>
        <w:tc>
          <w:tcPr>
            <w:tcW w:w="542" w:type="pct"/>
            <w:gridSpan w:val="2"/>
            <w:shd w:val="clear" w:color="auto" w:fill="auto"/>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3" w:type="pct"/>
            <w:gridSpan w:val="2"/>
            <w:tcBorders>
              <w:left w:val="nil"/>
              <w:bottom w:val="nil"/>
              <w:right w:val="nil"/>
            </w:tcBorders>
            <w:shd w:val="clear" w:color="auto" w:fill="CCE8CF"/>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注：</w:t>
            </w:r>
          </w:p>
        </w:tc>
        <w:tc>
          <w:tcPr>
            <w:tcW w:w="4796" w:type="pct"/>
            <w:gridSpan w:val="20"/>
            <w:tcBorders>
              <w:left w:val="nil"/>
              <w:bottom w:val="nil"/>
              <w:right w:val="nil"/>
            </w:tcBorders>
            <w:shd w:val="clear" w:color="auto" w:fill="CCE8CF"/>
            <w:noWrap w:val="0"/>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排放增减量：(+)表示增加、(—)表示减少；2、(12)=(6)—(8)—(11)、(9)=(4)—(5)—(8)-(11)+(1)；3、计量单位：废水排放量——万吨/年；废气排放量——万标立方米/年；工业固体废物排放量——万吨/年；水污染排放浓度——毫克/升；</w:t>
            </w:r>
          </w:p>
        </w:tc>
      </w:tr>
    </w:tbl>
    <w:p>
      <w:pPr>
        <w:pStyle w:val="3"/>
        <w:spacing w:after="0" w:line="360" w:lineRule="auto"/>
        <w:ind w:left="0" w:firstLine="562" w:firstLineChars="200"/>
        <w:rPr>
          <w:rFonts w:hint="default" w:ascii="Times New Roman" w:hAnsi="Times New Roman" w:eastAsia="宋体" w:cs="Times New Roman"/>
          <w:b/>
          <w:sz w:val="28"/>
          <w:szCs w:val="28"/>
        </w:rPr>
        <w:sectPr>
          <w:pgSz w:w="16838" w:h="11906" w:orient="landscape"/>
          <w:pgMar w:top="1588"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8"/>
        <w:bidi w:val="0"/>
        <w:spacing w:before="0" w:beforeAutospacing="0" w:after="0" w:afterAutospacing="0"/>
        <w:rPr>
          <w:rFonts w:hint="default" w:ascii="Times New Roman" w:hAnsi="Times New Roman" w:eastAsia="宋体" w:cs="Times New Roman"/>
          <w:sz w:val="24"/>
          <w:szCs w:val="24"/>
        </w:rPr>
      </w:pPr>
      <w:bookmarkStart w:id="80" w:name="_Toc523388557"/>
      <w:bookmarkStart w:id="81" w:name="_Toc523409009"/>
      <w:bookmarkStart w:id="82" w:name="_Toc9875"/>
      <w:r>
        <w:rPr>
          <w:rFonts w:hint="default" w:ascii="Times New Roman" w:hAnsi="Times New Roman" w:eastAsia="宋体" w:cs="Times New Roman"/>
          <w:sz w:val="24"/>
          <w:szCs w:val="24"/>
        </w:rPr>
        <w:t>附件1：</w:t>
      </w:r>
      <w:bookmarkEnd w:id="80"/>
      <w:bookmarkEnd w:id="81"/>
      <w:bookmarkStart w:id="83" w:name="_Toc523409012"/>
      <w:bookmarkStart w:id="84" w:name="_Toc523388560"/>
      <w:r>
        <w:rPr>
          <w:rFonts w:hint="default" w:ascii="Times New Roman" w:hAnsi="Times New Roman" w:eastAsia="宋体" w:cs="Times New Roman"/>
          <w:sz w:val="24"/>
          <w:szCs w:val="24"/>
        </w:rPr>
        <w:t>营业执照</w:t>
      </w:r>
      <w:bookmarkEnd w:id="82"/>
      <w:bookmarkEnd w:id="83"/>
      <w:bookmarkEnd w:id="84"/>
    </w:p>
    <w:p>
      <w:pPr>
        <w:bidi w:val="0"/>
        <w:spacing w:beforeAutospacing="0"/>
        <w:jc w:val="center"/>
        <w:rPr>
          <w:rFonts w:hint="default" w:ascii="Times New Roman" w:hAnsi="Times New Roman" w:eastAsia="宋体" w:cs="Times New Roman"/>
          <w:lang w:eastAsia="zh-CN"/>
        </w:rPr>
        <w:sectPr>
          <w:headerReference r:id="rId8" w:type="default"/>
          <w:footerReference r:id="rId9"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linePitch="312" w:charSpace="0"/>
        </w:sectPr>
      </w:pPr>
      <w:bookmarkStart w:id="85" w:name="_Toc4391"/>
      <w:r>
        <w:rPr>
          <w:rFonts w:hint="default" w:ascii="Times New Roman" w:hAnsi="Times New Roman" w:eastAsia="宋体" w:cs="Times New Roman"/>
          <w:lang w:eastAsia="zh-CN"/>
        </w:rPr>
        <w:drawing>
          <wp:inline distT="0" distB="0" distL="114300" distR="114300">
            <wp:extent cx="6055360" cy="4540885"/>
            <wp:effectExtent l="0" t="0" r="2540" b="12065"/>
            <wp:docPr id="60" name="图片 103" descr="2e910bbeb91c96fe8583febd293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3" descr="2e910bbeb91c96fe8583febd2936272"/>
                    <pic:cNvPicPr>
                      <a:picLocks noChangeAspect="1"/>
                    </pic:cNvPicPr>
                  </pic:nvPicPr>
                  <pic:blipFill>
                    <a:blip r:embed="rId31"/>
                    <a:stretch>
                      <a:fillRect/>
                    </a:stretch>
                  </pic:blipFill>
                  <pic:spPr>
                    <a:xfrm>
                      <a:off x="0" y="0"/>
                      <a:ext cx="6055360" cy="4540885"/>
                    </a:xfrm>
                    <a:prstGeom prst="rect">
                      <a:avLst/>
                    </a:prstGeom>
                    <a:noFill/>
                    <a:ln>
                      <a:noFill/>
                    </a:ln>
                  </pic:spPr>
                </pic:pic>
              </a:graphicData>
            </a:graphic>
          </wp:inline>
        </w:drawing>
      </w:r>
      <w:bookmarkEnd w:id="85"/>
    </w:p>
    <w:p>
      <w:pPr>
        <w:pStyle w:val="8"/>
        <w:bidi w:val="0"/>
        <w:spacing w:before="0" w:beforeAutospacing="0" w:after="0" w:afterAutospacing="0"/>
        <w:rPr>
          <w:rFonts w:hint="default" w:ascii="Times New Roman" w:hAnsi="Times New Roman" w:eastAsia="宋体" w:cs="Times New Roman"/>
          <w:sz w:val="24"/>
          <w:szCs w:val="24"/>
        </w:rPr>
      </w:pPr>
      <w:bookmarkStart w:id="86" w:name="_Toc523388561"/>
      <w:bookmarkStart w:id="87" w:name="_Toc24230"/>
      <w:r>
        <w:rPr>
          <w:rFonts w:hint="default" w:ascii="Times New Roman" w:hAnsi="Times New Roman" w:eastAsia="宋体" w:cs="Times New Roman"/>
          <w:sz w:val="24"/>
          <w:szCs w:val="24"/>
        </w:rPr>
        <w:t>附件</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：环评批复</w:t>
      </w:r>
      <w:bookmarkEnd w:id="86"/>
      <w:bookmarkEnd w:id="87"/>
    </w:p>
    <w:p>
      <w:pPr>
        <w:pStyle w:val="47"/>
        <w:spacing w:line="360" w:lineRule="auto"/>
        <w:ind w:firstLine="0" w:firstLineChars="0"/>
        <w:jc w:val="left"/>
        <w:outlineLvl w:val="9"/>
        <w:rPr>
          <w:rFonts w:hint="default" w:ascii="Times New Roman" w:hAnsi="Times New Roman" w:eastAsia="宋体" w:cs="Times New Roman"/>
          <w:b/>
          <w:color w:val="000000"/>
          <w:sz w:val="28"/>
          <w:szCs w:val="32"/>
          <w:lang w:eastAsia="zh-CN"/>
        </w:rPr>
      </w:pPr>
      <w:r>
        <w:rPr>
          <w:rFonts w:hint="default" w:ascii="Times New Roman" w:hAnsi="Times New Roman" w:eastAsia="宋体" w:cs="Times New Roman"/>
        </w:rPr>
        <w:drawing>
          <wp:inline distT="0" distB="0" distL="114300" distR="114300">
            <wp:extent cx="5235575" cy="7200265"/>
            <wp:effectExtent l="0" t="0" r="3175" b="635"/>
            <wp:docPr id="6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3"/>
                    <pic:cNvPicPr>
                      <a:picLocks noChangeAspect="1"/>
                    </pic:cNvPicPr>
                  </pic:nvPicPr>
                  <pic:blipFill>
                    <a:blip r:embed="rId32"/>
                    <a:stretch>
                      <a:fillRect/>
                    </a:stretch>
                  </pic:blipFill>
                  <pic:spPr>
                    <a:xfrm>
                      <a:off x="0" y="0"/>
                      <a:ext cx="5235575" cy="7200265"/>
                    </a:xfrm>
                    <a:prstGeom prst="rect">
                      <a:avLst/>
                    </a:prstGeom>
                    <a:noFill/>
                    <a:ln>
                      <a:noFill/>
                    </a:ln>
                  </pic:spPr>
                </pic:pic>
              </a:graphicData>
            </a:graphic>
          </wp:inline>
        </w:drawing>
      </w:r>
    </w:p>
    <w:p>
      <w:pPr>
        <w:jc w:val="both"/>
        <w:rPr>
          <w:rFonts w:hint="default" w:ascii="Times New Roman" w:hAnsi="Times New Roman" w:eastAsia="宋体" w:cs="Times New Roman"/>
          <w:b/>
          <w:sz w:val="44"/>
          <w:szCs w:val="44"/>
          <w:lang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sz w:val="44"/>
          <w:szCs w:val="44"/>
          <w:lang w:val="en-US" w:eastAsia="zh-CN"/>
        </w:rPr>
      </w:pPr>
      <w:r>
        <w:rPr>
          <w:rFonts w:hint="default" w:ascii="Times New Roman" w:hAnsi="Times New Roman" w:eastAsia="宋体" w:cs="Times New Roman"/>
          <w:b/>
          <w:sz w:val="44"/>
          <w:szCs w:val="4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rPr>
        <w:drawing>
          <wp:inline distT="0" distB="0" distL="114300" distR="114300">
            <wp:extent cx="5262880" cy="7237730"/>
            <wp:effectExtent l="0" t="0" r="13970" b="1270"/>
            <wp:docPr id="6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4"/>
                    <pic:cNvPicPr>
                      <a:picLocks noChangeAspect="1"/>
                    </pic:cNvPicPr>
                  </pic:nvPicPr>
                  <pic:blipFill>
                    <a:blip r:embed="rId33"/>
                    <a:stretch>
                      <a:fillRect/>
                    </a:stretch>
                  </pic:blipFill>
                  <pic:spPr>
                    <a:xfrm>
                      <a:off x="0" y="0"/>
                      <a:ext cx="5262880" cy="7237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lang w:val="en-US" w:eastAsia="zh-CN"/>
        </w:rPr>
      </w:pP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jc w:val="both"/>
        <w:textAlignment w:val="auto"/>
        <w:rPr>
          <w:rFonts w:hint="default" w:ascii="Times New Roman" w:hAnsi="Times New Roman" w:eastAsia="宋体" w:cs="Times New Roman"/>
        </w:rPr>
      </w:pPr>
    </w:p>
    <w:p>
      <w:pP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262880" cy="7237730"/>
            <wp:effectExtent l="0" t="0" r="13970" b="1270"/>
            <wp:docPr id="6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5"/>
                    <pic:cNvPicPr>
                      <a:picLocks noChangeAspect="1"/>
                    </pic:cNvPicPr>
                  </pic:nvPicPr>
                  <pic:blipFill>
                    <a:blip r:embed="rId34"/>
                    <a:stretch>
                      <a:fillRect/>
                    </a:stretch>
                  </pic:blipFill>
                  <pic:spPr>
                    <a:xfrm>
                      <a:off x="0" y="0"/>
                      <a:ext cx="5262880" cy="7237730"/>
                    </a:xfrm>
                    <a:prstGeom prst="rect">
                      <a:avLst/>
                    </a:prstGeom>
                    <a:noFill/>
                    <a:ln>
                      <a:noFill/>
                    </a:ln>
                  </pic:spPr>
                </pic:pic>
              </a:graphicData>
            </a:graphic>
          </wp:inline>
        </w:drawing>
      </w:r>
    </w:p>
    <w:p>
      <w:pPr>
        <w:pStyle w:val="20"/>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262880" cy="7237730"/>
            <wp:effectExtent l="0" t="0" r="13970" b="1270"/>
            <wp:docPr id="6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6"/>
                    <pic:cNvPicPr>
                      <a:picLocks noChangeAspect="1"/>
                    </pic:cNvPicPr>
                  </pic:nvPicPr>
                  <pic:blipFill>
                    <a:blip r:embed="rId35"/>
                    <a:stretch>
                      <a:fillRect/>
                    </a:stretch>
                  </pic:blipFill>
                  <pic:spPr>
                    <a:xfrm>
                      <a:off x="0" y="0"/>
                      <a:ext cx="5262880" cy="7237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00" w:firstLineChars="200"/>
        <w:jc w:val="both"/>
        <w:textAlignment w:val="auto"/>
        <w:rPr>
          <w:rFonts w:hint="default" w:ascii="Times New Roman" w:hAnsi="Times New Roman" w:eastAsia="宋体" w:cs="Times New Roman"/>
        </w:rPr>
      </w:pPr>
    </w:p>
    <w:p>
      <w:pPr>
        <w:rPr>
          <w:rFonts w:hint="default" w:ascii="Times New Roman" w:hAnsi="Times New Roman" w:eastAsia="宋体" w:cs="Times New Roman"/>
        </w:rPr>
      </w:pPr>
    </w:p>
    <w:p>
      <w:pPr>
        <w:pStyle w:val="8"/>
        <w:bidi w:val="0"/>
        <w:spacing w:before="0" w:beforeAutospacing="0" w:after="0" w:afterAutospacing="0"/>
        <w:rPr>
          <w:rFonts w:hint="default" w:ascii="Times New Roman" w:hAnsi="Times New Roman" w:eastAsia="宋体" w:cs="Times New Roman"/>
          <w:sz w:val="24"/>
          <w:szCs w:val="24"/>
          <w:lang w:val="en-US" w:eastAsia="zh-CN"/>
        </w:rPr>
      </w:pPr>
      <w:bookmarkStart w:id="88" w:name="_Toc3595"/>
      <w:bookmarkStart w:id="89" w:name="_Toc523409025"/>
      <w:bookmarkStart w:id="90" w:name="_Toc523388573"/>
      <w:r>
        <w:rPr>
          <w:rFonts w:hint="eastAsia" w:ascii="Times New Roman" w:hAnsi="Times New Roman" w:cs="Times New Roman"/>
          <w:sz w:val="24"/>
          <w:szCs w:val="24"/>
          <w:lang w:val="en-US" w:eastAsia="zh-CN"/>
        </w:rPr>
        <w:t>附件3</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排污许可证</w:t>
      </w:r>
      <w:bookmarkEnd w:id="88"/>
    </w:p>
    <w:p>
      <w:pPr>
        <w:rPr>
          <w:rFonts w:hint="default" w:ascii="Times New Roman" w:hAnsi="Times New Roman" w:eastAsia="宋体" w:cs="Times New Roman"/>
          <w:sz w:val="24"/>
          <w:lang w:eastAsia="zh-CN"/>
        </w:rPr>
      </w:pPr>
      <w:r>
        <w:rPr>
          <w:rFonts w:hint="default" w:ascii="Times New Roman" w:hAnsi="Times New Roman" w:eastAsia="宋体" w:cs="Times New Roman"/>
        </w:rPr>
        <w:drawing>
          <wp:inline distT="0" distB="0" distL="114300" distR="114300">
            <wp:extent cx="5632450" cy="7913370"/>
            <wp:effectExtent l="0" t="0" r="6350" b="11430"/>
            <wp:docPr id="7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6"/>
                    <pic:cNvPicPr>
                      <a:picLocks noChangeAspect="1"/>
                    </pic:cNvPicPr>
                  </pic:nvPicPr>
                  <pic:blipFill>
                    <a:blip r:embed="rId36"/>
                    <a:stretch>
                      <a:fillRect/>
                    </a:stretch>
                  </pic:blipFill>
                  <pic:spPr>
                    <a:xfrm>
                      <a:off x="0" y="0"/>
                      <a:ext cx="5632450" cy="7913370"/>
                    </a:xfrm>
                    <a:prstGeom prst="rect">
                      <a:avLst/>
                    </a:prstGeom>
                    <a:noFill/>
                    <a:ln>
                      <a:noFill/>
                    </a:ln>
                  </pic:spPr>
                </pic:pic>
              </a:graphicData>
            </a:graphic>
          </wp:inline>
        </w:drawing>
      </w:r>
    </w:p>
    <w:p>
      <w:pPr>
        <w:pStyle w:val="23"/>
        <w:rPr>
          <w:rFonts w:hint="default" w:ascii="Times New Roman" w:hAnsi="Times New Roman" w:eastAsia="宋体" w:cs="Times New Roman"/>
          <w:sz w:val="24"/>
        </w:rPr>
      </w:pPr>
    </w:p>
    <w:p>
      <w:pPr>
        <w:pStyle w:val="20"/>
        <w:rPr>
          <w:rFonts w:hint="default" w:ascii="Times New Roman" w:hAnsi="Times New Roman" w:eastAsia="宋体" w:cs="Times New Roman"/>
          <w:sz w:val="24"/>
        </w:rPr>
      </w:pPr>
    </w:p>
    <w:p>
      <w:pPr>
        <w:bidi w:val="0"/>
        <w:jc w:val="left"/>
        <w:rPr>
          <w:rStyle w:val="35"/>
          <w:rFonts w:hint="eastAsia"/>
          <w:sz w:val="24"/>
          <w:szCs w:val="24"/>
          <w:lang w:val="en-US" w:eastAsia="zh-CN"/>
        </w:rPr>
      </w:pPr>
      <w:bookmarkStart w:id="91" w:name="_Toc6893"/>
      <w:r>
        <w:rPr>
          <w:rStyle w:val="35"/>
          <w:rFonts w:hint="default"/>
          <w:sz w:val="24"/>
          <w:szCs w:val="24"/>
        </w:rPr>
        <w:t>附件</w:t>
      </w:r>
      <w:r>
        <w:rPr>
          <w:rStyle w:val="35"/>
          <w:rFonts w:hint="eastAsia"/>
          <w:sz w:val="24"/>
          <w:szCs w:val="24"/>
          <w:lang w:val="en-US" w:eastAsia="zh-CN"/>
        </w:rPr>
        <w:t>4</w:t>
      </w:r>
      <w:r>
        <w:rPr>
          <w:rStyle w:val="35"/>
          <w:rFonts w:hint="default"/>
          <w:sz w:val="24"/>
          <w:szCs w:val="24"/>
        </w:rPr>
        <w:t>：</w:t>
      </w:r>
      <w:r>
        <w:rPr>
          <w:rStyle w:val="35"/>
          <w:rFonts w:hint="default"/>
          <w:sz w:val="24"/>
          <w:szCs w:val="24"/>
          <w:lang w:val="en-US" w:eastAsia="zh-CN"/>
        </w:rPr>
        <w:t>危废</w:t>
      </w:r>
      <w:r>
        <w:rPr>
          <w:rStyle w:val="35"/>
          <w:rFonts w:hint="eastAsia"/>
          <w:sz w:val="24"/>
          <w:szCs w:val="24"/>
          <w:lang w:val="en-US" w:eastAsia="zh-CN"/>
        </w:rPr>
        <w:t>运转协议</w:t>
      </w:r>
    </w:p>
    <w:bookmarkEnd w:id="91"/>
    <w:p>
      <w:pPr>
        <w:bidi w:val="0"/>
        <w:jc w:val="left"/>
        <w:rPr>
          <w:rStyle w:val="35"/>
          <w:rFonts w:hint="eastAsia"/>
          <w:sz w:val="24"/>
          <w:szCs w:val="24"/>
          <w:lang w:val="en-US" w:eastAsia="zh-CN"/>
        </w:rPr>
      </w:pPr>
    </w:p>
    <w:p>
      <w:pPr>
        <w:bidi w:val="0"/>
        <w:jc w:val="left"/>
        <w:rPr>
          <w:rStyle w:val="35"/>
          <w:rFonts w:hint="eastAsia"/>
          <w:sz w:val="24"/>
          <w:szCs w:val="24"/>
          <w:lang w:val="en-US" w:eastAsia="zh-CN"/>
        </w:rPr>
      </w:pPr>
    </w:p>
    <w:p>
      <w:pPr>
        <w:bidi w:val="0"/>
        <w:rPr>
          <w:rFonts w:hint="default"/>
          <w:lang w:val="en-US" w:eastAsia="zh-CN"/>
        </w:rPr>
      </w:pPr>
      <w:r>
        <w:rPr>
          <w:rFonts w:hint="default"/>
          <w:lang w:val="en-US" w:eastAsia="zh-CN"/>
        </w:rPr>
        <w:drawing>
          <wp:inline distT="0" distB="0" distL="114300" distR="114300">
            <wp:extent cx="5629910" cy="7233920"/>
            <wp:effectExtent l="0" t="0" r="8890" b="5080"/>
            <wp:docPr id="6" name="图片 6" descr="菏泽石油分公司危险废物委托处置合同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菏泽石油分公司危险废物委托处置合同_页面_01"/>
                    <pic:cNvPicPr>
                      <a:picLocks noChangeAspect="1"/>
                    </pic:cNvPicPr>
                  </pic:nvPicPr>
                  <pic:blipFill>
                    <a:blip r:embed="rId37"/>
                    <a:srcRect t="2965" b="6241"/>
                    <a:stretch>
                      <a:fillRect/>
                    </a:stretch>
                  </pic:blipFill>
                  <pic:spPr>
                    <a:xfrm>
                      <a:off x="0" y="0"/>
                      <a:ext cx="5629910" cy="7233920"/>
                    </a:xfrm>
                    <a:prstGeom prst="rect">
                      <a:avLst/>
                    </a:prstGeom>
                  </pic:spPr>
                </pic:pic>
              </a:graphicData>
            </a:graphic>
          </wp:inline>
        </w:drawing>
      </w:r>
    </w:p>
    <w:p>
      <w:pPr>
        <w:bidi w:val="0"/>
        <w:rPr>
          <w:rFonts w:hint="default"/>
          <w:lang w:val="en-US" w:eastAsia="zh-CN"/>
        </w:rPr>
      </w:pPr>
      <w:r>
        <w:rPr>
          <w:rFonts w:hint="default"/>
          <w:lang w:val="en-US" w:eastAsia="zh-CN"/>
        </w:rPr>
        <w:drawing>
          <wp:inline distT="0" distB="0" distL="114300" distR="114300">
            <wp:extent cx="5629910" cy="7967345"/>
            <wp:effectExtent l="0" t="0" r="8890" b="14605"/>
            <wp:docPr id="51" name="图片 51" descr="菏泽石油分公司危险废物委托处置合同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菏泽石油分公司危险废物委托处置合同_页面_02"/>
                    <pic:cNvPicPr>
                      <a:picLocks noChangeAspect="1"/>
                    </pic:cNvPicPr>
                  </pic:nvPicPr>
                  <pic:blipFill>
                    <a:blip r:embed="rId38"/>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54" name="图片 54" descr="菏泽石油分公司危险废物委托处置合同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菏泽石油分公司危险废物委托处置合同_页面_03"/>
                    <pic:cNvPicPr>
                      <a:picLocks noChangeAspect="1"/>
                    </pic:cNvPicPr>
                  </pic:nvPicPr>
                  <pic:blipFill>
                    <a:blip r:embed="rId39"/>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65" name="图片 65" descr="菏泽石油分公司危险废物委托处置合同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菏泽石油分公司危险废物委托处置合同_页面_04"/>
                    <pic:cNvPicPr>
                      <a:picLocks noChangeAspect="1"/>
                    </pic:cNvPicPr>
                  </pic:nvPicPr>
                  <pic:blipFill>
                    <a:blip r:embed="rId40"/>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66" name="图片 66" descr="菏泽石油分公司危险废物委托处置合同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菏泽石油分公司危险废物委托处置合同_页面_05"/>
                    <pic:cNvPicPr>
                      <a:picLocks noChangeAspect="1"/>
                    </pic:cNvPicPr>
                  </pic:nvPicPr>
                  <pic:blipFill>
                    <a:blip r:embed="rId41"/>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67" name="图片 67" descr="菏泽石油分公司危险废物委托处置合同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菏泽石油分公司危险废物委托处置合同_页面_06"/>
                    <pic:cNvPicPr>
                      <a:picLocks noChangeAspect="1"/>
                    </pic:cNvPicPr>
                  </pic:nvPicPr>
                  <pic:blipFill>
                    <a:blip r:embed="rId42"/>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68" name="图片 68" descr="菏泽石油分公司危险废物委托处置合同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菏泽石油分公司危险废物委托处置合同_页面_07"/>
                    <pic:cNvPicPr>
                      <a:picLocks noChangeAspect="1"/>
                    </pic:cNvPicPr>
                  </pic:nvPicPr>
                  <pic:blipFill>
                    <a:blip r:embed="rId43"/>
                    <a:stretch>
                      <a:fillRect/>
                    </a:stretch>
                  </pic:blipFill>
                  <pic:spPr>
                    <a:xfrm>
                      <a:off x="0" y="0"/>
                      <a:ext cx="5629910" cy="7967345"/>
                    </a:xfrm>
                    <a:prstGeom prst="rect">
                      <a:avLst/>
                    </a:prstGeom>
                  </pic:spPr>
                </pic:pic>
              </a:graphicData>
            </a:graphic>
          </wp:inline>
        </w:drawing>
      </w:r>
      <w:r>
        <w:rPr>
          <w:rFonts w:hint="default"/>
          <w:lang w:val="en-US" w:eastAsia="zh-CN"/>
        </w:rPr>
        <w:drawing>
          <wp:inline distT="0" distB="0" distL="114300" distR="114300">
            <wp:extent cx="5629910" cy="7967345"/>
            <wp:effectExtent l="0" t="0" r="8890" b="14605"/>
            <wp:docPr id="69" name="图片 69" descr="菏泽石油分公司危险废物委托处置合同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菏泽石油分公司危险废物委托处置合同_页面_08"/>
                    <pic:cNvPicPr>
                      <a:picLocks noChangeAspect="1"/>
                    </pic:cNvPicPr>
                  </pic:nvPicPr>
                  <pic:blipFill>
                    <a:blip r:embed="rId44"/>
                    <a:stretch>
                      <a:fillRect/>
                    </a:stretch>
                  </pic:blipFill>
                  <pic:spPr>
                    <a:xfrm>
                      <a:off x="0" y="0"/>
                      <a:ext cx="5629910" cy="7967345"/>
                    </a:xfrm>
                    <a:prstGeom prst="rect">
                      <a:avLst/>
                    </a:prstGeom>
                  </pic:spPr>
                </pic:pic>
              </a:graphicData>
            </a:graphic>
          </wp:inline>
        </w:drawing>
      </w:r>
    </w:p>
    <w:p>
      <w:pPr>
        <w:bidi w:val="0"/>
        <w:rPr>
          <w:rFonts w:hint="eastAsia"/>
          <w:lang w:eastAsia="zh-CN"/>
        </w:rPr>
      </w:pPr>
      <w:r>
        <w:rPr>
          <w:rFonts w:hint="eastAsia"/>
          <w:lang w:eastAsia="zh-CN"/>
        </w:rPr>
        <w:drawing>
          <wp:inline distT="0" distB="0" distL="114300" distR="114300">
            <wp:extent cx="5629910" cy="7967345"/>
            <wp:effectExtent l="0" t="0" r="8890" b="14605"/>
            <wp:docPr id="71" name="图片 71" descr="菏泽石油分公司危险废物委托处置合同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菏泽石油分公司危险废物委托处置合同_页面_09"/>
                    <pic:cNvPicPr>
                      <a:picLocks noChangeAspect="1"/>
                    </pic:cNvPicPr>
                  </pic:nvPicPr>
                  <pic:blipFill>
                    <a:blip r:embed="rId45"/>
                    <a:stretch>
                      <a:fillRect/>
                    </a:stretch>
                  </pic:blipFill>
                  <pic:spPr>
                    <a:xfrm>
                      <a:off x="0" y="0"/>
                      <a:ext cx="5629910" cy="7967345"/>
                    </a:xfrm>
                    <a:prstGeom prst="rect">
                      <a:avLst/>
                    </a:prstGeom>
                  </pic:spPr>
                </pic:pic>
              </a:graphicData>
            </a:graphic>
          </wp:inline>
        </w:drawing>
      </w:r>
    </w:p>
    <w:p>
      <w:pPr>
        <w:bidi w:val="0"/>
        <w:rPr>
          <w:rFonts w:hint="default"/>
          <w:lang w:eastAsia="zh-CN"/>
        </w:rPr>
      </w:pPr>
    </w:p>
    <w:p>
      <w:pPr>
        <w:bidi w:val="0"/>
        <w:rPr>
          <w:rFonts w:hint="eastAsia"/>
          <w:lang w:eastAsia="zh-CN"/>
        </w:rPr>
      </w:pPr>
      <w:r>
        <w:rPr>
          <w:rFonts w:hint="eastAsia"/>
          <w:lang w:eastAsia="zh-CN"/>
        </w:rPr>
        <w:drawing>
          <wp:inline distT="0" distB="0" distL="114300" distR="114300">
            <wp:extent cx="5629910" cy="7967345"/>
            <wp:effectExtent l="0" t="0" r="8890" b="14605"/>
            <wp:docPr id="72" name="图片 72" descr="菏泽石油分公司危险废物委托处置合同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菏泽石油分公司危险废物委托处置合同_页面_10"/>
                    <pic:cNvPicPr>
                      <a:picLocks noChangeAspect="1"/>
                    </pic:cNvPicPr>
                  </pic:nvPicPr>
                  <pic:blipFill>
                    <a:blip r:embed="rId46"/>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73" name="图片 73" descr="菏泽石油分公司危险废物委托处置合同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菏泽石油分公司危险废物委托处置合同_页面_11"/>
                    <pic:cNvPicPr>
                      <a:picLocks noChangeAspect="1"/>
                    </pic:cNvPicPr>
                  </pic:nvPicPr>
                  <pic:blipFill>
                    <a:blip r:embed="rId47"/>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74" name="图片 74" descr="菏泽石油分公司危险废物委托处置合同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菏泽石油分公司危险废物委托处置合同_页面_12"/>
                    <pic:cNvPicPr>
                      <a:picLocks noChangeAspect="1"/>
                    </pic:cNvPicPr>
                  </pic:nvPicPr>
                  <pic:blipFill>
                    <a:blip r:embed="rId48"/>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75" name="图片 75" descr="菏泽石油分公司危险废物委托处置合同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菏泽石油分公司危险废物委托处置合同_页面_13"/>
                    <pic:cNvPicPr>
                      <a:picLocks noChangeAspect="1"/>
                    </pic:cNvPicPr>
                  </pic:nvPicPr>
                  <pic:blipFill>
                    <a:blip r:embed="rId49"/>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76" name="图片 76" descr="菏泽石油分公司危险废物委托处置合同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菏泽石油分公司危险废物委托处置合同_页面_14"/>
                    <pic:cNvPicPr>
                      <a:picLocks noChangeAspect="1"/>
                    </pic:cNvPicPr>
                  </pic:nvPicPr>
                  <pic:blipFill>
                    <a:blip r:embed="rId50"/>
                    <a:stretch>
                      <a:fillRect/>
                    </a:stretch>
                  </pic:blipFill>
                  <pic:spPr>
                    <a:xfrm>
                      <a:off x="0" y="0"/>
                      <a:ext cx="5629910" cy="7967345"/>
                    </a:xfrm>
                    <a:prstGeom prst="rect">
                      <a:avLst/>
                    </a:prstGeom>
                  </pic:spPr>
                </pic:pic>
              </a:graphicData>
            </a:graphic>
          </wp:inline>
        </w:drawing>
      </w:r>
    </w:p>
    <w:p>
      <w:pPr>
        <w:bidi w:val="0"/>
        <w:rPr>
          <w:rFonts w:hint="eastAsia"/>
          <w:lang w:eastAsia="zh-CN"/>
        </w:rPr>
      </w:pPr>
      <w:r>
        <w:rPr>
          <w:rFonts w:hint="eastAsia"/>
          <w:lang w:eastAsia="zh-CN"/>
        </w:rPr>
        <w:drawing>
          <wp:inline distT="0" distB="0" distL="114300" distR="114300">
            <wp:extent cx="5629910" cy="7967345"/>
            <wp:effectExtent l="0" t="0" r="8890" b="14605"/>
            <wp:docPr id="83" name="图片 83" descr="菏泽石油分公司危险废物委托处置合同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菏泽石油分公司危险废物委托处置合同_页面_15"/>
                    <pic:cNvPicPr>
                      <a:picLocks noChangeAspect="1"/>
                    </pic:cNvPicPr>
                  </pic:nvPicPr>
                  <pic:blipFill>
                    <a:blip r:embed="rId51"/>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84" name="图片 84" descr="菏泽石油分公司危险废物委托处置合同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菏泽石油分公司危险废物委托处置合同_页面_16"/>
                    <pic:cNvPicPr>
                      <a:picLocks noChangeAspect="1"/>
                    </pic:cNvPicPr>
                  </pic:nvPicPr>
                  <pic:blipFill>
                    <a:blip r:embed="rId52"/>
                    <a:stretch>
                      <a:fillRect/>
                    </a:stretch>
                  </pic:blipFill>
                  <pic:spPr>
                    <a:xfrm>
                      <a:off x="0" y="0"/>
                      <a:ext cx="5629910" cy="7967345"/>
                    </a:xfrm>
                    <a:prstGeom prst="rect">
                      <a:avLst/>
                    </a:prstGeom>
                  </pic:spPr>
                </pic:pic>
              </a:graphicData>
            </a:graphic>
          </wp:inline>
        </w:drawing>
      </w:r>
      <w:r>
        <w:rPr>
          <w:rFonts w:hint="eastAsia"/>
          <w:lang w:eastAsia="zh-CN"/>
        </w:rPr>
        <w:drawing>
          <wp:inline distT="0" distB="0" distL="114300" distR="114300">
            <wp:extent cx="5629910" cy="7967345"/>
            <wp:effectExtent l="0" t="0" r="8890" b="14605"/>
            <wp:docPr id="85" name="图片 85" descr="菏泽石油分公司危险废物委托处置合同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菏泽石油分公司危险废物委托处置合同_页面_17"/>
                    <pic:cNvPicPr>
                      <a:picLocks noChangeAspect="1"/>
                    </pic:cNvPicPr>
                  </pic:nvPicPr>
                  <pic:blipFill>
                    <a:blip r:embed="rId53"/>
                    <a:stretch>
                      <a:fillRect/>
                    </a:stretch>
                  </pic:blipFill>
                  <pic:spPr>
                    <a:xfrm>
                      <a:off x="0" y="0"/>
                      <a:ext cx="5629910" cy="7967345"/>
                    </a:xfrm>
                    <a:prstGeom prst="rect">
                      <a:avLst/>
                    </a:prstGeom>
                  </pic:spPr>
                </pic:pic>
              </a:graphicData>
            </a:graphic>
          </wp:inline>
        </w:drawing>
      </w:r>
    </w:p>
    <w:p>
      <w:pPr>
        <w:pStyle w:val="31"/>
        <w:spacing w:line="360" w:lineRule="auto"/>
        <w:rPr>
          <w:rFonts w:hint="default" w:ascii="Times New Roman" w:hAnsi="Times New Roman" w:eastAsia="宋体" w:cs="Times New Roman"/>
        </w:rPr>
      </w:pPr>
    </w:p>
    <w:p>
      <w:pPr>
        <w:pStyle w:val="31"/>
        <w:spacing w:line="360" w:lineRule="auto"/>
        <w:rPr>
          <w:rFonts w:hint="default" w:ascii="Times New Roman" w:hAnsi="Times New Roman" w:eastAsia="宋体" w:cs="Times New Roman"/>
        </w:rPr>
      </w:pPr>
    </w:p>
    <w:p>
      <w:pPr>
        <w:pStyle w:val="31"/>
        <w:spacing w:line="360" w:lineRule="auto"/>
        <w:rPr>
          <w:rFonts w:hint="default" w:ascii="Times New Roman" w:hAnsi="Times New Roman" w:eastAsia="宋体" w:cs="Times New Roman"/>
        </w:rPr>
      </w:pPr>
    </w:p>
    <w:p>
      <w:pPr>
        <w:pStyle w:val="8"/>
        <w:bidi w:val="0"/>
        <w:spacing w:before="0" w:beforeAutospacing="0" w:after="0" w:afterAutospacing="0"/>
        <w:rPr>
          <w:rFonts w:hint="default" w:ascii="Times New Roman" w:hAnsi="Times New Roman" w:eastAsia="宋体" w:cs="Times New Roman"/>
          <w:sz w:val="24"/>
          <w:szCs w:val="24"/>
        </w:rPr>
      </w:pPr>
      <w:bookmarkStart w:id="92" w:name="_Toc32070"/>
      <w:r>
        <w:rPr>
          <w:rFonts w:hint="default" w:ascii="Times New Roman" w:hAnsi="Times New Roman" w:eastAsia="宋体" w:cs="Times New Roman"/>
          <w:sz w:val="24"/>
          <w:szCs w:val="24"/>
        </w:rPr>
        <w:t>附件</w:t>
      </w:r>
      <w:r>
        <w:rPr>
          <w:rFonts w:hint="eastAsia" w:ascii="Times New Roman" w:hAnsi="Times New Roman" w:cs="Times New Roman"/>
          <w:sz w:val="24"/>
          <w:szCs w:val="24"/>
          <w:lang w:val="en-US" w:eastAsia="zh-CN"/>
        </w:rPr>
        <w:t>5</w:t>
      </w:r>
      <w:r>
        <w:rPr>
          <w:rFonts w:hint="default" w:ascii="Times New Roman" w:hAnsi="Times New Roman" w:eastAsia="宋体" w:cs="Times New Roman"/>
          <w:sz w:val="24"/>
          <w:szCs w:val="24"/>
        </w:rPr>
        <w:t>：监测报告</w:t>
      </w:r>
      <w:bookmarkEnd w:id="89"/>
      <w:bookmarkEnd w:id="90"/>
      <w:bookmarkEnd w:id="92"/>
    </w:p>
    <w:p>
      <w:pPr>
        <w:spacing w:line="360" w:lineRule="auto"/>
        <w:jc w:val="both"/>
        <w:rPr>
          <w:rFonts w:hint="default" w:ascii="Times New Roman" w:hAnsi="Times New Roman" w:eastAsia="宋体" w:cs="Times New Roman"/>
        </w:rPr>
      </w:pPr>
    </w:p>
    <w:p>
      <w:pPr>
        <w:spacing w:line="360" w:lineRule="auto"/>
        <w:jc w:val="both"/>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631180" cy="7967345"/>
            <wp:effectExtent l="0" t="0" r="7620" b="14605"/>
            <wp:docPr id="8" name="图片 8" descr="0110016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110016_页面_1"/>
                    <pic:cNvPicPr>
                      <a:picLocks noChangeAspect="1"/>
                    </pic:cNvPicPr>
                  </pic:nvPicPr>
                  <pic:blipFill>
                    <a:blip r:embed="rId54"/>
                    <a:stretch>
                      <a:fillRect/>
                    </a:stretch>
                  </pic:blipFill>
                  <pic:spPr>
                    <a:xfrm>
                      <a:off x="0" y="0"/>
                      <a:ext cx="5631180" cy="7967345"/>
                    </a:xfrm>
                    <a:prstGeom prst="rect">
                      <a:avLst/>
                    </a:prstGeom>
                  </pic:spPr>
                </pic:pic>
              </a:graphicData>
            </a:graphic>
          </wp:inline>
        </w:drawing>
      </w:r>
    </w:p>
    <w:p>
      <w:pPr>
        <w:spacing w:line="360" w:lineRule="auto"/>
        <w:jc w:val="both"/>
        <w:rPr>
          <w:rFonts w:hint="default" w:ascii="Times New Roman" w:hAnsi="Times New Roman" w:eastAsia="宋体" w:cs="Times New Roman"/>
        </w:rPr>
      </w:pPr>
    </w:p>
    <w:p>
      <w:pPr>
        <w:spacing w:line="360" w:lineRule="auto"/>
        <w:jc w:val="both"/>
        <w:rPr>
          <w:rFonts w:hint="default" w:ascii="Times New Roman" w:hAnsi="Times New Roman" w:eastAsia="宋体" w:cs="Times New Roman"/>
        </w:rPr>
      </w:pPr>
    </w:p>
    <w:p>
      <w:pPr>
        <w:spacing w:line="360" w:lineRule="auto"/>
        <w:jc w:val="both"/>
        <w:rPr>
          <w:rFonts w:hint="default" w:ascii="Times New Roman" w:hAnsi="Times New Roman" w:eastAsia="宋体" w:cs="Times New Roman"/>
          <w:lang w:eastAsia="zh-CN"/>
        </w:rPr>
      </w:pPr>
    </w:p>
    <w:p>
      <w:pPr>
        <w:spacing w:line="360" w:lineRule="auto"/>
        <w:jc w:val="both"/>
        <w:rPr>
          <w:rFonts w:hint="default" w:ascii="Times New Roman" w:hAnsi="Times New Roman" w:eastAsia="宋体" w:cs="Times New Roman"/>
          <w:lang w:eastAsia="zh-CN"/>
        </w:rPr>
        <w:sectPr>
          <w:headerReference r:id="rId10" w:type="default"/>
          <w:footerReference r:id="rId11" w:type="default"/>
          <w:pgSz w:w="11906" w:h="16838"/>
          <w:pgMar w:top="1440" w:right="1440"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lang w:eastAsia="zh-CN"/>
        </w:rPr>
        <w:drawing>
          <wp:inline distT="0" distB="0" distL="114300" distR="114300">
            <wp:extent cx="5631180" cy="7969250"/>
            <wp:effectExtent l="0" t="0" r="7620" b="12700"/>
            <wp:docPr id="77" name="图片 77" descr="0110016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110016_页面_2"/>
                    <pic:cNvPicPr>
                      <a:picLocks noChangeAspect="1"/>
                    </pic:cNvPicPr>
                  </pic:nvPicPr>
                  <pic:blipFill>
                    <a:blip r:embed="rId55"/>
                    <a:stretch>
                      <a:fillRect/>
                    </a:stretch>
                  </pic:blipFill>
                  <pic:spPr>
                    <a:xfrm>
                      <a:off x="0" y="0"/>
                      <a:ext cx="5631180" cy="79692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345"/>
            <wp:effectExtent l="0" t="0" r="7620" b="14605"/>
            <wp:docPr id="86" name="图片 86" descr="0110016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110016_页面_3"/>
                    <pic:cNvPicPr>
                      <a:picLocks noChangeAspect="1"/>
                    </pic:cNvPicPr>
                  </pic:nvPicPr>
                  <pic:blipFill>
                    <a:blip r:embed="rId56"/>
                    <a:stretch>
                      <a:fillRect/>
                    </a:stretch>
                  </pic:blipFill>
                  <pic:spPr>
                    <a:xfrm>
                      <a:off x="0" y="0"/>
                      <a:ext cx="5631180"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0545" cy="7967345"/>
            <wp:effectExtent l="0" t="0" r="8255" b="14605"/>
            <wp:docPr id="87" name="图片 87" descr="0110016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110016_页面_4"/>
                    <pic:cNvPicPr>
                      <a:picLocks noChangeAspect="1"/>
                    </pic:cNvPicPr>
                  </pic:nvPicPr>
                  <pic:blipFill>
                    <a:blip r:embed="rId57"/>
                    <a:stretch>
                      <a:fillRect/>
                    </a:stretch>
                  </pic:blipFill>
                  <pic:spPr>
                    <a:xfrm>
                      <a:off x="0" y="0"/>
                      <a:ext cx="5630545"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345"/>
            <wp:effectExtent l="0" t="0" r="7620" b="14605"/>
            <wp:docPr id="88" name="图片 88" descr="0110016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110016_页面_5"/>
                    <pic:cNvPicPr>
                      <a:picLocks noChangeAspect="1"/>
                    </pic:cNvPicPr>
                  </pic:nvPicPr>
                  <pic:blipFill>
                    <a:blip r:embed="rId58"/>
                    <a:stretch>
                      <a:fillRect/>
                    </a:stretch>
                  </pic:blipFill>
                  <pic:spPr>
                    <a:xfrm>
                      <a:off x="0" y="0"/>
                      <a:ext cx="5631180"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9250"/>
            <wp:effectExtent l="0" t="0" r="7620" b="12700"/>
            <wp:docPr id="89" name="图片 89" descr="0110016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110016_页面_6"/>
                    <pic:cNvPicPr>
                      <a:picLocks noChangeAspect="1"/>
                    </pic:cNvPicPr>
                  </pic:nvPicPr>
                  <pic:blipFill>
                    <a:blip r:embed="rId59"/>
                    <a:stretch>
                      <a:fillRect/>
                    </a:stretch>
                  </pic:blipFill>
                  <pic:spPr>
                    <a:xfrm>
                      <a:off x="0" y="0"/>
                      <a:ext cx="5631180" cy="79692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29910" cy="7967345"/>
            <wp:effectExtent l="0" t="0" r="8890" b="14605"/>
            <wp:docPr id="90" name="图片 90" descr="0110016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110016_页面_7"/>
                    <pic:cNvPicPr>
                      <a:picLocks noChangeAspect="1"/>
                    </pic:cNvPicPr>
                  </pic:nvPicPr>
                  <pic:blipFill>
                    <a:blip r:embed="rId60"/>
                    <a:stretch>
                      <a:fillRect/>
                    </a:stretch>
                  </pic:blipFill>
                  <pic:spPr>
                    <a:xfrm>
                      <a:off x="0" y="0"/>
                      <a:ext cx="5629910"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9250"/>
            <wp:effectExtent l="0" t="0" r="7620" b="12700"/>
            <wp:docPr id="91" name="图片 91" descr="0110016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110016_页面_8"/>
                    <pic:cNvPicPr>
                      <a:picLocks noChangeAspect="1"/>
                    </pic:cNvPicPr>
                  </pic:nvPicPr>
                  <pic:blipFill>
                    <a:blip r:embed="rId61"/>
                    <a:stretch>
                      <a:fillRect/>
                    </a:stretch>
                  </pic:blipFill>
                  <pic:spPr>
                    <a:xfrm>
                      <a:off x="0" y="0"/>
                      <a:ext cx="5631180" cy="79692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980"/>
            <wp:effectExtent l="0" t="0" r="7620" b="13970"/>
            <wp:docPr id="92" name="图片 92" descr="0110016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110016_页面_9"/>
                    <pic:cNvPicPr>
                      <a:picLocks noChangeAspect="1"/>
                    </pic:cNvPicPr>
                  </pic:nvPicPr>
                  <pic:blipFill>
                    <a:blip r:embed="rId62"/>
                    <a:stretch>
                      <a:fillRect/>
                    </a:stretch>
                  </pic:blipFill>
                  <pic:spPr>
                    <a:xfrm>
                      <a:off x="0" y="0"/>
                      <a:ext cx="5631180" cy="796798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29910" cy="7968615"/>
            <wp:effectExtent l="0" t="0" r="8890" b="13335"/>
            <wp:docPr id="93" name="图片 93" descr="六一七加油站地下水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六一七加油站地下水_页面_01"/>
                    <pic:cNvPicPr>
                      <a:picLocks noChangeAspect="1"/>
                    </pic:cNvPicPr>
                  </pic:nvPicPr>
                  <pic:blipFill>
                    <a:blip r:embed="rId63"/>
                    <a:stretch>
                      <a:fillRect/>
                    </a:stretch>
                  </pic:blipFill>
                  <pic:spPr>
                    <a:xfrm>
                      <a:off x="0" y="0"/>
                      <a:ext cx="5629910" cy="796861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397875" cy="5934710"/>
            <wp:effectExtent l="0" t="0" r="8890" b="3175"/>
            <wp:docPr id="94" name="图片 94" descr="六一七加油站地下水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六一七加油站地下水_页面_02"/>
                    <pic:cNvPicPr>
                      <a:picLocks noChangeAspect="1"/>
                    </pic:cNvPicPr>
                  </pic:nvPicPr>
                  <pic:blipFill>
                    <a:blip r:embed="rId64"/>
                    <a:stretch>
                      <a:fillRect/>
                    </a:stretch>
                  </pic:blipFill>
                  <pic:spPr>
                    <a:xfrm rot="5400000">
                      <a:off x="0" y="0"/>
                      <a:ext cx="8397875" cy="593471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861425" cy="6262370"/>
            <wp:effectExtent l="0" t="0" r="5080" b="15875"/>
            <wp:docPr id="95" name="图片 95" descr="六一七加油站地下水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六一七加油站地下水_页面_03"/>
                    <pic:cNvPicPr>
                      <a:picLocks noChangeAspect="1"/>
                    </pic:cNvPicPr>
                  </pic:nvPicPr>
                  <pic:blipFill>
                    <a:blip r:embed="rId65"/>
                    <a:stretch>
                      <a:fillRect/>
                    </a:stretch>
                  </pic:blipFill>
                  <pic:spPr>
                    <a:xfrm rot="5400000">
                      <a:off x="0" y="0"/>
                      <a:ext cx="8861425" cy="626237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789670" cy="6211570"/>
            <wp:effectExtent l="0" t="0" r="17780" b="11430"/>
            <wp:docPr id="96" name="图片 96" descr="六一七加油站地下水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六一七加油站地下水_页面_04"/>
                    <pic:cNvPicPr>
                      <a:picLocks noChangeAspect="1"/>
                    </pic:cNvPicPr>
                  </pic:nvPicPr>
                  <pic:blipFill>
                    <a:blip r:embed="rId66"/>
                    <a:stretch>
                      <a:fillRect/>
                    </a:stretch>
                  </pic:blipFill>
                  <pic:spPr>
                    <a:xfrm rot="5400000">
                      <a:off x="0" y="0"/>
                      <a:ext cx="8789670" cy="621157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742680" cy="6178550"/>
            <wp:effectExtent l="0" t="0" r="12700" b="1270"/>
            <wp:docPr id="97" name="图片 97" descr="六一七加油站地下水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六一七加油站地下水_页面_05"/>
                    <pic:cNvPicPr>
                      <a:picLocks noChangeAspect="1"/>
                    </pic:cNvPicPr>
                  </pic:nvPicPr>
                  <pic:blipFill>
                    <a:blip r:embed="rId67"/>
                    <a:stretch>
                      <a:fillRect/>
                    </a:stretch>
                  </pic:blipFill>
                  <pic:spPr>
                    <a:xfrm rot="5400000">
                      <a:off x="0" y="0"/>
                      <a:ext cx="8742680" cy="61785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742680" cy="6178550"/>
            <wp:effectExtent l="0" t="0" r="12700" b="1270"/>
            <wp:docPr id="98" name="图片 98" descr="六一七加油站地下水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六一七加油站地下水_页面_06"/>
                    <pic:cNvPicPr>
                      <a:picLocks noChangeAspect="1"/>
                    </pic:cNvPicPr>
                  </pic:nvPicPr>
                  <pic:blipFill>
                    <a:blip r:embed="rId68"/>
                    <a:stretch>
                      <a:fillRect/>
                    </a:stretch>
                  </pic:blipFill>
                  <pic:spPr>
                    <a:xfrm rot="5400000">
                      <a:off x="0" y="0"/>
                      <a:ext cx="8742680" cy="61785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778240" cy="6203315"/>
            <wp:effectExtent l="0" t="0" r="6985" b="3810"/>
            <wp:docPr id="99" name="图片 99" descr="六一七加油站地下水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六一七加油站地下水_页面_07"/>
                    <pic:cNvPicPr>
                      <a:picLocks noChangeAspect="1"/>
                    </pic:cNvPicPr>
                  </pic:nvPicPr>
                  <pic:blipFill>
                    <a:blip r:embed="rId69"/>
                    <a:stretch>
                      <a:fillRect/>
                    </a:stretch>
                  </pic:blipFill>
                  <pic:spPr>
                    <a:xfrm rot="5400000">
                      <a:off x="0" y="0"/>
                      <a:ext cx="8778240" cy="620331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646795" cy="6110605"/>
            <wp:effectExtent l="0" t="0" r="4445" b="1905"/>
            <wp:docPr id="100" name="图片 100" descr="六一七加油站地下水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六一七加油站地下水_页面_08"/>
                    <pic:cNvPicPr>
                      <a:picLocks noChangeAspect="1"/>
                    </pic:cNvPicPr>
                  </pic:nvPicPr>
                  <pic:blipFill>
                    <a:blip r:embed="rId70"/>
                    <a:stretch>
                      <a:fillRect/>
                    </a:stretch>
                  </pic:blipFill>
                  <pic:spPr>
                    <a:xfrm rot="5400000">
                      <a:off x="0" y="0"/>
                      <a:ext cx="8646795" cy="611060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529320" cy="6027420"/>
            <wp:effectExtent l="0" t="0" r="11430" b="5080"/>
            <wp:docPr id="101" name="图片 101" descr="六一七加油站地下水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六一七加油站地下水_页面_09"/>
                    <pic:cNvPicPr>
                      <a:picLocks noChangeAspect="1"/>
                    </pic:cNvPicPr>
                  </pic:nvPicPr>
                  <pic:blipFill>
                    <a:blip r:embed="rId71"/>
                    <a:stretch>
                      <a:fillRect/>
                    </a:stretch>
                  </pic:blipFill>
                  <pic:spPr>
                    <a:xfrm rot="5400000">
                      <a:off x="0" y="0"/>
                      <a:ext cx="8529320" cy="602742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635365" cy="6102350"/>
            <wp:effectExtent l="0" t="0" r="12700" b="13335"/>
            <wp:docPr id="102" name="图片 102" descr="六一七加油站地下水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六一七加油站地下水_页面_10"/>
                    <pic:cNvPicPr>
                      <a:picLocks noChangeAspect="1"/>
                    </pic:cNvPicPr>
                  </pic:nvPicPr>
                  <pic:blipFill>
                    <a:blip r:embed="rId72"/>
                    <a:stretch>
                      <a:fillRect/>
                    </a:stretch>
                  </pic:blipFill>
                  <pic:spPr>
                    <a:xfrm rot="5400000">
                      <a:off x="0" y="0"/>
                      <a:ext cx="8635365" cy="61023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397875" cy="5934710"/>
            <wp:effectExtent l="0" t="0" r="8890" b="3175"/>
            <wp:docPr id="103" name="图片 103" descr="六一七加油站地下水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六一七加油站地下水_页面_11"/>
                    <pic:cNvPicPr>
                      <a:picLocks noChangeAspect="1"/>
                    </pic:cNvPicPr>
                  </pic:nvPicPr>
                  <pic:blipFill>
                    <a:blip r:embed="rId73"/>
                    <a:stretch>
                      <a:fillRect/>
                    </a:stretch>
                  </pic:blipFill>
                  <pic:spPr>
                    <a:xfrm rot="5400000">
                      <a:off x="0" y="0"/>
                      <a:ext cx="8397875" cy="593471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564880" cy="6052820"/>
            <wp:effectExtent l="0" t="0" r="5080" b="7620"/>
            <wp:docPr id="104" name="图片 104" descr="六一七加油站地下水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六一七加油站地下水_页面_12"/>
                    <pic:cNvPicPr>
                      <a:picLocks noChangeAspect="1"/>
                    </pic:cNvPicPr>
                  </pic:nvPicPr>
                  <pic:blipFill>
                    <a:blip r:embed="rId74"/>
                    <a:stretch>
                      <a:fillRect/>
                    </a:stretch>
                  </pic:blipFill>
                  <pic:spPr>
                    <a:xfrm rot="5400000">
                      <a:off x="0" y="0"/>
                      <a:ext cx="8564880" cy="605282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8659495" cy="6119495"/>
            <wp:effectExtent l="0" t="0" r="14605" b="8255"/>
            <wp:docPr id="105" name="图片 105" descr="六一七加油站地下水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六一七加油站地下水_页面_13"/>
                    <pic:cNvPicPr>
                      <a:picLocks noChangeAspect="1"/>
                    </pic:cNvPicPr>
                  </pic:nvPicPr>
                  <pic:blipFill>
                    <a:blip r:embed="rId75"/>
                    <a:stretch>
                      <a:fillRect/>
                    </a:stretch>
                  </pic:blipFill>
                  <pic:spPr>
                    <a:xfrm rot="5400000">
                      <a:off x="0" y="0"/>
                      <a:ext cx="8659495" cy="611949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345"/>
            <wp:effectExtent l="0" t="0" r="7620" b="14605"/>
            <wp:docPr id="106" name="图片 106" descr="0201005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0201005_页面_1"/>
                    <pic:cNvPicPr>
                      <a:picLocks noChangeAspect="1"/>
                    </pic:cNvPicPr>
                  </pic:nvPicPr>
                  <pic:blipFill>
                    <a:blip r:embed="rId76"/>
                    <a:stretch>
                      <a:fillRect/>
                    </a:stretch>
                  </pic:blipFill>
                  <pic:spPr>
                    <a:xfrm>
                      <a:off x="0" y="0"/>
                      <a:ext cx="5631180"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9250"/>
            <wp:effectExtent l="0" t="0" r="7620" b="12700"/>
            <wp:docPr id="107" name="图片 107" descr="0201005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201005_页面_2"/>
                    <pic:cNvPicPr>
                      <a:picLocks noChangeAspect="1"/>
                    </pic:cNvPicPr>
                  </pic:nvPicPr>
                  <pic:blipFill>
                    <a:blip r:embed="rId77"/>
                    <a:stretch>
                      <a:fillRect/>
                    </a:stretch>
                  </pic:blipFill>
                  <pic:spPr>
                    <a:xfrm>
                      <a:off x="0" y="0"/>
                      <a:ext cx="5631180" cy="79692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29910" cy="7967345"/>
            <wp:effectExtent l="0" t="0" r="8890" b="14605"/>
            <wp:docPr id="108" name="图片 108" descr="0201005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201005_页面_3"/>
                    <pic:cNvPicPr>
                      <a:picLocks noChangeAspect="1"/>
                    </pic:cNvPicPr>
                  </pic:nvPicPr>
                  <pic:blipFill>
                    <a:blip r:embed="rId78"/>
                    <a:stretch>
                      <a:fillRect/>
                    </a:stretch>
                  </pic:blipFill>
                  <pic:spPr>
                    <a:xfrm>
                      <a:off x="0" y="0"/>
                      <a:ext cx="5629910" cy="796734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6895" cy="7977505"/>
            <wp:effectExtent l="0" t="0" r="1905" b="4445"/>
            <wp:docPr id="109" name="图片 109" descr="0201005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0201005_页面_4"/>
                    <pic:cNvPicPr>
                      <a:picLocks noChangeAspect="1"/>
                    </pic:cNvPicPr>
                  </pic:nvPicPr>
                  <pic:blipFill>
                    <a:blip r:embed="rId79"/>
                    <a:stretch>
                      <a:fillRect/>
                    </a:stretch>
                  </pic:blipFill>
                  <pic:spPr>
                    <a:xfrm>
                      <a:off x="0" y="0"/>
                      <a:ext cx="5636895" cy="797750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980"/>
            <wp:effectExtent l="0" t="0" r="7620" b="13970"/>
            <wp:docPr id="110" name="图片 110" descr="0201005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0201005_页面_5"/>
                    <pic:cNvPicPr>
                      <a:picLocks noChangeAspect="1"/>
                    </pic:cNvPicPr>
                  </pic:nvPicPr>
                  <pic:blipFill>
                    <a:blip r:embed="rId80"/>
                    <a:stretch>
                      <a:fillRect/>
                    </a:stretch>
                  </pic:blipFill>
                  <pic:spPr>
                    <a:xfrm>
                      <a:off x="0" y="0"/>
                      <a:ext cx="5631180" cy="796798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980"/>
            <wp:effectExtent l="0" t="0" r="7620" b="13970"/>
            <wp:docPr id="111" name="图片 111" descr="0201005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201005_页面_6"/>
                    <pic:cNvPicPr>
                      <a:picLocks noChangeAspect="1"/>
                    </pic:cNvPicPr>
                  </pic:nvPicPr>
                  <pic:blipFill>
                    <a:blip r:embed="rId81"/>
                    <a:stretch>
                      <a:fillRect/>
                    </a:stretch>
                  </pic:blipFill>
                  <pic:spPr>
                    <a:xfrm>
                      <a:off x="0" y="0"/>
                      <a:ext cx="5631180" cy="796798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9250"/>
            <wp:effectExtent l="0" t="0" r="7620" b="12700"/>
            <wp:docPr id="112" name="图片 112" descr="0201005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0201005_页面_7"/>
                    <pic:cNvPicPr>
                      <a:picLocks noChangeAspect="1"/>
                    </pic:cNvPicPr>
                  </pic:nvPicPr>
                  <pic:blipFill>
                    <a:blip r:embed="rId82"/>
                    <a:stretch>
                      <a:fillRect/>
                    </a:stretch>
                  </pic:blipFill>
                  <pic:spPr>
                    <a:xfrm>
                      <a:off x="0" y="0"/>
                      <a:ext cx="5631180" cy="7969250"/>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631180" cy="7967980"/>
            <wp:effectExtent l="0" t="0" r="7620" b="13970"/>
            <wp:docPr id="113" name="图片 113" descr="0201005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0201005_页面_8"/>
                    <pic:cNvPicPr>
                      <a:picLocks noChangeAspect="1"/>
                    </pic:cNvPicPr>
                  </pic:nvPicPr>
                  <pic:blipFill>
                    <a:blip r:embed="rId83"/>
                    <a:stretch>
                      <a:fillRect/>
                    </a:stretch>
                  </pic:blipFill>
                  <pic:spPr>
                    <a:xfrm>
                      <a:off x="0" y="0"/>
                      <a:ext cx="5631180" cy="7967980"/>
                    </a:xfrm>
                    <a:prstGeom prst="rect">
                      <a:avLst/>
                    </a:prstGeom>
                  </pic:spPr>
                </pic:pic>
              </a:graphicData>
            </a:graphic>
          </wp:inline>
        </w:drawing>
      </w:r>
      <w:bookmarkStart w:id="95" w:name="_GoBack"/>
      <w:bookmarkEnd w:id="95"/>
    </w:p>
    <w:p>
      <w:pPr>
        <w:pStyle w:val="8"/>
        <w:bidi w:val="0"/>
        <w:spacing w:before="0" w:beforeAutospacing="0" w:after="0" w:afterAutospacing="0" w:line="360" w:lineRule="auto"/>
        <w:rPr>
          <w:rFonts w:hint="default" w:ascii="Times New Roman" w:hAnsi="Times New Roman" w:eastAsia="宋体" w:cs="Times New Roman"/>
          <w:sz w:val="24"/>
          <w:szCs w:val="24"/>
          <w:lang w:val="en-US" w:eastAsia="zh-CN"/>
        </w:rPr>
      </w:pPr>
      <w:bookmarkStart w:id="93" w:name="_Toc27826"/>
      <w:r>
        <w:rPr>
          <w:rFonts w:hint="default" w:ascii="Times New Roman" w:hAnsi="Times New Roman" w:eastAsia="宋体" w:cs="Times New Roman"/>
          <w:sz w:val="24"/>
          <w:szCs w:val="24"/>
          <w:lang w:val="en-US" w:eastAsia="zh-CN"/>
        </w:rPr>
        <w:t>附件</w:t>
      </w:r>
      <w:r>
        <w:rPr>
          <w:rFonts w:hint="eastAsia" w:ascii="Times New Roman" w:hAnsi="Times New Roman" w:cs="Times New Roman"/>
          <w:sz w:val="24"/>
          <w:szCs w:val="24"/>
          <w:lang w:val="en-US" w:eastAsia="zh-CN"/>
        </w:rPr>
        <w:t>6</w:t>
      </w:r>
      <w:r>
        <w:rPr>
          <w:rFonts w:hint="default" w:ascii="Times New Roman" w:hAnsi="Times New Roman" w:eastAsia="宋体" w:cs="Times New Roman"/>
          <w:sz w:val="24"/>
          <w:szCs w:val="24"/>
          <w:lang w:val="en-US" w:eastAsia="zh-CN"/>
        </w:rPr>
        <w:t>：验收监测方案</w:t>
      </w:r>
      <w:bookmarkEnd w:id="93"/>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中国石化销售股份有限公司山东菏泽石油分公司</w:t>
      </w: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中国石化销售股份有限公司山东菏泽成武六</w:t>
      </w:r>
      <w:r>
        <w:rPr>
          <w:rFonts w:hint="default" w:ascii="Times New Roman" w:hAnsi="Times New Roman" w:eastAsia="宋体" w:cs="Times New Roman"/>
          <w:lang w:val="en-US" w:eastAsia="zh-CN"/>
        </w:rPr>
        <w:t>一七</w:t>
      </w:r>
      <w:r>
        <w:rPr>
          <w:rFonts w:hint="default" w:ascii="Times New Roman" w:hAnsi="Times New Roman" w:eastAsia="宋体" w:cs="Times New Roman"/>
          <w:lang w:eastAsia="zh-CN"/>
        </w:rPr>
        <w:t>加油站改建项目</w:t>
      </w:r>
    </w:p>
    <w:p>
      <w:pPr>
        <w:bidi w:val="0"/>
        <w:jc w:val="center"/>
        <w:rPr>
          <w:rFonts w:hint="default" w:ascii="Times New Roman" w:hAnsi="Times New Roman" w:eastAsia="宋体" w:cs="Times New Roman"/>
        </w:rPr>
      </w:pPr>
      <w:r>
        <w:rPr>
          <w:rFonts w:hint="default" w:ascii="Times New Roman" w:hAnsi="Times New Roman" w:eastAsia="宋体" w:cs="Times New Roman"/>
          <w:lang w:eastAsia="zh-CN"/>
        </w:rPr>
        <w:t>验收</w:t>
      </w:r>
      <w:r>
        <w:rPr>
          <w:rFonts w:hint="default" w:ascii="Times New Roman" w:hAnsi="Times New Roman" w:eastAsia="宋体" w:cs="Times New Roman"/>
        </w:rPr>
        <w:t>报告表监测方案</w:t>
      </w:r>
    </w:p>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一、有组织废气</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lang w:val="en-US" w:eastAsia="zh-CN"/>
        </w:rPr>
        <w:t>1、</w:t>
      </w:r>
      <w:r>
        <w:rPr>
          <w:rFonts w:hint="default" w:ascii="Times New Roman" w:hAnsi="Times New Roman" w:eastAsia="宋体" w:cs="Times New Roman"/>
        </w:rPr>
        <w:t>监测布点</w:t>
      </w:r>
    </w:p>
    <w:p>
      <w:pPr>
        <w:bidi w:val="0"/>
        <w:jc w:val="center"/>
        <w:rPr>
          <w:rFonts w:hint="default" w:ascii="Times New Roman" w:hAnsi="Times New Roman" w:eastAsia="宋体" w:cs="Times New Roman"/>
        </w:rPr>
      </w:pPr>
      <w:r>
        <w:rPr>
          <w:rFonts w:hint="default" w:ascii="Times New Roman" w:hAnsi="Times New Roman" w:eastAsia="宋体" w:cs="Times New Roman"/>
        </w:rPr>
        <w:t>表1  有组织排放废气监测项目及监测布点表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36"/>
        <w:gridCol w:w="1602"/>
        <w:gridCol w:w="4065"/>
        <w:gridCol w:w="2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58"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lang w:eastAsia="zh-CN"/>
              </w:rPr>
            </w:pPr>
            <w:r>
              <w:rPr>
                <w:rFonts w:hint="default" w:ascii="Times New Roman" w:hAnsi="Times New Roman" w:eastAsia="宋体" w:cs="Times New Roman"/>
                <w:lang w:eastAsia="zh-CN"/>
              </w:rPr>
              <w:t>序号</w:t>
            </w:r>
          </w:p>
        </w:tc>
        <w:tc>
          <w:tcPr>
            <w:tcW w:w="901"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污染源</w:t>
            </w:r>
          </w:p>
        </w:tc>
        <w:tc>
          <w:tcPr>
            <w:tcW w:w="2287"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处理措施</w:t>
            </w:r>
          </w:p>
        </w:tc>
        <w:tc>
          <w:tcPr>
            <w:tcW w:w="1452"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8" w:hRule="atLeast"/>
          <w:jc w:val="center"/>
        </w:trPr>
        <w:tc>
          <w:tcPr>
            <w:tcW w:w="358"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w:t>
            </w:r>
          </w:p>
        </w:tc>
        <w:tc>
          <w:tcPr>
            <w:tcW w:w="901" w:type="pct"/>
            <w:tcBorders>
              <w:top w:val="single" w:color="auto" w:sz="4" w:space="0"/>
              <w:left w:val="single" w:color="auto" w:sz="4" w:space="0"/>
              <w:bottom w:val="single" w:color="auto" w:sz="4" w:space="0"/>
              <w:right w:val="single" w:color="auto" w:sz="4" w:space="0"/>
            </w:tcBorders>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VOCs非甲烷总烃</w:t>
            </w:r>
          </w:p>
        </w:tc>
        <w:tc>
          <w:tcPr>
            <w:tcW w:w="2287" w:type="pct"/>
            <w:tcBorders>
              <w:left w:val="single" w:color="auto" w:sz="4" w:space="0"/>
              <w:right w:val="single" w:color="auto" w:sz="4" w:space="0"/>
            </w:tcBorders>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卸油油气回收，加油油气回收系统，油气排放处理装置</w:t>
            </w:r>
          </w:p>
        </w:tc>
        <w:tc>
          <w:tcPr>
            <w:tcW w:w="1452" w:type="pct"/>
            <w:tcBorders>
              <w:left w:val="single" w:color="auto" w:sz="4" w:space="0"/>
              <w:right w:val="single" w:color="auto" w:sz="4" w:space="0"/>
            </w:tcBorders>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液阻、密闭性、气液比</w:t>
            </w:r>
          </w:p>
        </w:tc>
      </w:tr>
    </w:tbl>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lang w:val="en-US" w:eastAsia="zh-CN"/>
        </w:rPr>
        <w:t>2、</w:t>
      </w:r>
      <w:r>
        <w:rPr>
          <w:rFonts w:hint="default" w:ascii="Times New Roman" w:hAnsi="Times New Roman" w:eastAsia="宋体" w:cs="Times New Roman"/>
        </w:rPr>
        <w:t>监测频率</w:t>
      </w:r>
    </w:p>
    <w:p>
      <w:pPr>
        <w:bidi w:val="0"/>
        <w:ind w:firstLine="420" w:firstLineChars="200"/>
        <w:rPr>
          <w:rFonts w:hint="default" w:ascii="Times New Roman" w:hAnsi="Times New Roman" w:eastAsia="宋体" w:cs="Times New Roman"/>
        </w:rPr>
      </w:pPr>
      <w:r>
        <w:rPr>
          <w:rFonts w:hint="default" w:ascii="Times New Roman" w:hAnsi="Times New Roman" w:eastAsia="宋体" w:cs="Times New Roman"/>
        </w:rPr>
        <w:t>正常工况、生产负荷达到75%以上，监测2天，每天采样3次</w:t>
      </w:r>
      <w:r>
        <w:rPr>
          <w:rFonts w:hint="default" w:ascii="Times New Roman" w:hAnsi="Times New Roman" w:eastAsia="宋体" w:cs="Times New Roman"/>
          <w:lang w:eastAsia="zh-CN"/>
        </w:rPr>
        <w:t>，</w:t>
      </w:r>
      <w:r>
        <w:rPr>
          <w:rFonts w:hint="default" w:ascii="Times New Roman" w:hAnsi="Times New Roman" w:eastAsia="宋体" w:cs="Times New Roman"/>
        </w:rPr>
        <w:t>企业</w:t>
      </w:r>
      <w:r>
        <w:rPr>
          <w:rFonts w:hint="default" w:ascii="Times New Roman" w:hAnsi="Times New Roman" w:eastAsia="宋体" w:cs="Times New Roman"/>
          <w:lang w:val="en-US" w:eastAsia="zh-CN"/>
        </w:rPr>
        <w:t>每天工作24小时</w:t>
      </w:r>
      <w:r>
        <w:rPr>
          <w:rFonts w:hint="default" w:ascii="Times New Roman" w:hAnsi="Times New Roman" w:eastAsia="宋体" w:cs="Times New Roman"/>
        </w:rPr>
        <w:t>。</w:t>
      </w:r>
    </w:p>
    <w:p>
      <w:pPr>
        <w:bidi w:val="0"/>
        <w:rPr>
          <w:rFonts w:hint="default" w:ascii="Times New Roman" w:hAnsi="Times New Roman" w:eastAsia="宋体" w:cs="Times New Roman"/>
        </w:rPr>
      </w:pPr>
      <w:r>
        <w:rPr>
          <w:rFonts w:hint="default" w:ascii="Times New Roman" w:hAnsi="Times New Roman" w:eastAsia="宋体" w:cs="Times New Roman"/>
          <w:lang w:val="en-US" w:eastAsia="zh-CN"/>
        </w:rPr>
        <w:t>二、</w:t>
      </w:r>
      <w:r>
        <w:rPr>
          <w:rFonts w:hint="default" w:ascii="Times New Roman" w:hAnsi="Times New Roman" w:eastAsia="宋体" w:cs="Times New Roman"/>
        </w:rPr>
        <w:t>无组织废气</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lang w:val="en-US" w:eastAsia="zh-CN"/>
        </w:rPr>
        <w:t>1、</w:t>
      </w:r>
      <w:r>
        <w:rPr>
          <w:rFonts w:hint="default" w:ascii="Times New Roman" w:hAnsi="Times New Roman" w:eastAsia="宋体" w:cs="Times New Roman"/>
        </w:rPr>
        <w:t>监测布点</w:t>
      </w:r>
    </w:p>
    <w:p>
      <w:pPr>
        <w:bidi w:val="0"/>
        <w:ind w:firstLine="420" w:firstLineChars="200"/>
        <w:rPr>
          <w:rFonts w:hint="default" w:ascii="Times New Roman" w:hAnsi="Times New Roman" w:eastAsia="宋体" w:cs="Times New Roman"/>
        </w:rPr>
      </w:pPr>
      <w:r>
        <w:rPr>
          <w:rFonts w:hint="default" w:ascii="Times New Roman" w:hAnsi="Times New Roman" w:eastAsia="宋体" w:cs="Times New Roman"/>
        </w:rPr>
        <w:t>根据《大气污染物综合排放标准》(GB16297-1996)中无组织排放监控布点的原则，在项目上风向设</w:t>
      </w:r>
      <w:r>
        <w:rPr>
          <w:rFonts w:hint="default" w:ascii="Times New Roman" w:hAnsi="Times New Roman" w:eastAsia="宋体" w:cs="Times New Roman"/>
          <w:lang w:val="en-US" w:eastAsia="zh-CN"/>
        </w:rPr>
        <w:t>1</w:t>
      </w:r>
      <w:r>
        <w:rPr>
          <w:rFonts w:hint="default" w:ascii="Times New Roman" w:hAnsi="Times New Roman" w:eastAsia="宋体" w:cs="Times New Roman"/>
        </w:rPr>
        <w:t>个参照点、下风向项目外10m范围内(监控点与参照点距无组织排放源最近不应小于2m)设3个监控点。</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lang w:val="en-US" w:eastAsia="zh-CN"/>
        </w:rPr>
        <w:t>2、</w:t>
      </w:r>
      <w:r>
        <w:rPr>
          <w:rFonts w:hint="default" w:ascii="Times New Roman" w:hAnsi="Times New Roman" w:eastAsia="宋体" w:cs="Times New Roman"/>
        </w:rPr>
        <w:t>监测项目</w:t>
      </w:r>
    </w:p>
    <w:p>
      <w:pPr>
        <w:bidi w:val="0"/>
        <w:ind w:firstLine="420" w:firstLineChars="200"/>
        <w:rPr>
          <w:rFonts w:hint="default" w:ascii="Times New Roman" w:hAnsi="Times New Roman" w:eastAsia="宋体" w:cs="Times New Roman"/>
        </w:rPr>
      </w:pPr>
      <w:r>
        <w:rPr>
          <w:rFonts w:hint="default" w:ascii="Times New Roman" w:hAnsi="Times New Roman" w:eastAsia="宋体" w:cs="Times New Roman"/>
          <w:lang w:val="en-US" w:eastAsia="zh-CN"/>
        </w:rPr>
        <w:t>VOCs（非甲烷总烃计）</w:t>
      </w:r>
      <w:r>
        <w:rPr>
          <w:rFonts w:hint="default" w:ascii="Times New Roman" w:hAnsi="Times New Roman" w:eastAsia="宋体" w:cs="Times New Roman"/>
          <w:lang w:eastAsia="zh-CN"/>
        </w:rPr>
        <w:t>，</w:t>
      </w:r>
      <w:r>
        <w:rPr>
          <w:rFonts w:hint="default" w:ascii="Times New Roman" w:hAnsi="Times New Roman" w:eastAsia="宋体" w:cs="Times New Roman"/>
        </w:rPr>
        <w:t>同时记录监测期间的气象参数。</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lang w:val="en-US" w:eastAsia="zh-CN"/>
        </w:rPr>
        <w:t>3、</w:t>
      </w:r>
      <w:r>
        <w:rPr>
          <w:rFonts w:hint="default" w:ascii="Times New Roman" w:hAnsi="Times New Roman" w:eastAsia="宋体" w:cs="Times New Roman"/>
        </w:rPr>
        <w:t>监测频率</w:t>
      </w:r>
    </w:p>
    <w:p>
      <w:pPr>
        <w:bidi w:val="0"/>
        <w:ind w:firstLine="420" w:firstLineChars="200"/>
        <w:rPr>
          <w:rFonts w:hint="default" w:ascii="Times New Roman" w:hAnsi="Times New Roman" w:eastAsia="宋体" w:cs="Times New Roman"/>
        </w:rPr>
      </w:pPr>
      <w:r>
        <w:rPr>
          <w:rFonts w:hint="default" w:ascii="Times New Roman" w:hAnsi="Times New Roman" w:eastAsia="宋体" w:cs="Times New Roman"/>
        </w:rPr>
        <w:t>监测2天，每天采样3次。采样时间按照《大气污染物综合排放标准》(GB16297-1996)中的无组织排放监控有关标准进行。</w:t>
      </w:r>
    </w:p>
    <w:p>
      <w:pPr>
        <w:bidi w:val="0"/>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三、地下水</w:t>
      </w:r>
    </w:p>
    <w:p>
      <w:pPr>
        <w:bidi w:val="0"/>
        <w:ind w:firstLine="210" w:firstLineChars="1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（1）监测项目</w:t>
      </w:r>
    </w:p>
    <w:p>
      <w:pPr>
        <w:bidi w:val="0"/>
        <w:ind w:firstLine="42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萘、苯、甲苯、乙苯、邻二甲苯、间（对）二甲苯、甲基叔丁基醚、石油烃、流量、化学需氧量、氨氮、pH值、悬浮物、总有机碳、硝酸盐、亚硝酸盐、挥发性酚类、氰化物、砷、汞、铬(六价)、总硬度、铅、氟、镉、铁、锰、溶解性总固体、高锰酸盐指数、硫酸盐、氯化物、总大肠菌群、细菌总数、钾、钠、钙、镁、阴离子表面活性剂、硫酸根、氯、碳酸氢根、色度、嗅和味、浑浊度、肉眼可见物、铜、锌、铝、耗氧量、硫化物、菌落总数、碘化物、硒、三氯甲烷、四氯甲烷、溶解氧</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rPr>
        <w:t>（</w:t>
      </w:r>
      <w:r>
        <w:rPr>
          <w:rFonts w:hint="default" w:ascii="Times New Roman" w:hAnsi="Times New Roman" w:eastAsia="宋体" w:cs="Times New Roman"/>
          <w:lang w:val="en-US" w:eastAsia="zh-CN"/>
        </w:rPr>
        <w:t>2</w:t>
      </w:r>
      <w:r>
        <w:rPr>
          <w:rFonts w:hint="default" w:ascii="Times New Roman" w:hAnsi="Times New Roman" w:eastAsia="宋体" w:cs="Times New Roman"/>
        </w:rPr>
        <w:t>）监测频次</w:t>
      </w:r>
    </w:p>
    <w:p>
      <w:pPr>
        <w:bidi w:val="0"/>
        <w:ind w:firstLine="210" w:firstLineChars="100"/>
        <w:rPr>
          <w:rFonts w:hint="default" w:ascii="Times New Roman" w:hAnsi="Times New Roman" w:eastAsia="宋体" w:cs="Times New Roman"/>
          <w:lang w:val="en-US" w:eastAsia="zh-CN"/>
        </w:rPr>
      </w:pPr>
      <w:r>
        <w:rPr>
          <w:rFonts w:hint="default" w:ascii="Times New Roman" w:hAnsi="Times New Roman" w:eastAsia="宋体" w:cs="Times New Roman"/>
        </w:rPr>
        <w:t>正常生产时段，</w:t>
      </w:r>
      <w:r>
        <w:rPr>
          <w:rFonts w:hint="default" w:ascii="Times New Roman" w:hAnsi="Times New Roman" w:eastAsia="宋体" w:cs="Times New Roman"/>
          <w:lang w:val="en-US" w:eastAsia="zh-CN"/>
        </w:rPr>
        <w:t>监测两天，取样4次，每次取样间隔时间不得小于半小时。</w:t>
      </w:r>
    </w:p>
    <w:p>
      <w:pPr>
        <w:bidi w:val="0"/>
        <w:rPr>
          <w:rFonts w:hint="default" w:ascii="Times New Roman" w:hAnsi="Times New Roman" w:eastAsia="宋体" w:cs="Times New Roman"/>
        </w:rPr>
      </w:pPr>
      <w:r>
        <w:rPr>
          <w:rFonts w:hint="default" w:ascii="Times New Roman" w:hAnsi="Times New Roman" w:eastAsia="宋体" w:cs="Times New Roman"/>
          <w:lang w:val="en-US" w:eastAsia="zh-CN"/>
        </w:rPr>
        <w:t>四、</w:t>
      </w:r>
      <w:r>
        <w:rPr>
          <w:rFonts w:hint="default" w:ascii="Times New Roman" w:hAnsi="Times New Roman" w:eastAsia="宋体" w:cs="Times New Roman"/>
        </w:rPr>
        <w:t>噪声</w:t>
      </w:r>
    </w:p>
    <w:p>
      <w:pPr>
        <w:bidi w:val="0"/>
        <w:ind w:firstLine="210" w:firstLineChars="100"/>
        <w:rPr>
          <w:rFonts w:hint="default" w:ascii="Times New Roman" w:hAnsi="Times New Roman" w:eastAsia="宋体" w:cs="Times New Roman"/>
        </w:rPr>
      </w:pPr>
      <w:r>
        <w:rPr>
          <w:rFonts w:hint="default" w:ascii="Times New Roman" w:hAnsi="Times New Roman" w:eastAsia="宋体" w:cs="Times New Roman"/>
        </w:rPr>
        <w:t>1、监测项目、监测点位及监测频次</w:t>
      </w:r>
    </w:p>
    <w:p>
      <w:pPr>
        <w:bidi w:val="0"/>
        <w:ind w:firstLine="420" w:firstLineChars="200"/>
        <w:rPr>
          <w:rFonts w:hint="default" w:ascii="Times New Roman" w:hAnsi="Times New Roman" w:eastAsia="宋体" w:cs="Times New Roman"/>
        </w:rPr>
      </w:pPr>
      <w:r>
        <w:rPr>
          <w:rFonts w:hint="default" w:ascii="Times New Roman" w:hAnsi="Times New Roman" w:eastAsia="宋体" w:cs="Times New Roman"/>
        </w:rPr>
        <w:t>本次评价在厂区的</w:t>
      </w:r>
      <w:r>
        <w:rPr>
          <w:rFonts w:hint="default" w:ascii="Times New Roman" w:hAnsi="Times New Roman" w:eastAsia="宋体" w:cs="Times New Roman"/>
          <w:lang w:eastAsia="zh-CN"/>
        </w:rPr>
        <w:t>东</w:t>
      </w:r>
      <w:r>
        <w:rPr>
          <w:rFonts w:hint="default" w:ascii="Times New Roman" w:hAnsi="Times New Roman" w:eastAsia="宋体" w:cs="Times New Roman"/>
        </w:rPr>
        <w:t>、</w:t>
      </w:r>
      <w:r>
        <w:rPr>
          <w:rFonts w:hint="default" w:ascii="Times New Roman" w:hAnsi="Times New Roman" w:eastAsia="宋体" w:cs="Times New Roman"/>
          <w:lang w:val="en-US" w:eastAsia="zh-CN"/>
        </w:rPr>
        <w:t>南、西、北</w:t>
      </w:r>
      <w:r>
        <w:rPr>
          <w:rFonts w:hint="default" w:ascii="Times New Roman" w:hAnsi="Times New Roman" w:eastAsia="宋体" w:cs="Times New Roman"/>
        </w:rPr>
        <w:t>边界外1m处各布设1个监测点位，布点情况如下表。</w:t>
      </w:r>
    </w:p>
    <w:p>
      <w:pPr>
        <w:bidi w:val="0"/>
        <w:jc w:val="center"/>
        <w:rPr>
          <w:rFonts w:hint="default" w:ascii="Times New Roman" w:hAnsi="Times New Roman" w:eastAsia="宋体" w:cs="Times New Roman"/>
        </w:rPr>
      </w:pPr>
      <w:r>
        <w:rPr>
          <w:rFonts w:hint="default" w:ascii="Times New Roman" w:hAnsi="Times New Roman" w:eastAsia="宋体" w:cs="Times New Roman"/>
        </w:rPr>
        <w:t>表2  声环境监测项目、监测点位及监测频次情况</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530"/>
        <w:gridCol w:w="3000"/>
        <w:gridCol w:w="1881"/>
        <w:gridCol w:w="1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97"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编号</w:t>
            </w:r>
          </w:p>
        </w:tc>
        <w:tc>
          <w:tcPr>
            <w:tcW w:w="841"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监测项目</w:t>
            </w:r>
          </w:p>
        </w:tc>
        <w:tc>
          <w:tcPr>
            <w:tcW w:w="1649"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监测点位</w:t>
            </w:r>
          </w:p>
        </w:tc>
        <w:tc>
          <w:tcPr>
            <w:tcW w:w="1034"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方位</w:t>
            </w:r>
          </w:p>
        </w:tc>
        <w:tc>
          <w:tcPr>
            <w:tcW w:w="1075"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97"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1#</w:t>
            </w:r>
          </w:p>
        </w:tc>
        <w:tc>
          <w:tcPr>
            <w:tcW w:w="841" w:type="pct"/>
            <w:vMerge w:val="restar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噪声LeqdB（A）</w:t>
            </w:r>
          </w:p>
        </w:tc>
        <w:tc>
          <w:tcPr>
            <w:tcW w:w="1649"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本项目厂区</w:t>
            </w:r>
            <w:r>
              <w:rPr>
                <w:rFonts w:hint="default" w:ascii="Times New Roman" w:hAnsi="Times New Roman" w:eastAsia="宋体" w:cs="Times New Roman"/>
                <w:lang w:eastAsia="zh-CN"/>
              </w:rPr>
              <w:t>东</w:t>
            </w:r>
            <w:r>
              <w:rPr>
                <w:rFonts w:hint="default" w:ascii="Times New Roman" w:hAnsi="Times New Roman" w:eastAsia="宋体" w:cs="Times New Roman"/>
              </w:rPr>
              <w:t>厂界</w:t>
            </w:r>
          </w:p>
        </w:tc>
        <w:tc>
          <w:tcPr>
            <w:tcW w:w="1034" w:type="pct"/>
            <w:vMerge w:val="restar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厂界外1m</w:t>
            </w:r>
          </w:p>
        </w:tc>
        <w:tc>
          <w:tcPr>
            <w:tcW w:w="1075" w:type="pct"/>
            <w:vMerge w:val="restar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lang w:eastAsia="zh-CN"/>
              </w:rPr>
              <w:t>昼</w:t>
            </w:r>
            <w:r>
              <w:rPr>
                <w:rFonts w:hint="default" w:ascii="Times New Roman" w:hAnsi="Times New Roman" w:eastAsia="宋体" w:cs="Times New Roman"/>
                <w:lang w:val="en-US" w:eastAsia="zh-CN"/>
              </w:rPr>
              <w:t>夜间各监测</w:t>
            </w:r>
            <w:r>
              <w:rPr>
                <w:rFonts w:hint="default" w:ascii="Times New Roman" w:hAnsi="Times New Roman" w:eastAsia="宋体" w:cs="Times New Roman"/>
              </w:rPr>
              <w:t>1次，监测2天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97"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2#</w:t>
            </w:r>
          </w:p>
        </w:tc>
        <w:tc>
          <w:tcPr>
            <w:tcW w:w="841" w:type="pct"/>
            <w:vMerge w:val="continue"/>
            <w:noWrap w:val="0"/>
            <w:vAlign w:val="center"/>
          </w:tcPr>
          <w:p>
            <w:pPr>
              <w:bidi w:val="0"/>
              <w:rPr>
                <w:rFonts w:hint="default" w:ascii="Times New Roman" w:hAnsi="Times New Roman" w:eastAsia="宋体" w:cs="Times New Roman"/>
              </w:rPr>
            </w:pPr>
          </w:p>
        </w:tc>
        <w:tc>
          <w:tcPr>
            <w:tcW w:w="1649"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本项目厂区</w:t>
            </w:r>
            <w:r>
              <w:rPr>
                <w:rFonts w:hint="default" w:ascii="Times New Roman" w:hAnsi="Times New Roman" w:eastAsia="宋体" w:cs="Times New Roman"/>
                <w:lang w:val="en-US" w:eastAsia="zh-CN"/>
              </w:rPr>
              <w:t>南</w:t>
            </w:r>
            <w:r>
              <w:rPr>
                <w:rFonts w:hint="default" w:ascii="Times New Roman" w:hAnsi="Times New Roman" w:eastAsia="宋体" w:cs="Times New Roman"/>
              </w:rPr>
              <w:t>厂界</w:t>
            </w:r>
          </w:p>
        </w:tc>
        <w:tc>
          <w:tcPr>
            <w:tcW w:w="1034" w:type="pct"/>
            <w:vMerge w:val="continue"/>
            <w:noWrap w:val="0"/>
            <w:vAlign w:val="center"/>
          </w:tcPr>
          <w:p>
            <w:pPr>
              <w:bidi w:val="0"/>
              <w:rPr>
                <w:rFonts w:hint="default" w:ascii="Times New Roman" w:hAnsi="Times New Roman" w:eastAsia="宋体" w:cs="Times New Roman"/>
              </w:rPr>
            </w:pPr>
          </w:p>
        </w:tc>
        <w:tc>
          <w:tcPr>
            <w:tcW w:w="1075" w:type="pct"/>
            <w:vMerge w:val="continue"/>
            <w:noWrap w:val="0"/>
            <w:vAlign w:val="center"/>
          </w:tcPr>
          <w:p>
            <w:pPr>
              <w:bidi w:val="0"/>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97" w:type="pct"/>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r>
              <w:rPr>
                <w:rFonts w:hint="default" w:ascii="Times New Roman" w:hAnsi="Times New Roman" w:eastAsia="宋体" w:cs="Times New Roman"/>
              </w:rPr>
              <w:t>#</w:t>
            </w:r>
          </w:p>
        </w:tc>
        <w:tc>
          <w:tcPr>
            <w:tcW w:w="841" w:type="pct"/>
            <w:vMerge w:val="continue"/>
            <w:noWrap w:val="0"/>
            <w:vAlign w:val="center"/>
          </w:tcPr>
          <w:p>
            <w:pPr>
              <w:bidi w:val="0"/>
              <w:rPr>
                <w:rFonts w:hint="default" w:ascii="Times New Roman" w:hAnsi="Times New Roman" w:eastAsia="宋体" w:cs="Times New Roman"/>
              </w:rPr>
            </w:pPr>
          </w:p>
        </w:tc>
        <w:tc>
          <w:tcPr>
            <w:tcW w:w="1649"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本项目厂区</w:t>
            </w:r>
            <w:r>
              <w:rPr>
                <w:rFonts w:hint="default" w:ascii="Times New Roman" w:hAnsi="Times New Roman" w:eastAsia="宋体" w:cs="Times New Roman"/>
                <w:lang w:val="en-US" w:eastAsia="zh-CN"/>
              </w:rPr>
              <w:t>西</w:t>
            </w:r>
            <w:r>
              <w:rPr>
                <w:rFonts w:hint="default" w:ascii="Times New Roman" w:hAnsi="Times New Roman" w:eastAsia="宋体" w:cs="Times New Roman"/>
              </w:rPr>
              <w:t>厂界</w:t>
            </w:r>
          </w:p>
        </w:tc>
        <w:tc>
          <w:tcPr>
            <w:tcW w:w="1034" w:type="pct"/>
            <w:vMerge w:val="continue"/>
            <w:noWrap w:val="0"/>
            <w:vAlign w:val="center"/>
          </w:tcPr>
          <w:p>
            <w:pPr>
              <w:bidi w:val="0"/>
              <w:rPr>
                <w:rFonts w:hint="default" w:ascii="Times New Roman" w:hAnsi="Times New Roman" w:eastAsia="宋体" w:cs="Times New Roman"/>
              </w:rPr>
            </w:pPr>
          </w:p>
        </w:tc>
        <w:tc>
          <w:tcPr>
            <w:tcW w:w="1075" w:type="pct"/>
            <w:vMerge w:val="continue"/>
            <w:noWrap w:val="0"/>
            <w:vAlign w:val="center"/>
          </w:tcPr>
          <w:p>
            <w:pPr>
              <w:bidi w:val="0"/>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97" w:type="pct"/>
            <w:noWrap w:val="0"/>
            <w:vAlign w:val="center"/>
          </w:tcPr>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w:t>
            </w:r>
            <w:r>
              <w:rPr>
                <w:rFonts w:hint="default" w:ascii="Times New Roman" w:hAnsi="Times New Roman" w:eastAsia="宋体" w:cs="Times New Roman"/>
              </w:rPr>
              <w:t>#</w:t>
            </w:r>
          </w:p>
        </w:tc>
        <w:tc>
          <w:tcPr>
            <w:tcW w:w="841" w:type="pct"/>
            <w:vMerge w:val="continue"/>
            <w:noWrap w:val="0"/>
            <w:vAlign w:val="center"/>
          </w:tcPr>
          <w:p>
            <w:pPr>
              <w:bidi w:val="0"/>
              <w:rPr>
                <w:rFonts w:hint="default" w:ascii="Times New Roman" w:hAnsi="Times New Roman" w:eastAsia="宋体" w:cs="Times New Roman"/>
              </w:rPr>
            </w:pPr>
          </w:p>
        </w:tc>
        <w:tc>
          <w:tcPr>
            <w:tcW w:w="1649" w:type="pct"/>
            <w:noWrap w:val="0"/>
            <w:vAlign w:val="center"/>
          </w:tcPr>
          <w:p>
            <w:pPr>
              <w:bidi w:val="0"/>
              <w:rPr>
                <w:rFonts w:hint="default" w:ascii="Times New Roman" w:hAnsi="Times New Roman" w:eastAsia="宋体" w:cs="Times New Roman"/>
              </w:rPr>
            </w:pPr>
            <w:r>
              <w:rPr>
                <w:rFonts w:hint="default" w:ascii="Times New Roman" w:hAnsi="Times New Roman" w:eastAsia="宋体" w:cs="Times New Roman"/>
              </w:rPr>
              <w:t>本项目厂区</w:t>
            </w:r>
            <w:r>
              <w:rPr>
                <w:rFonts w:hint="default" w:ascii="Times New Roman" w:hAnsi="Times New Roman" w:eastAsia="宋体" w:cs="Times New Roman"/>
                <w:lang w:val="en-US" w:eastAsia="zh-CN"/>
              </w:rPr>
              <w:t>北</w:t>
            </w:r>
            <w:r>
              <w:rPr>
                <w:rFonts w:hint="default" w:ascii="Times New Roman" w:hAnsi="Times New Roman" w:eastAsia="宋体" w:cs="Times New Roman"/>
              </w:rPr>
              <w:t>厂界</w:t>
            </w:r>
          </w:p>
        </w:tc>
        <w:tc>
          <w:tcPr>
            <w:tcW w:w="1034" w:type="pct"/>
            <w:vMerge w:val="continue"/>
            <w:noWrap w:val="0"/>
            <w:vAlign w:val="center"/>
          </w:tcPr>
          <w:p>
            <w:pPr>
              <w:bidi w:val="0"/>
              <w:rPr>
                <w:rFonts w:hint="default" w:ascii="Times New Roman" w:hAnsi="Times New Roman" w:eastAsia="宋体" w:cs="Times New Roman"/>
              </w:rPr>
            </w:pPr>
          </w:p>
        </w:tc>
        <w:tc>
          <w:tcPr>
            <w:tcW w:w="1075" w:type="pct"/>
            <w:vMerge w:val="continue"/>
            <w:noWrap w:val="0"/>
            <w:vAlign w:val="center"/>
          </w:tcPr>
          <w:p>
            <w:pPr>
              <w:bidi w:val="0"/>
              <w:rPr>
                <w:rFonts w:hint="default" w:ascii="Times New Roman" w:hAnsi="Times New Roman" w:eastAsia="宋体" w:cs="Times New Roman"/>
              </w:rPr>
            </w:pPr>
          </w:p>
        </w:tc>
      </w:tr>
    </w:tbl>
    <w:p>
      <w:pPr>
        <w:bidi w:val="0"/>
        <w:rPr>
          <w:rFonts w:hint="default" w:ascii="Times New Roman" w:hAnsi="Times New Roman" w:eastAsia="宋体" w:cs="Times New Roman"/>
          <w:lang w:eastAsia="zh-CN"/>
        </w:rPr>
      </w:pPr>
      <w:r>
        <w:rPr>
          <w:rFonts w:hint="default" w:ascii="Times New Roman" w:hAnsi="Times New Roman" w:eastAsia="宋体" w:cs="Times New Roman"/>
        </w:rPr>
        <w:t>备注如下</w:t>
      </w:r>
      <w:r>
        <w:rPr>
          <w:rFonts w:hint="default" w:ascii="Times New Roman" w:hAnsi="Times New Roman" w:eastAsia="宋体" w:cs="Times New Roman"/>
          <w:lang w:eastAsia="zh-CN"/>
        </w:rPr>
        <w:t>：</w:t>
      </w:r>
    </w:p>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联系人：许经理</w:t>
      </w:r>
    </w:p>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电话： 15106305298</w:t>
      </w:r>
    </w:p>
    <w:p>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地址：山东省菏泽市成武县伯乐集镇康楼村</w:t>
      </w:r>
    </w:p>
    <w:p>
      <w:pPr>
        <w:bidi w:val="0"/>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其他：</w:t>
      </w:r>
      <w:r>
        <w:rPr>
          <w:rFonts w:hint="default" w:ascii="Times New Roman" w:hAnsi="Times New Roman" w:eastAsia="宋体" w:cs="Times New Roman"/>
        </w:rPr>
        <w:t>需要现场照片、原始记录、监测报告</w:t>
      </w:r>
    </w:p>
    <w:p>
      <w:pPr>
        <w:bidi w:val="0"/>
        <w:rPr>
          <w:rFonts w:hint="default" w:ascii="Times New Roman" w:hAnsi="Times New Roman" w:eastAsia="宋体" w:cs="Times New Roman"/>
          <w:lang w:val="en-US" w:eastAsia="zh-CN"/>
        </w:rPr>
        <w:sectPr>
          <w:pgSz w:w="11906" w:h="16838"/>
          <w:pgMar w:top="1440" w:right="1440"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afterAutospacing="0" w:line="360" w:lineRule="auto"/>
        <w:jc w:val="both"/>
        <w:rPr>
          <w:rFonts w:hint="default" w:ascii="Times New Roman" w:hAnsi="Times New Roman" w:eastAsia="宋体" w:cs="Times New Roman"/>
          <w:b/>
          <w:bCs/>
          <w:color w:val="000000"/>
          <w:kern w:val="0"/>
          <w:szCs w:val="21"/>
          <w:lang w:eastAsia="zh-CN"/>
        </w:rPr>
      </w:pPr>
    </w:p>
    <w:p>
      <w:pPr>
        <w:pStyle w:val="8"/>
        <w:bidi w:val="0"/>
        <w:spacing w:before="0" w:beforeAutospacing="0" w:after="0" w:afterAutospacing="0"/>
        <w:rPr>
          <w:rFonts w:hint="default" w:ascii="Times New Roman" w:hAnsi="Times New Roman" w:eastAsia="宋体" w:cs="Times New Roman"/>
          <w:sz w:val="24"/>
          <w:szCs w:val="24"/>
          <w:lang w:val="en-US" w:eastAsia="zh-CN"/>
        </w:rPr>
      </w:pPr>
      <w:bookmarkStart w:id="94" w:name="_Toc1720"/>
      <w:r>
        <w:rPr>
          <w:rFonts w:hint="default" w:ascii="Times New Roman" w:hAnsi="Times New Roman" w:eastAsia="宋体" w:cs="Times New Roman"/>
          <w:sz w:val="24"/>
          <w:szCs w:val="24"/>
        </w:rPr>
        <w:t>附件</w:t>
      </w:r>
      <w:r>
        <w:rPr>
          <w:rFonts w:hint="eastAsia" w:ascii="Times New Roman" w:hAnsi="Times New Roman" w:cs="Times New Roman"/>
          <w:sz w:val="24"/>
          <w:szCs w:val="24"/>
          <w:lang w:val="en-US" w:eastAsia="zh-CN"/>
        </w:rPr>
        <w:t>7</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环保验收公示</w:t>
      </w:r>
      <w:bookmarkEnd w:id="94"/>
    </w:p>
    <w:p>
      <w:pPr>
        <w:spacing w:beforeAutospacing="0" w:line="360" w:lineRule="auto"/>
        <w:jc w:val="both"/>
        <w:rPr>
          <w:rFonts w:hint="default" w:ascii="Times New Roman" w:hAnsi="Times New Roman" w:eastAsia="宋体" w:cs="Times New Roman"/>
          <w:b/>
          <w:bCs/>
          <w:color w:val="000000"/>
          <w:kern w:val="0"/>
          <w:szCs w:val="21"/>
          <w:lang w:eastAsia="zh-CN"/>
        </w:rPr>
      </w:pPr>
    </w:p>
    <w:sectPr>
      <w:pgSz w:w="16838" w:h="11906" w:orient="landscape"/>
      <w:pgMar w:top="1588"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方正楷体简体">
    <w:altName w:val="宋体"/>
    <w:panose1 w:val="00000000000000000000"/>
    <w:charset w:val="86"/>
    <w:family w:val="auto"/>
    <w:pitch w:val="default"/>
    <w:sig w:usb0="00000000" w:usb1="00000000" w:usb2="00000000" w:usb3="00000000" w:csb0="00040000" w:csb1="00000000"/>
  </w:font>
  <w:font w:name="方正书宋简体">
    <w:altName w:val="宋体"/>
    <w:panose1 w:val="00000000000000000000"/>
    <w:charset w:val="86"/>
    <w:family w:val="auto"/>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仿宋_GB2312">
    <w:altName w:val="仿宋"/>
    <w:panose1 w:val="02010609030101010101"/>
    <w:charset w:val="86"/>
    <w:family w:val="swiss"/>
    <w:pitch w:val="default"/>
    <w:sig w:usb0="00000000" w:usb1="00000000" w:usb2="00000000" w:usb3="00000000" w:csb0="00040000" w:csb1="00000000"/>
  </w:font>
  <w:font w:name="MS UI Gothic">
    <w:panose1 w:val="020B0600070205080204"/>
    <w:charset w:val="80"/>
    <w:family w:val="swiss"/>
    <w:pitch w:val="default"/>
    <w:sig w:usb0="E00002FF" w:usb1="6AC7FDFB" w:usb2="08000012" w:usb3="00000000" w:csb0="4002009F" w:csb1="DFD70000"/>
  </w:font>
  <w:font w:name="Wingdings 2">
    <w:altName w:val="Wingdings"/>
    <w:panose1 w:val="05020102010507070707"/>
    <w:charset w:val="02"/>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8"/>
      </w:rPr>
    </w:pPr>
    <w:r>
      <w:fldChar w:fldCharType="begin"/>
    </w:r>
    <w:r>
      <w:rPr>
        <w:rStyle w:val="28"/>
      </w:rPr>
      <w:instrText xml:space="preserve">PAGE  </w:instrText>
    </w:r>
    <w:r>
      <w:fldChar w:fldCharType="end"/>
    </w:r>
  </w:p>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- 5 -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- 5 -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- 22 -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p2Zmc6AgAAcQQAAA4AAABkcnMvZTJvRG9jLnhtbK1UzY7TMBC+I/EO&#10;lu80aYGlqp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DqdmZnOgIAAHEEAAAOAAAAAAAAAAEAIAAAAB8BAABkcnMvZTJvRG9j&#10;LnhtbFBLBQYAAAAABgAGAFkBAADL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- 22 -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- 44 -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mGzYwjsCAABxBAAADgAAAAAAAAABACAAAAAfAQAAZHJzL2Uyb0Rv&#10;Yy54bWxQSwUGAAAAAAYABgBZAQAAzA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- 44 -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- 49 -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Jfw85AgAAcQQAAA4AAABkcnMvZTJvRG9jLnhtbK1UzY7TMBC+I/EO&#10;lu80aRd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NgJfw85AgAAcQQAAA4AAAAAAAAAAQAgAAAAHwEAAGRycy9lMm9Eb2Mu&#10;eG1sUEsFBgAAAAAGAAYAWQEAAMo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- 49 -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rPr>
        <w:rFonts w:ascii="Times New Roman" w:hAnsi="Times New Roman" w:cs="Times New Roman"/>
      </w:rPr>
    </w:pPr>
    <w:r>
      <w:rPr>
        <w:rFonts w:hint="default" w:ascii="Times New Roman" w:hAnsi="Times New Roman" w:cs="Times New Roman"/>
        <w:lang w:val="en-US" w:eastAsia="zh-CN"/>
      </w:rPr>
      <w:t>中国石化销售股份有限公司山东菏泽石油分公司成武六一七加油站</w:t>
    </w:r>
    <w:r>
      <w:rPr>
        <w:rFonts w:ascii="Times New Roman" w:hAnsi="Times New Roman" w:cs="Times New Roman"/>
      </w:rPr>
      <w:t>环境保护竣工验收报告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540FD9"/>
    <w:multiLevelType w:val="singleLevel"/>
    <w:tmpl w:val="99540FD9"/>
    <w:lvl w:ilvl="0" w:tentative="0">
      <w:start w:val="1"/>
      <w:numFmt w:val="decimal"/>
      <w:suff w:val="nothing"/>
      <w:lvlText w:val="（%1）"/>
      <w:lvlJc w:val="left"/>
    </w:lvl>
  </w:abstractNum>
  <w:abstractNum w:abstractNumId="1">
    <w:nsid w:val="04090F98"/>
    <w:multiLevelType w:val="singleLevel"/>
    <w:tmpl w:val="04090F98"/>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2">
    <w:nsid w:val="7C4DBF40"/>
    <w:multiLevelType w:val="singleLevel"/>
    <w:tmpl w:val="7C4DBF40"/>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2Yzc2NGUxYzA1ZDdkZTU5NDlkNzJmNTY0ODBlZjkifQ=="/>
  </w:docVars>
  <w:rsids>
    <w:rsidRoot w:val="00172A27"/>
    <w:rsid w:val="0000023A"/>
    <w:rsid w:val="00001C1F"/>
    <w:rsid w:val="000020F4"/>
    <w:rsid w:val="00002193"/>
    <w:rsid w:val="00003422"/>
    <w:rsid w:val="000040CF"/>
    <w:rsid w:val="00004DF9"/>
    <w:rsid w:val="000050AE"/>
    <w:rsid w:val="000058BD"/>
    <w:rsid w:val="00005CA4"/>
    <w:rsid w:val="00011508"/>
    <w:rsid w:val="00012223"/>
    <w:rsid w:val="00014BE5"/>
    <w:rsid w:val="00015422"/>
    <w:rsid w:val="000163ED"/>
    <w:rsid w:val="00021191"/>
    <w:rsid w:val="00021576"/>
    <w:rsid w:val="00021772"/>
    <w:rsid w:val="00021DB3"/>
    <w:rsid w:val="000237C4"/>
    <w:rsid w:val="00023C49"/>
    <w:rsid w:val="00025EF4"/>
    <w:rsid w:val="000276AE"/>
    <w:rsid w:val="00027C91"/>
    <w:rsid w:val="000309BF"/>
    <w:rsid w:val="00031523"/>
    <w:rsid w:val="00031D72"/>
    <w:rsid w:val="0003327E"/>
    <w:rsid w:val="000352BC"/>
    <w:rsid w:val="00036884"/>
    <w:rsid w:val="00040526"/>
    <w:rsid w:val="000420E9"/>
    <w:rsid w:val="000427E3"/>
    <w:rsid w:val="00044EB6"/>
    <w:rsid w:val="00046A37"/>
    <w:rsid w:val="00047996"/>
    <w:rsid w:val="00047A96"/>
    <w:rsid w:val="0005304C"/>
    <w:rsid w:val="0005323F"/>
    <w:rsid w:val="000532AD"/>
    <w:rsid w:val="00055D6D"/>
    <w:rsid w:val="00056073"/>
    <w:rsid w:val="00060D86"/>
    <w:rsid w:val="00061639"/>
    <w:rsid w:val="00062E3A"/>
    <w:rsid w:val="0006389C"/>
    <w:rsid w:val="00065575"/>
    <w:rsid w:val="000660EF"/>
    <w:rsid w:val="00067DB4"/>
    <w:rsid w:val="0007166B"/>
    <w:rsid w:val="000716C8"/>
    <w:rsid w:val="00073600"/>
    <w:rsid w:val="00074573"/>
    <w:rsid w:val="00076B45"/>
    <w:rsid w:val="00080FF4"/>
    <w:rsid w:val="00081BF6"/>
    <w:rsid w:val="000837DB"/>
    <w:rsid w:val="00083D64"/>
    <w:rsid w:val="0008423E"/>
    <w:rsid w:val="00087256"/>
    <w:rsid w:val="000872D1"/>
    <w:rsid w:val="00087AA0"/>
    <w:rsid w:val="000902F6"/>
    <w:rsid w:val="000905D9"/>
    <w:rsid w:val="00091518"/>
    <w:rsid w:val="00091D83"/>
    <w:rsid w:val="00094525"/>
    <w:rsid w:val="00095269"/>
    <w:rsid w:val="000954EF"/>
    <w:rsid w:val="0009551D"/>
    <w:rsid w:val="00096C3D"/>
    <w:rsid w:val="0009748D"/>
    <w:rsid w:val="00097AC7"/>
    <w:rsid w:val="00097D0F"/>
    <w:rsid w:val="000A07BB"/>
    <w:rsid w:val="000A4CB2"/>
    <w:rsid w:val="000A4F0E"/>
    <w:rsid w:val="000A59AF"/>
    <w:rsid w:val="000A5EB7"/>
    <w:rsid w:val="000A643F"/>
    <w:rsid w:val="000B060C"/>
    <w:rsid w:val="000B0790"/>
    <w:rsid w:val="000B0D13"/>
    <w:rsid w:val="000B0F68"/>
    <w:rsid w:val="000B17CF"/>
    <w:rsid w:val="000B1E94"/>
    <w:rsid w:val="000B3AF6"/>
    <w:rsid w:val="000B4D5B"/>
    <w:rsid w:val="000B4FB5"/>
    <w:rsid w:val="000B5EE3"/>
    <w:rsid w:val="000C28FF"/>
    <w:rsid w:val="000C33D3"/>
    <w:rsid w:val="000C3AB7"/>
    <w:rsid w:val="000C55D2"/>
    <w:rsid w:val="000C5E17"/>
    <w:rsid w:val="000C7E04"/>
    <w:rsid w:val="000D18AE"/>
    <w:rsid w:val="000D24F2"/>
    <w:rsid w:val="000D7D61"/>
    <w:rsid w:val="000E03F6"/>
    <w:rsid w:val="000E2582"/>
    <w:rsid w:val="000E27CC"/>
    <w:rsid w:val="000E4ACA"/>
    <w:rsid w:val="000E610C"/>
    <w:rsid w:val="000F54C0"/>
    <w:rsid w:val="000F5A20"/>
    <w:rsid w:val="000F5E1A"/>
    <w:rsid w:val="000F65B6"/>
    <w:rsid w:val="00100891"/>
    <w:rsid w:val="0010146B"/>
    <w:rsid w:val="00102691"/>
    <w:rsid w:val="00102E23"/>
    <w:rsid w:val="001039D2"/>
    <w:rsid w:val="00103DB2"/>
    <w:rsid w:val="00104122"/>
    <w:rsid w:val="00106A7F"/>
    <w:rsid w:val="001070BF"/>
    <w:rsid w:val="00110390"/>
    <w:rsid w:val="001105D9"/>
    <w:rsid w:val="00113BDF"/>
    <w:rsid w:val="001159E5"/>
    <w:rsid w:val="001207E8"/>
    <w:rsid w:val="00121FB0"/>
    <w:rsid w:val="00122CB9"/>
    <w:rsid w:val="00122E81"/>
    <w:rsid w:val="0012353D"/>
    <w:rsid w:val="00124A57"/>
    <w:rsid w:val="00125213"/>
    <w:rsid w:val="00126552"/>
    <w:rsid w:val="00132384"/>
    <w:rsid w:val="00133D13"/>
    <w:rsid w:val="00135368"/>
    <w:rsid w:val="0013690D"/>
    <w:rsid w:val="00137119"/>
    <w:rsid w:val="00137FF9"/>
    <w:rsid w:val="00141802"/>
    <w:rsid w:val="0014257B"/>
    <w:rsid w:val="00144DA4"/>
    <w:rsid w:val="00144F3D"/>
    <w:rsid w:val="0014794D"/>
    <w:rsid w:val="0015066F"/>
    <w:rsid w:val="00151300"/>
    <w:rsid w:val="001524EF"/>
    <w:rsid w:val="001533AA"/>
    <w:rsid w:val="0015381D"/>
    <w:rsid w:val="0015428E"/>
    <w:rsid w:val="00155974"/>
    <w:rsid w:val="00156D10"/>
    <w:rsid w:val="00160ECF"/>
    <w:rsid w:val="0016136C"/>
    <w:rsid w:val="00161E87"/>
    <w:rsid w:val="001649B9"/>
    <w:rsid w:val="00165023"/>
    <w:rsid w:val="001653FD"/>
    <w:rsid w:val="00167B05"/>
    <w:rsid w:val="001711C5"/>
    <w:rsid w:val="00172C62"/>
    <w:rsid w:val="00172D43"/>
    <w:rsid w:val="00173CBC"/>
    <w:rsid w:val="0017404D"/>
    <w:rsid w:val="00174102"/>
    <w:rsid w:val="001749A7"/>
    <w:rsid w:val="001756DB"/>
    <w:rsid w:val="00175778"/>
    <w:rsid w:val="0017599D"/>
    <w:rsid w:val="001807EB"/>
    <w:rsid w:val="00181F0A"/>
    <w:rsid w:val="00182731"/>
    <w:rsid w:val="00184109"/>
    <w:rsid w:val="00184856"/>
    <w:rsid w:val="001848DC"/>
    <w:rsid w:val="00187600"/>
    <w:rsid w:val="00190166"/>
    <w:rsid w:val="00190552"/>
    <w:rsid w:val="00190FDB"/>
    <w:rsid w:val="001922BF"/>
    <w:rsid w:val="00192B4A"/>
    <w:rsid w:val="00193129"/>
    <w:rsid w:val="0019537D"/>
    <w:rsid w:val="00196F2D"/>
    <w:rsid w:val="00197711"/>
    <w:rsid w:val="00197837"/>
    <w:rsid w:val="00197F43"/>
    <w:rsid w:val="001A00FD"/>
    <w:rsid w:val="001A089E"/>
    <w:rsid w:val="001A0F78"/>
    <w:rsid w:val="001A13B4"/>
    <w:rsid w:val="001A1AD2"/>
    <w:rsid w:val="001A2D59"/>
    <w:rsid w:val="001A3D70"/>
    <w:rsid w:val="001A46D7"/>
    <w:rsid w:val="001A47BA"/>
    <w:rsid w:val="001A499C"/>
    <w:rsid w:val="001A55FA"/>
    <w:rsid w:val="001A57E8"/>
    <w:rsid w:val="001A6A8C"/>
    <w:rsid w:val="001B0F75"/>
    <w:rsid w:val="001B1F02"/>
    <w:rsid w:val="001B31C9"/>
    <w:rsid w:val="001B3ED3"/>
    <w:rsid w:val="001B6277"/>
    <w:rsid w:val="001B7024"/>
    <w:rsid w:val="001C0618"/>
    <w:rsid w:val="001C083C"/>
    <w:rsid w:val="001C0AF2"/>
    <w:rsid w:val="001C1985"/>
    <w:rsid w:val="001C1BD3"/>
    <w:rsid w:val="001C2AF9"/>
    <w:rsid w:val="001C6313"/>
    <w:rsid w:val="001C6F6D"/>
    <w:rsid w:val="001D1411"/>
    <w:rsid w:val="001D41D6"/>
    <w:rsid w:val="001D42B9"/>
    <w:rsid w:val="001D5786"/>
    <w:rsid w:val="001D622A"/>
    <w:rsid w:val="001D71E1"/>
    <w:rsid w:val="001E174F"/>
    <w:rsid w:val="001E1A09"/>
    <w:rsid w:val="001E3751"/>
    <w:rsid w:val="001E42FD"/>
    <w:rsid w:val="001E4333"/>
    <w:rsid w:val="001E4483"/>
    <w:rsid w:val="001E5217"/>
    <w:rsid w:val="001E663A"/>
    <w:rsid w:val="001E731C"/>
    <w:rsid w:val="001F19F7"/>
    <w:rsid w:val="001F338B"/>
    <w:rsid w:val="001F35AD"/>
    <w:rsid w:val="001F67B0"/>
    <w:rsid w:val="001F6D52"/>
    <w:rsid w:val="001F7A16"/>
    <w:rsid w:val="0020068C"/>
    <w:rsid w:val="00201295"/>
    <w:rsid w:val="00201A02"/>
    <w:rsid w:val="00202339"/>
    <w:rsid w:val="00202E1E"/>
    <w:rsid w:val="002038B2"/>
    <w:rsid w:val="00203D10"/>
    <w:rsid w:val="00203E99"/>
    <w:rsid w:val="00206F1F"/>
    <w:rsid w:val="0021123F"/>
    <w:rsid w:val="002119A0"/>
    <w:rsid w:val="002120DF"/>
    <w:rsid w:val="00213527"/>
    <w:rsid w:val="002136CF"/>
    <w:rsid w:val="00213F58"/>
    <w:rsid w:val="00214D67"/>
    <w:rsid w:val="00215BA8"/>
    <w:rsid w:val="00215D39"/>
    <w:rsid w:val="00215D60"/>
    <w:rsid w:val="0021628F"/>
    <w:rsid w:val="0021760A"/>
    <w:rsid w:val="0021781B"/>
    <w:rsid w:val="00220A17"/>
    <w:rsid w:val="00220F1D"/>
    <w:rsid w:val="00222F43"/>
    <w:rsid w:val="00223D22"/>
    <w:rsid w:val="002254BC"/>
    <w:rsid w:val="002260A5"/>
    <w:rsid w:val="00227D57"/>
    <w:rsid w:val="00227FDE"/>
    <w:rsid w:val="00230295"/>
    <w:rsid w:val="002312D2"/>
    <w:rsid w:val="00232275"/>
    <w:rsid w:val="00232986"/>
    <w:rsid w:val="00232EAF"/>
    <w:rsid w:val="00233634"/>
    <w:rsid w:val="00233A76"/>
    <w:rsid w:val="00233E1C"/>
    <w:rsid w:val="00234979"/>
    <w:rsid w:val="00235E04"/>
    <w:rsid w:val="0023712B"/>
    <w:rsid w:val="002374A4"/>
    <w:rsid w:val="00246105"/>
    <w:rsid w:val="0024695A"/>
    <w:rsid w:val="002513B2"/>
    <w:rsid w:val="00252257"/>
    <w:rsid w:val="00253A2A"/>
    <w:rsid w:val="002557B5"/>
    <w:rsid w:val="002572A3"/>
    <w:rsid w:val="00257F0B"/>
    <w:rsid w:val="00260A78"/>
    <w:rsid w:val="00260BA1"/>
    <w:rsid w:val="00260F54"/>
    <w:rsid w:val="002613D4"/>
    <w:rsid w:val="002622A3"/>
    <w:rsid w:val="0026273A"/>
    <w:rsid w:val="00262B5C"/>
    <w:rsid w:val="002643B6"/>
    <w:rsid w:val="00264D2D"/>
    <w:rsid w:val="002661A3"/>
    <w:rsid w:val="00270E6A"/>
    <w:rsid w:val="002717A8"/>
    <w:rsid w:val="00273098"/>
    <w:rsid w:val="0027504F"/>
    <w:rsid w:val="0027556D"/>
    <w:rsid w:val="00276075"/>
    <w:rsid w:val="00277781"/>
    <w:rsid w:val="002779C4"/>
    <w:rsid w:val="00277B89"/>
    <w:rsid w:val="00277D15"/>
    <w:rsid w:val="002801AF"/>
    <w:rsid w:val="00281D54"/>
    <w:rsid w:val="002827B8"/>
    <w:rsid w:val="002830F6"/>
    <w:rsid w:val="00283FB0"/>
    <w:rsid w:val="00284543"/>
    <w:rsid w:val="00285615"/>
    <w:rsid w:val="00285C36"/>
    <w:rsid w:val="00286727"/>
    <w:rsid w:val="00286929"/>
    <w:rsid w:val="00286AE8"/>
    <w:rsid w:val="00286E60"/>
    <w:rsid w:val="002931A6"/>
    <w:rsid w:val="0029391C"/>
    <w:rsid w:val="00294BE9"/>
    <w:rsid w:val="002957A5"/>
    <w:rsid w:val="00297693"/>
    <w:rsid w:val="00297CDD"/>
    <w:rsid w:val="002A143C"/>
    <w:rsid w:val="002A2D84"/>
    <w:rsid w:val="002A3640"/>
    <w:rsid w:val="002A6683"/>
    <w:rsid w:val="002B039D"/>
    <w:rsid w:val="002B0578"/>
    <w:rsid w:val="002B16AC"/>
    <w:rsid w:val="002B47E8"/>
    <w:rsid w:val="002B49C0"/>
    <w:rsid w:val="002B5C64"/>
    <w:rsid w:val="002B6299"/>
    <w:rsid w:val="002B636E"/>
    <w:rsid w:val="002B667C"/>
    <w:rsid w:val="002B740C"/>
    <w:rsid w:val="002C027D"/>
    <w:rsid w:val="002C04DC"/>
    <w:rsid w:val="002C4E0B"/>
    <w:rsid w:val="002C507D"/>
    <w:rsid w:val="002C5123"/>
    <w:rsid w:val="002C5233"/>
    <w:rsid w:val="002C525A"/>
    <w:rsid w:val="002C604D"/>
    <w:rsid w:val="002C7344"/>
    <w:rsid w:val="002D10B8"/>
    <w:rsid w:val="002D2F8D"/>
    <w:rsid w:val="002D354D"/>
    <w:rsid w:val="002D58A3"/>
    <w:rsid w:val="002D6A12"/>
    <w:rsid w:val="002D70C2"/>
    <w:rsid w:val="002E004A"/>
    <w:rsid w:val="002E05B9"/>
    <w:rsid w:val="002E0C82"/>
    <w:rsid w:val="002E2C05"/>
    <w:rsid w:val="002E3125"/>
    <w:rsid w:val="002E40D5"/>
    <w:rsid w:val="002E5C61"/>
    <w:rsid w:val="002E7528"/>
    <w:rsid w:val="002E79D1"/>
    <w:rsid w:val="002F06A1"/>
    <w:rsid w:val="002F11A5"/>
    <w:rsid w:val="002F1D2B"/>
    <w:rsid w:val="002F22FB"/>
    <w:rsid w:val="002F27ED"/>
    <w:rsid w:val="002F2B2D"/>
    <w:rsid w:val="002F4C71"/>
    <w:rsid w:val="002F4E51"/>
    <w:rsid w:val="002F5F22"/>
    <w:rsid w:val="002F644B"/>
    <w:rsid w:val="0030165B"/>
    <w:rsid w:val="003038F7"/>
    <w:rsid w:val="00305B90"/>
    <w:rsid w:val="00305D67"/>
    <w:rsid w:val="0031024F"/>
    <w:rsid w:val="003105A6"/>
    <w:rsid w:val="00310BA9"/>
    <w:rsid w:val="003113BA"/>
    <w:rsid w:val="00311E98"/>
    <w:rsid w:val="00311F39"/>
    <w:rsid w:val="00314ABD"/>
    <w:rsid w:val="003155B0"/>
    <w:rsid w:val="00316040"/>
    <w:rsid w:val="0031641A"/>
    <w:rsid w:val="003172AE"/>
    <w:rsid w:val="0031768B"/>
    <w:rsid w:val="00321B0C"/>
    <w:rsid w:val="00322506"/>
    <w:rsid w:val="00324682"/>
    <w:rsid w:val="00326405"/>
    <w:rsid w:val="00330C11"/>
    <w:rsid w:val="0033119E"/>
    <w:rsid w:val="00331C8F"/>
    <w:rsid w:val="00332E5D"/>
    <w:rsid w:val="00333149"/>
    <w:rsid w:val="003339F8"/>
    <w:rsid w:val="003351E7"/>
    <w:rsid w:val="0033641F"/>
    <w:rsid w:val="00337230"/>
    <w:rsid w:val="00340945"/>
    <w:rsid w:val="003439C6"/>
    <w:rsid w:val="00343B36"/>
    <w:rsid w:val="003448BB"/>
    <w:rsid w:val="00347F2D"/>
    <w:rsid w:val="00350E7F"/>
    <w:rsid w:val="00351494"/>
    <w:rsid w:val="00351D9D"/>
    <w:rsid w:val="003562E3"/>
    <w:rsid w:val="003601B5"/>
    <w:rsid w:val="0036251E"/>
    <w:rsid w:val="0036291B"/>
    <w:rsid w:val="00362A1F"/>
    <w:rsid w:val="00364D82"/>
    <w:rsid w:val="00364DAF"/>
    <w:rsid w:val="003652AB"/>
    <w:rsid w:val="00365C95"/>
    <w:rsid w:val="0037222D"/>
    <w:rsid w:val="0037266D"/>
    <w:rsid w:val="00372754"/>
    <w:rsid w:val="00372FE9"/>
    <w:rsid w:val="00374971"/>
    <w:rsid w:val="00375ABF"/>
    <w:rsid w:val="00380694"/>
    <w:rsid w:val="00382F93"/>
    <w:rsid w:val="0038404E"/>
    <w:rsid w:val="00385570"/>
    <w:rsid w:val="00385D64"/>
    <w:rsid w:val="00385F1E"/>
    <w:rsid w:val="00386D13"/>
    <w:rsid w:val="00386DD1"/>
    <w:rsid w:val="00390E21"/>
    <w:rsid w:val="0039100C"/>
    <w:rsid w:val="00391333"/>
    <w:rsid w:val="00393FB0"/>
    <w:rsid w:val="00397EF0"/>
    <w:rsid w:val="003A0733"/>
    <w:rsid w:val="003A0933"/>
    <w:rsid w:val="003A1527"/>
    <w:rsid w:val="003A226F"/>
    <w:rsid w:val="003A27D6"/>
    <w:rsid w:val="003A28B5"/>
    <w:rsid w:val="003A3410"/>
    <w:rsid w:val="003A3F90"/>
    <w:rsid w:val="003A42C5"/>
    <w:rsid w:val="003A55E5"/>
    <w:rsid w:val="003A60EF"/>
    <w:rsid w:val="003A6B66"/>
    <w:rsid w:val="003A7575"/>
    <w:rsid w:val="003B1475"/>
    <w:rsid w:val="003B1685"/>
    <w:rsid w:val="003B4DBE"/>
    <w:rsid w:val="003B6819"/>
    <w:rsid w:val="003C06B4"/>
    <w:rsid w:val="003C4420"/>
    <w:rsid w:val="003C498E"/>
    <w:rsid w:val="003C66BA"/>
    <w:rsid w:val="003C6820"/>
    <w:rsid w:val="003C6BEC"/>
    <w:rsid w:val="003C7454"/>
    <w:rsid w:val="003D0C67"/>
    <w:rsid w:val="003D2A50"/>
    <w:rsid w:val="003D4C49"/>
    <w:rsid w:val="003D64F0"/>
    <w:rsid w:val="003E0A3B"/>
    <w:rsid w:val="003E373C"/>
    <w:rsid w:val="003E3CBE"/>
    <w:rsid w:val="003E4F3F"/>
    <w:rsid w:val="003E513F"/>
    <w:rsid w:val="003E5A8F"/>
    <w:rsid w:val="003E6F5B"/>
    <w:rsid w:val="003E79CA"/>
    <w:rsid w:val="003F1268"/>
    <w:rsid w:val="003F15AE"/>
    <w:rsid w:val="003F34E3"/>
    <w:rsid w:val="003F3805"/>
    <w:rsid w:val="003F5C58"/>
    <w:rsid w:val="003F694A"/>
    <w:rsid w:val="003F6BB6"/>
    <w:rsid w:val="004014D8"/>
    <w:rsid w:val="00401C04"/>
    <w:rsid w:val="00401FF5"/>
    <w:rsid w:val="004029D4"/>
    <w:rsid w:val="00404326"/>
    <w:rsid w:val="0040629E"/>
    <w:rsid w:val="004110DA"/>
    <w:rsid w:val="00411254"/>
    <w:rsid w:val="00411A12"/>
    <w:rsid w:val="00411BB0"/>
    <w:rsid w:val="00413CBC"/>
    <w:rsid w:val="00416F8F"/>
    <w:rsid w:val="00417070"/>
    <w:rsid w:val="00417449"/>
    <w:rsid w:val="00421FDA"/>
    <w:rsid w:val="00422782"/>
    <w:rsid w:val="004227EC"/>
    <w:rsid w:val="00426CC8"/>
    <w:rsid w:val="00434CAE"/>
    <w:rsid w:val="00441CED"/>
    <w:rsid w:val="004421BF"/>
    <w:rsid w:val="00444EF5"/>
    <w:rsid w:val="00444F3E"/>
    <w:rsid w:val="004450D9"/>
    <w:rsid w:val="00446C20"/>
    <w:rsid w:val="00446CD3"/>
    <w:rsid w:val="00446FA1"/>
    <w:rsid w:val="004479C7"/>
    <w:rsid w:val="00451178"/>
    <w:rsid w:val="00452F1E"/>
    <w:rsid w:val="00454348"/>
    <w:rsid w:val="004552C8"/>
    <w:rsid w:val="0045557E"/>
    <w:rsid w:val="004560D0"/>
    <w:rsid w:val="0045772A"/>
    <w:rsid w:val="004579D2"/>
    <w:rsid w:val="00461817"/>
    <w:rsid w:val="00462712"/>
    <w:rsid w:val="004628F1"/>
    <w:rsid w:val="004702D8"/>
    <w:rsid w:val="00471BAE"/>
    <w:rsid w:val="00474E67"/>
    <w:rsid w:val="004768AE"/>
    <w:rsid w:val="00481935"/>
    <w:rsid w:val="00481D39"/>
    <w:rsid w:val="00482A6C"/>
    <w:rsid w:val="00483769"/>
    <w:rsid w:val="0048447F"/>
    <w:rsid w:val="00484813"/>
    <w:rsid w:val="004853A6"/>
    <w:rsid w:val="00486101"/>
    <w:rsid w:val="00486E77"/>
    <w:rsid w:val="0049166B"/>
    <w:rsid w:val="0049188B"/>
    <w:rsid w:val="004918BA"/>
    <w:rsid w:val="00492D35"/>
    <w:rsid w:val="004946D6"/>
    <w:rsid w:val="00494B1E"/>
    <w:rsid w:val="00495562"/>
    <w:rsid w:val="00496743"/>
    <w:rsid w:val="004A033E"/>
    <w:rsid w:val="004A09AC"/>
    <w:rsid w:val="004A2BF2"/>
    <w:rsid w:val="004A372A"/>
    <w:rsid w:val="004A5148"/>
    <w:rsid w:val="004A71A8"/>
    <w:rsid w:val="004B007F"/>
    <w:rsid w:val="004B2F1F"/>
    <w:rsid w:val="004B355C"/>
    <w:rsid w:val="004B366A"/>
    <w:rsid w:val="004B4DB2"/>
    <w:rsid w:val="004B6FAF"/>
    <w:rsid w:val="004C2404"/>
    <w:rsid w:val="004C34CB"/>
    <w:rsid w:val="004C38C7"/>
    <w:rsid w:val="004C4885"/>
    <w:rsid w:val="004C7621"/>
    <w:rsid w:val="004D13D8"/>
    <w:rsid w:val="004D1BBF"/>
    <w:rsid w:val="004D3CB5"/>
    <w:rsid w:val="004D476A"/>
    <w:rsid w:val="004D5DBA"/>
    <w:rsid w:val="004D709A"/>
    <w:rsid w:val="004D7318"/>
    <w:rsid w:val="004D7BCD"/>
    <w:rsid w:val="004D7DC9"/>
    <w:rsid w:val="004E0BCD"/>
    <w:rsid w:val="004E1654"/>
    <w:rsid w:val="004E1B80"/>
    <w:rsid w:val="004E3B8F"/>
    <w:rsid w:val="004E45C8"/>
    <w:rsid w:val="004E5774"/>
    <w:rsid w:val="004E5B4E"/>
    <w:rsid w:val="004E6078"/>
    <w:rsid w:val="004E7DFD"/>
    <w:rsid w:val="004F1778"/>
    <w:rsid w:val="004F3929"/>
    <w:rsid w:val="004F5E05"/>
    <w:rsid w:val="004F695A"/>
    <w:rsid w:val="005002A7"/>
    <w:rsid w:val="00500EFC"/>
    <w:rsid w:val="00500F39"/>
    <w:rsid w:val="005029AD"/>
    <w:rsid w:val="00503D21"/>
    <w:rsid w:val="0050473C"/>
    <w:rsid w:val="00505557"/>
    <w:rsid w:val="00510982"/>
    <w:rsid w:val="00511A3F"/>
    <w:rsid w:val="0051249A"/>
    <w:rsid w:val="00512D89"/>
    <w:rsid w:val="00513751"/>
    <w:rsid w:val="005137E8"/>
    <w:rsid w:val="00514604"/>
    <w:rsid w:val="0051578D"/>
    <w:rsid w:val="005166C4"/>
    <w:rsid w:val="00520F05"/>
    <w:rsid w:val="00521028"/>
    <w:rsid w:val="0052151D"/>
    <w:rsid w:val="00524082"/>
    <w:rsid w:val="00526E01"/>
    <w:rsid w:val="0053005A"/>
    <w:rsid w:val="00531E52"/>
    <w:rsid w:val="00533859"/>
    <w:rsid w:val="00535344"/>
    <w:rsid w:val="00535E05"/>
    <w:rsid w:val="00535FB7"/>
    <w:rsid w:val="00536A64"/>
    <w:rsid w:val="00537AE3"/>
    <w:rsid w:val="00540140"/>
    <w:rsid w:val="00541F39"/>
    <w:rsid w:val="0054246D"/>
    <w:rsid w:val="005458AA"/>
    <w:rsid w:val="00545CE3"/>
    <w:rsid w:val="005469AD"/>
    <w:rsid w:val="0054799E"/>
    <w:rsid w:val="00550EAC"/>
    <w:rsid w:val="00551141"/>
    <w:rsid w:val="00551628"/>
    <w:rsid w:val="00551881"/>
    <w:rsid w:val="00552A19"/>
    <w:rsid w:val="00553F23"/>
    <w:rsid w:val="005558CE"/>
    <w:rsid w:val="00556A07"/>
    <w:rsid w:val="0056175E"/>
    <w:rsid w:val="00562952"/>
    <w:rsid w:val="005636AC"/>
    <w:rsid w:val="00566DB6"/>
    <w:rsid w:val="00567A77"/>
    <w:rsid w:val="00570351"/>
    <w:rsid w:val="0057175D"/>
    <w:rsid w:val="0057195B"/>
    <w:rsid w:val="00575F0D"/>
    <w:rsid w:val="00576D2C"/>
    <w:rsid w:val="005814F6"/>
    <w:rsid w:val="005831C9"/>
    <w:rsid w:val="0058364B"/>
    <w:rsid w:val="00587584"/>
    <w:rsid w:val="00590DFA"/>
    <w:rsid w:val="005924EB"/>
    <w:rsid w:val="00593228"/>
    <w:rsid w:val="005949F2"/>
    <w:rsid w:val="00595B9D"/>
    <w:rsid w:val="005976D7"/>
    <w:rsid w:val="00597E4D"/>
    <w:rsid w:val="005A00B7"/>
    <w:rsid w:val="005A0F92"/>
    <w:rsid w:val="005A30DD"/>
    <w:rsid w:val="005A3659"/>
    <w:rsid w:val="005A3ED4"/>
    <w:rsid w:val="005A4BF9"/>
    <w:rsid w:val="005A4DED"/>
    <w:rsid w:val="005B0299"/>
    <w:rsid w:val="005B200B"/>
    <w:rsid w:val="005B2E2D"/>
    <w:rsid w:val="005B3009"/>
    <w:rsid w:val="005B326E"/>
    <w:rsid w:val="005B37B5"/>
    <w:rsid w:val="005B430B"/>
    <w:rsid w:val="005B509E"/>
    <w:rsid w:val="005B5654"/>
    <w:rsid w:val="005B6CE6"/>
    <w:rsid w:val="005B6E0E"/>
    <w:rsid w:val="005C1E91"/>
    <w:rsid w:val="005C24FF"/>
    <w:rsid w:val="005C277D"/>
    <w:rsid w:val="005C417A"/>
    <w:rsid w:val="005C4F9E"/>
    <w:rsid w:val="005C515A"/>
    <w:rsid w:val="005C5E17"/>
    <w:rsid w:val="005D1245"/>
    <w:rsid w:val="005D52F1"/>
    <w:rsid w:val="005D57DC"/>
    <w:rsid w:val="005D6559"/>
    <w:rsid w:val="005D7160"/>
    <w:rsid w:val="005E0AA6"/>
    <w:rsid w:val="005E1E43"/>
    <w:rsid w:val="005E32EC"/>
    <w:rsid w:val="005E3889"/>
    <w:rsid w:val="005E4FC7"/>
    <w:rsid w:val="005E67A7"/>
    <w:rsid w:val="005F07F7"/>
    <w:rsid w:val="005F0C04"/>
    <w:rsid w:val="005F1F9E"/>
    <w:rsid w:val="005F28C4"/>
    <w:rsid w:val="005F5D91"/>
    <w:rsid w:val="005F5E6A"/>
    <w:rsid w:val="005F65B7"/>
    <w:rsid w:val="005F7A15"/>
    <w:rsid w:val="00600969"/>
    <w:rsid w:val="006009E7"/>
    <w:rsid w:val="00602C3D"/>
    <w:rsid w:val="006044B3"/>
    <w:rsid w:val="00606D54"/>
    <w:rsid w:val="00607528"/>
    <w:rsid w:val="00610093"/>
    <w:rsid w:val="006101B7"/>
    <w:rsid w:val="006123D2"/>
    <w:rsid w:val="00613B22"/>
    <w:rsid w:val="00614142"/>
    <w:rsid w:val="00615310"/>
    <w:rsid w:val="00616B63"/>
    <w:rsid w:val="006177EB"/>
    <w:rsid w:val="0062053C"/>
    <w:rsid w:val="006212CC"/>
    <w:rsid w:val="00621CB7"/>
    <w:rsid w:val="00622195"/>
    <w:rsid w:val="006225DF"/>
    <w:rsid w:val="00622711"/>
    <w:rsid w:val="00622954"/>
    <w:rsid w:val="00622D58"/>
    <w:rsid w:val="006233D1"/>
    <w:rsid w:val="0062382B"/>
    <w:rsid w:val="00623FCD"/>
    <w:rsid w:val="006243DB"/>
    <w:rsid w:val="00624E22"/>
    <w:rsid w:val="00624E9B"/>
    <w:rsid w:val="00625F1C"/>
    <w:rsid w:val="00626194"/>
    <w:rsid w:val="00626B52"/>
    <w:rsid w:val="006272DC"/>
    <w:rsid w:val="006274F6"/>
    <w:rsid w:val="00627BB5"/>
    <w:rsid w:val="00632282"/>
    <w:rsid w:val="00632681"/>
    <w:rsid w:val="00632A3A"/>
    <w:rsid w:val="00636F58"/>
    <w:rsid w:val="00637904"/>
    <w:rsid w:val="00640784"/>
    <w:rsid w:val="0064187F"/>
    <w:rsid w:val="006447B0"/>
    <w:rsid w:val="00645AFF"/>
    <w:rsid w:val="00647BCE"/>
    <w:rsid w:val="006512EA"/>
    <w:rsid w:val="006530B8"/>
    <w:rsid w:val="00653283"/>
    <w:rsid w:val="006547C2"/>
    <w:rsid w:val="006548A6"/>
    <w:rsid w:val="006603C0"/>
    <w:rsid w:val="00661AFD"/>
    <w:rsid w:val="0066352C"/>
    <w:rsid w:val="00664750"/>
    <w:rsid w:val="0066562E"/>
    <w:rsid w:val="00667BC0"/>
    <w:rsid w:val="006750C5"/>
    <w:rsid w:val="0067522E"/>
    <w:rsid w:val="00675B6C"/>
    <w:rsid w:val="00677F05"/>
    <w:rsid w:val="00680C60"/>
    <w:rsid w:val="00682D69"/>
    <w:rsid w:val="00684098"/>
    <w:rsid w:val="00684450"/>
    <w:rsid w:val="00684EAD"/>
    <w:rsid w:val="00692FB3"/>
    <w:rsid w:val="00693AB2"/>
    <w:rsid w:val="006941E4"/>
    <w:rsid w:val="006948E0"/>
    <w:rsid w:val="00695A3B"/>
    <w:rsid w:val="00696470"/>
    <w:rsid w:val="006964AB"/>
    <w:rsid w:val="00697A01"/>
    <w:rsid w:val="006A03C6"/>
    <w:rsid w:val="006A25AA"/>
    <w:rsid w:val="006A4498"/>
    <w:rsid w:val="006A4634"/>
    <w:rsid w:val="006A52F3"/>
    <w:rsid w:val="006B023E"/>
    <w:rsid w:val="006B13A6"/>
    <w:rsid w:val="006B21AB"/>
    <w:rsid w:val="006B2AB3"/>
    <w:rsid w:val="006B4DC1"/>
    <w:rsid w:val="006B5425"/>
    <w:rsid w:val="006B5EA3"/>
    <w:rsid w:val="006B695E"/>
    <w:rsid w:val="006B72D1"/>
    <w:rsid w:val="006C0A24"/>
    <w:rsid w:val="006C0B64"/>
    <w:rsid w:val="006C251F"/>
    <w:rsid w:val="006C2BD6"/>
    <w:rsid w:val="006C3372"/>
    <w:rsid w:val="006C39F4"/>
    <w:rsid w:val="006C3D3A"/>
    <w:rsid w:val="006C46CA"/>
    <w:rsid w:val="006C5F5A"/>
    <w:rsid w:val="006C5FD7"/>
    <w:rsid w:val="006D1D6E"/>
    <w:rsid w:val="006D2AC4"/>
    <w:rsid w:val="006D3671"/>
    <w:rsid w:val="006D3D5C"/>
    <w:rsid w:val="006D7AB1"/>
    <w:rsid w:val="006E0352"/>
    <w:rsid w:val="006E12F4"/>
    <w:rsid w:val="006E28EA"/>
    <w:rsid w:val="006E2BBA"/>
    <w:rsid w:val="006E3B9C"/>
    <w:rsid w:val="006E4868"/>
    <w:rsid w:val="006E73EB"/>
    <w:rsid w:val="006F08CE"/>
    <w:rsid w:val="006F0D2F"/>
    <w:rsid w:val="006F16D2"/>
    <w:rsid w:val="006F231D"/>
    <w:rsid w:val="006F3669"/>
    <w:rsid w:val="006F3707"/>
    <w:rsid w:val="006F40F8"/>
    <w:rsid w:val="006F49EF"/>
    <w:rsid w:val="006F4C37"/>
    <w:rsid w:val="006F51A3"/>
    <w:rsid w:val="006F5B5B"/>
    <w:rsid w:val="006F7CC5"/>
    <w:rsid w:val="00700141"/>
    <w:rsid w:val="007029D8"/>
    <w:rsid w:val="0070574A"/>
    <w:rsid w:val="00705D50"/>
    <w:rsid w:val="00707D60"/>
    <w:rsid w:val="00710E28"/>
    <w:rsid w:val="007120C0"/>
    <w:rsid w:val="0071248C"/>
    <w:rsid w:val="007128A8"/>
    <w:rsid w:val="00713CE3"/>
    <w:rsid w:val="00715859"/>
    <w:rsid w:val="00715C14"/>
    <w:rsid w:val="00720D34"/>
    <w:rsid w:val="00721E8D"/>
    <w:rsid w:val="007231A8"/>
    <w:rsid w:val="0072359D"/>
    <w:rsid w:val="00725600"/>
    <w:rsid w:val="0072563A"/>
    <w:rsid w:val="00725991"/>
    <w:rsid w:val="00725B37"/>
    <w:rsid w:val="00726F42"/>
    <w:rsid w:val="00727149"/>
    <w:rsid w:val="00733538"/>
    <w:rsid w:val="00733D4F"/>
    <w:rsid w:val="0073552D"/>
    <w:rsid w:val="0074118C"/>
    <w:rsid w:val="00742A45"/>
    <w:rsid w:val="00743179"/>
    <w:rsid w:val="00743F02"/>
    <w:rsid w:val="00745B2E"/>
    <w:rsid w:val="007464DC"/>
    <w:rsid w:val="00746D37"/>
    <w:rsid w:val="00747E5D"/>
    <w:rsid w:val="0075005D"/>
    <w:rsid w:val="00750F38"/>
    <w:rsid w:val="007510C9"/>
    <w:rsid w:val="007513F4"/>
    <w:rsid w:val="00751E7E"/>
    <w:rsid w:val="00752151"/>
    <w:rsid w:val="0075246B"/>
    <w:rsid w:val="00752641"/>
    <w:rsid w:val="00753C0F"/>
    <w:rsid w:val="00753D02"/>
    <w:rsid w:val="007545C0"/>
    <w:rsid w:val="0075502B"/>
    <w:rsid w:val="007559C4"/>
    <w:rsid w:val="00756C3B"/>
    <w:rsid w:val="00757589"/>
    <w:rsid w:val="00760E9E"/>
    <w:rsid w:val="00761DE4"/>
    <w:rsid w:val="00762BC0"/>
    <w:rsid w:val="00763DCA"/>
    <w:rsid w:val="00765E53"/>
    <w:rsid w:val="007664F7"/>
    <w:rsid w:val="0076761E"/>
    <w:rsid w:val="00770EDE"/>
    <w:rsid w:val="007738C3"/>
    <w:rsid w:val="007769DE"/>
    <w:rsid w:val="00776EF6"/>
    <w:rsid w:val="007823ED"/>
    <w:rsid w:val="007848CE"/>
    <w:rsid w:val="00784DE7"/>
    <w:rsid w:val="00785027"/>
    <w:rsid w:val="0078580F"/>
    <w:rsid w:val="00785D16"/>
    <w:rsid w:val="0079136D"/>
    <w:rsid w:val="007936BC"/>
    <w:rsid w:val="00795A03"/>
    <w:rsid w:val="00796E0D"/>
    <w:rsid w:val="00796FBB"/>
    <w:rsid w:val="00797EA4"/>
    <w:rsid w:val="007A055F"/>
    <w:rsid w:val="007A12D5"/>
    <w:rsid w:val="007A15B9"/>
    <w:rsid w:val="007A1E26"/>
    <w:rsid w:val="007A2E71"/>
    <w:rsid w:val="007A5EDC"/>
    <w:rsid w:val="007A7237"/>
    <w:rsid w:val="007B0110"/>
    <w:rsid w:val="007B11F8"/>
    <w:rsid w:val="007B2D57"/>
    <w:rsid w:val="007B3098"/>
    <w:rsid w:val="007B5BDB"/>
    <w:rsid w:val="007B5BF0"/>
    <w:rsid w:val="007B6325"/>
    <w:rsid w:val="007B7C68"/>
    <w:rsid w:val="007C0C67"/>
    <w:rsid w:val="007C109A"/>
    <w:rsid w:val="007C482A"/>
    <w:rsid w:val="007C4E13"/>
    <w:rsid w:val="007C6017"/>
    <w:rsid w:val="007C752C"/>
    <w:rsid w:val="007D4703"/>
    <w:rsid w:val="007D53AF"/>
    <w:rsid w:val="007D53B8"/>
    <w:rsid w:val="007D5737"/>
    <w:rsid w:val="007E1F74"/>
    <w:rsid w:val="007E234F"/>
    <w:rsid w:val="007E26ED"/>
    <w:rsid w:val="007E38D3"/>
    <w:rsid w:val="007E4081"/>
    <w:rsid w:val="007E54D9"/>
    <w:rsid w:val="007E5807"/>
    <w:rsid w:val="007E5A32"/>
    <w:rsid w:val="007E605B"/>
    <w:rsid w:val="007E68EA"/>
    <w:rsid w:val="007E79BA"/>
    <w:rsid w:val="007E7C07"/>
    <w:rsid w:val="007F1B16"/>
    <w:rsid w:val="007F27F1"/>
    <w:rsid w:val="007F2966"/>
    <w:rsid w:val="007F3765"/>
    <w:rsid w:val="007F3EBC"/>
    <w:rsid w:val="007F4989"/>
    <w:rsid w:val="007F519E"/>
    <w:rsid w:val="007F57B7"/>
    <w:rsid w:val="007F61B3"/>
    <w:rsid w:val="007F653C"/>
    <w:rsid w:val="007F6564"/>
    <w:rsid w:val="00800F79"/>
    <w:rsid w:val="00801122"/>
    <w:rsid w:val="00802119"/>
    <w:rsid w:val="008025AE"/>
    <w:rsid w:val="00806B90"/>
    <w:rsid w:val="00806DCE"/>
    <w:rsid w:val="00807819"/>
    <w:rsid w:val="0081453A"/>
    <w:rsid w:val="008152E0"/>
    <w:rsid w:val="00815575"/>
    <w:rsid w:val="00820767"/>
    <w:rsid w:val="00822E80"/>
    <w:rsid w:val="00823339"/>
    <w:rsid w:val="0082427E"/>
    <w:rsid w:val="008244F5"/>
    <w:rsid w:val="00824C0D"/>
    <w:rsid w:val="008251ED"/>
    <w:rsid w:val="00825E5A"/>
    <w:rsid w:val="0083022B"/>
    <w:rsid w:val="0083031E"/>
    <w:rsid w:val="00830FEC"/>
    <w:rsid w:val="00833330"/>
    <w:rsid w:val="00835813"/>
    <w:rsid w:val="008366E7"/>
    <w:rsid w:val="0083740C"/>
    <w:rsid w:val="00840CD5"/>
    <w:rsid w:val="00841CA4"/>
    <w:rsid w:val="00842091"/>
    <w:rsid w:val="00842224"/>
    <w:rsid w:val="00845515"/>
    <w:rsid w:val="00846958"/>
    <w:rsid w:val="00846CE9"/>
    <w:rsid w:val="00851EBC"/>
    <w:rsid w:val="0085203A"/>
    <w:rsid w:val="00852AE5"/>
    <w:rsid w:val="00853E05"/>
    <w:rsid w:val="00854DB8"/>
    <w:rsid w:val="0085529C"/>
    <w:rsid w:val="00856552"/>
    <w:rsid w:val="00856FEE"/>
    <w:rsid w:val="00857F6D"/>
    <w:rsid w:val="00860410"/>
    <w:rsid w:val="0086063F"/>
    <w:rsid w:val="008609E6"/>
    <w:rsid w:val="00863B78"/>
    <w:rsid w:val="00865081"/>
    <w:rsid w:val="00865990"/>
    <w:rsid w:val="00865C80"/>
    <w:rsid w:val="00865FDB"/>
    <w:rsid w:val="00867CAC"/>
    <w:rsid w:val="00870045"/>
    <w:rsid w:val="00872055"/>
    <w:rsid w:val="00874F4F"/>
    <w:rsid w:val="00875F21"/>
    <w:rsid w:val="00880B2F"/>
    <w:rsid w:val="008812DA"/>
    <w:rsid w:val="00881642"/>
    <w:rsid w:val="00881BE0"/>
    <w:rsid w:val="00882B91"/>
    <w:rsid w:val="00883364"/>
    <w:rsid w:val="0088384B"/>
    <w:rsid w:val="00885FB0"/>
    <w:rsid w:val="00887A1A"/>
    <w:rsid w:val="00891158"/>
    <w:rsid w:val="00891814"/>
    <w:rsid w:val="0089469C"/>
    <w:rsid w:val="008954C1"/>
    <w:rsid w:val="00896D4D"/>
    <w:rsid w:val="008A1FAA"/>
    <w:rsid w:val="008A26FC"/>
    <w:rsid w:val="008A302C"/>
    <w:rsid w:val="008A38D8"/>
    <w:rsid w:val="008A4F12"/>
    <w:rsid w:val="008A6CB5"/>
    <w:rsid w:val="008A6F6E"/>
    <w:rsid w:val="008A7397"/>
    <w:rsid w:val="008B017A"/>
    <w:rsid w:val="008B04FC"/>
    <w:rsid w:val="008B192F"/>
    <w:rsid w:val="008B1BC5"/>
    <w:rsid w:val="008B206C"/>
    <w:rsid w:val="008B6089"/>
    <w:rsid w:val="008B64EF"/>
    <w:rsid w:val="008C05DC"/>
    <w:rsid w:val="008C074D"/>
    <w:rsid w:val="008C32E7"/>
    <w:rsid w:val="008C4585"/>
    <w:rsid w:val="008C5298"/>
    <w:rsid w:val="008C5E93"/>
    <w:rsid w:val="008C70ED"/>
    <w:rsid w:val="008C7A02"/>
    <w:rsid w:val="008D1B99"/>
    <w:rsid w:val="008D203E"/>
    <w:rsid w:val="008D3049"/>
    <w:rsid w:val="008D4CF4"/>
    <w:rsid w:val="008D4F73"/>
    <w:rsid w:val="008D6B28"/>
    <w:rsid w:val="008D6C48"/>
    <w:rsid w:val="008E4D3C"/>
    <w:rsid w:val="008E5476"/>
    <w:rsid w:val="008E5DE3"/>
    <w:rsid w:val="008E5F70"/>
    <w:rsid w:val="008E631D"/>
    <w:rsid w:val="008E70B3"/>
    <w:rsid w:val="008E72F2"/>
    <w:rsid w:val="008E747D"/>
    <w:rsid w:val="008F00F3"/>
    <w:rsid w:val="008F028E"/>
    <w:rsid w:val="008F0316"/>
    <w:rsid w:val="008F185C"/>
    <w:rsid w:val="008F18CB"/>
    <w:rsid w:val="008F238A"/>
    <w:rsid w:val="008F30E9"/>
    <w:rsid w:val="008F3B62"/>
    <w:rsid w:val="008F3C23"/>
    <w:rsid w:val="008F4A0E"/>
    <w:rsid w:val="008F575E"/>
    <w:rsid w:val="008F5781"/>
    <w:rsid w:val="008F6A42"/>
    <w:rsid w:val="008F7B8F"/>
    <w:rsid w:val="0090275E"/>
    <w:rsid w:val="009028F7"/>
    <w:rsid w:val="00902EE1"/>
    <w:rsid w:val="00904552"/>
    <w:rsid w:val="00905B99"/>
    <w:rsid w:val="00905DBF"/>
    <w:rsid w:val="00906653"/>
    <w:rsid w:val="009066ED"/>
    <w:rsid w:val="00906EE3"/>
    <w:rsid w:val="00907C2E"/>
    <w:rsid w:val="009117D4"/>
    <w:rsid w:val="00911D91"/>
    <w:rsid w:val="00913446"/>
    <w:rsid w:val="00913600"/>
    <w:rsid w:val="009137B2"/>
    <w:rsid w:val="00913DFB"/>
    <w:rsid w:val="00913F4D"/>
    <w:rsid w:val="0091430E"/>
    <w:rsid w:val="00920406"/>
    <w:rsid w:val="00921302"/>
    <w:rsid w:val="00921AD2"/>
    <w:rsid w:val="0092300C"/>
    <w:rsid w:val="00924067"/>
    <w:rsid w:val="0092453D"/>
    <w:rsid w:val="009254C2"/>
    <w:rsid w:val="0092715D"/>
    <w:rsid w:val="00927B35"/>
    <w:rsid w:val="009307C5"/>
    <w:rsid w:val="00930F33"/>
    <w:rsid w:val="00931AE2"/>
    <w:rsid w:val="00932C02"/>
    <w:rsid w:val="009335AF"/>
    <w:rsid w:val="00934890"/>
    <w:rsid w:val="00934E3A"/>
    <w:rsid w:val="009369B6"/>
    <w:rsid w:val="0093705E"/>
    <w:rsid w:val="00937A7C"/>
    <w:rsid w:val="009404CD"/>
    <w:rsid w:val="009406EB"/>
    <w:rsid w:val="00941F32"/>
    <w:rsid w:val="00941F43"/>
    <w:rsid w:val="0094597B"/>
    <w:rsid w:val="00945DAB"/>
    <w:rsid w:val="009532E7"/>
    <w:rsid w:val="00953A78"/>
    <w:rsid w:val="00953AE9"/>
    <w:rsid w:val="00953EE8"/>
    <w:rsid w:val="00960A9B"/>
    <w:rsid w:val="00960E70"/>
    <w:rsid w:val="009610CC"/>
    <w:rsid w:val="00964668"/>
    <w:rsid w:val="00964AE8"/>
    <w:rsid w:val="00966245"/>
    <w:rsid w:val="009662A1"/>
    <w:rsid w:val="009662CB"/>
    <w:rsid w:val="00967106"/>
    <w:rsid w:val="00967325"/>
    <w:rsid w:val="00967FE7"/>
    <w:rsid w:val="00971000"/>
    <w:rsid w:val="00972437"/>
    <w:rsid w:val="00972AF7"/>
    <w:rsid w:val="00976527"/>
    <w:rsid w:val="00976BE8"/>
    <w:rsid w:val="00977DDD"/>
    <w:rsid w:val="00980D56"/>
    <w:rsid w:val="00980FF6"/>
    <w:rsid w:val="0098194D"/>
    <w:rsid w:val="009845F9"/>
    <w:rsid w:val="0098491E"/>
    <w:rsid w:val="009877F4"/>
    <w:rsid w:val="00987F54"/>
    <w:rsid w:val="0099050B"/>
    <w:rsid w:val="00991C75"/>
    <w:rsid w:val="00992546"/>
    <w:rsid w:val="00992638"/>
    <w:rsid w:val="0099278E"/>
    <w:rsid w:val="0099309A"/>
    <w:rsid w:val="00994525"/>
    <w:rsid w:val="00995A31"/>
    <w:rsid w:val="009A0116"/>
    <w:rsid w:val="009A03AE"/>
    <w:rsid w:val="009A2362"/>
    <w:rsid w:val="009A2405"/>
    <w:rsid w:val="009A4BD1"/>
    <w:rsid w:val="009A5C7C"/>
    <w:rsid w:val="009A751C"/>
    <w:rsid w:val="009B0D3E"/>
    <w:rsid w:val="009B262B"/>
    <w:rsid w:val="009B30CE"/>
    <w:rsid w:val="009B3AF1"/>
    <w:rsid w:val="009B4DB0"/>
    <w:rsid w:val="009B639E"/>
    <w:rsid w:val="009B7E0E"/>
    <w:rsid w:val="009C0693"/>
    <w:rsid w:val="009C0792"/>
    <w:rsid w:val="009C0F48"/>
    <w:rsid w:val="009C22B6"/>
    <w:rsid w:val="009C4446"/>
    <w:rsid w:val="009C460C"/>
    <w:rsid w:val="009C472B"/>
    <w:rsid w:val="009C4D37"/>
    <w:rsid w:val="009C7825"/>
    <w:rsid w:val="009D0B45"/>
    <w:rsid w:val="009D276E"/>
    <w:rsid w:val="009D46F6"/>
    <w:rsid w:val="009D4E15"/>
    <w:rsid w:val="009D70C0"/>
    <w:rsid w:val="009E10CE"/>
    <w:rsid w:val="009E27CB"/>
    <w:rsid w:val="009E2846"/>
    <w:rsid w:val="009E54E8"/>
    <w:rsid w:val="009E5C9F"/>
    <w:rsid w:val="009E61CA"/>
    <w:rsid w:val="009F2A8B"/>
    <w:rsid w:val="009F2DF3"/>
    <w:rsid w:val="009F3D12"/>
    <w:rsid w:val="009F4C1B"/>
    <w:rsid w:val="009F56DE"/>
    <w:rsid w:val="009F681B"/>
    <w:rsid w:val="009F6D2E"/>
    <w:rsid w:val="009F7D4C"/>
    <w:rsid w:val="009F7E9D"/>
    <w:rsid w:val="00A00652"/>
    <w:rsid w:val="00A00F40"/>
    <w:rsid w:val="00A0666D"/>
    <w:rsid w:val="00A104E3"/>
    <w:rsid w:val="00A12358"/>
    <w:rsid w:val="00A1302B"/>
    <w:rsid w:val="00A14249"/>
    <w:rsid w:val="00A14558"/>
    <w:rsid w:val="00A14703"/>
    <w:rsid w:val="00A15323"/>
    <w:rsid w:val="00A15D30"/>
    <w:rsid w:val="00A15F07"/>
    <w:rsid w:val="00A176F9"/>
    <w:rsid w:val="00A178CE"/>
    <w:rsid w:val="00A2006A"/>
    <w:rsid w:val="00A20C1E"/>
    <w:rsid w:val="00A20CA8"/>
    <w:rsid w:val="00A21B77"/>
    <w:rsid w:val="00A2280F"/>
    <w:rsid w:val="00A25227"/>
    <w:rsid w:val="00A254BD"/>
    <w:rsid w:val="00A257B8"/>
    <w:rsid w:val="00A268B9"/>
    <w:rsid w:val="00A31CF4"/>
    <w:rsid w:val="00A31DD0"/>
    <w:rsid w:val="00A32585"/>
    <w:rsid w:val="00A32F59"/>
    <w:rsid w:val="00A3579F"/>
    <w:rsid w:val="00A35925"/>
    <w:rsid w:val="00A377CD"/>
    <w:rsid w:val="00A378B1"/>
    <w:rsid w:val="00A37D4C"/>
    <w:rsid w:val="00A41050"/>
    <w:rsid w:val="00A41A87"/>
    <w:rsid w:val="00A41B43"/>
    <w:rsid w:val="00A457EF"/>
    <w:rsid w:val="00A463F6"/>
    <w:rsid w:val="00A473FD"/>
    <w:rsid w:val="00A50243"/>
    <w:rsid w:val="00A528A0"/>
    <w:rsid w:val="00A545E0"/>
    <w:rsid w:val="00A56B36"/>
    <w:rsid w:val="00A56D91"/>
    <w:rsid w:val="00A576AD"/>
    <w:rsid w:val="00A60658"/>
    <w:rsid w:val="00A6224C"/>
    <w:rsid w:val="00A640F0"/>
    <w:rsid w:val="00A66C49"/>
    <w:rsid w:val="00A71AAF"/>
    <w:rsid w:val="00A72207"/>
    <w:rsid w:val="00A72871"/>
    <w:rsid w:val="00A74750"/>
    <w:rsid w:val="00A75196"/>
    <w:rsid w:val="00A755ED"/>
    <w:rsid w:val="00A766C5"/>
    <w:rsid w:val="00A83326"/>
    <w:rsid w:val="00A834BA"/>
    <w:rsid w:val="00A852BE"/>
    <w:rsid w:val="00A858D2"/>
    <w:rsid w:val="00A87027"/>
    <w:rsid w:val="00A903A2"/>
    <w:rsid w:val="00A90B90"/>
    <w:rsid w:val="00A9192E"/>
    <w:rsid w:val="00A93AEE"/>
    <w:rsid w:val="00A95B0E"/>
    <w:rsid w:val="00A978F1"/>
    <w:rsid w:val="00A97B87"/>
    <w:rsid w:val="00A97BCE"/>
    <w:rsid w:val="00AA1306"/>
    <w:rsid w:val="00AA4029"/>
    <w:rsid w:val="00AA5198"/>
    <w:rsid w:val="00AB1E5B"/>
    <w:rsid w:val="00AB2F69"/>
    <w:rsid w:val="00AB5FB8"/>
    <w:rsid w:val="00AB725D"/>
    <w:rsid w:val="00AC20FE"/>
    <w:rsid w:val="00AC22B9"/>
    <w:rsid w:val="00AC248D"/>
    <w:rsid w:val="00AC2C4F"/>
    <w:rsid w:val="00AC3D4F"/>
    <w:rsid w:val="00AC6786"/>
    <w:rsid w:val="00AC6791"/>
    <w:rsid w:val="00AD05B8"/>
    <w:rsid w:val="00AD11EF"/>
    <w:rsid w:val="00AD13B0"/>
    <w:rsid w:val="00AD1EEC"/>
    <w:rsid w:val="00AD2E88"/>
    <w:rsid w:val="00AD3957"/>
    <w:rsid w:val="00AD743A"/>
    <w:rsid w:val="00AE11C3"/>
    <w:rsid w:val="00AE247C"/>
    <w:rsid w:val="00AE295F"/>
    <w:rsid w:val="00AE3503"/>
    <w:rsid w:val="00AE370E"/>
    <w:rsid w:val="00AE4BE5"/>
    <w:rsid w:val="00AE6511"/>
    <w:rsid w:val="00AE758F"/>
    <w:rsid w:val="00AE7623"/>
    <w:rsid w:val="00AE76DF"/>
    <w:rsid w:val="00AF05A6"/>
    <w:rsid w:val="00AF078B"/>
    <w:rsid w:val="00AF0E75"/>
    <w:rsid w:val="00AF14FD"/>
    <w:rsid w:val="00AF461B"/>
    <w:rsid w:val="00AF568D"/>
    <w:rsid w:val="00AF659B"/>
    <w:rsid w:val="00AF6D2D"/>
    <w:rsid w:val="00B010E3"/>
    <w:rsid w:val="00B0129B"/>
    <w:rsid w:val="00B03737"/>
    <w:rsid w:val="00B0683E"/>
    <w:rsid w:val="00B10529"/>
    <w:rsid w:val="00B116CC"/>
    <w:rsid w:val="00B1361F"/>
    <w:rsid w:val="00B15709"/>
    <w:rsid w:val="00B16F50"/>
    <w:rsid w:val="00B22B8C"/>
    <w:rsid w:val="00B22EBB"/>
    <w:rsid w:val="00B277B4"/>
    <w:rsid w:val="00B30625"/>
    <w:rsid w:val="00B3236A"/>
    <w:rsid w:val="00B35565"/>
    <w:rsid w:val="00B3642B"/>
    <w:rsid w:val="00B37A08"/>
    <w:rsid w:val="00B404F9"/>
    <w:rsid w:val="00B405C0"/>
    <w:rsid w:val="00B4462A"/>
    <w:rsid w:val="00B45371"/>
    <w:rsid w:val="00B45AD6"/>
    <w:rsid w:val="00B50FE4"/>
    <w:rsid w:val="00B52F70"/>
    <w:rsid w:val="00B54B48"/>
    <w:rsid w:val="00B54D5A"/>
    <w:rsid w:val="00B55ACD"/>
    <w:rsid w:val="00B57E6D"/>
    <w:rsid w:val="00B61172"/>
    <w:rsid w:val="00B62A6F"/>
    <w:rsid w:val="00B62F8C"/>
    <w:rsid w:val="00B6403E"/>
    <w:rsid w:val="00B6494F"/>
    <w:rsid w:val="00B64A95"/>
    <w:rsid w:val="00B66452"/>
    <w:rsid w:val="00B677AD"/>
    <w:rsid w:val="00B71207"/>
    <w:rsid w:val="00B718A8"/>
    <w:rsid w:val="00B71959"/>
    <w:rsid w:val="00B727EC"/>
    <w:rsid w:val="00B73170"/>
    <w:rsid w:val="00B7463F"/>
    <w:rsid w:val="00B74D53"/>
    <w:rsid w:val="00B7570B"/>
    <w:rsid w:val="00B76A68"/>
    <w:rsid w:val="00B76E58"/>
    <w:rsid w:val="00B77CC2"/>
    <w:rsid w:val="00B80D8C"/>
    <w:rsid w:val="00B83EF9"/>
    <w:rsid w:val="00B840CE"/>
    <w:rsid w:val="00B846B4"/>
    <w:rsid w:val="00B86618"/>
    <w:rsid w:val="00B90893"/>
    <w:rsid w:val="00B90A50"/>
    <w:rsid w:val="00B918FB"/>
    <w:rsid w:val="00B92B49"/>
    <w:rsid w:val="00B9316D"/>
    <w:rsid w:val="00B9447E"/>
    <w:rsid w:val="00B947D7"/>
    <w:rsid w:val="00B95876"/>
    <w:rsid w:val="00BA11CC"/>
    <w:rsid w:val="00BA2C40"/>
    <w:rsid w:val="00BA3AB0"/>
    <w:rsid w:val="00BA6548"/>
    <w:rsid w:val="00BA7297"/>
    <w:rsid w:val="00BB0EF0"/>
    <w:rsid w:val="00BB3E22"/>
    <w:rsid w:val="00BB4DFC"/>
    <w:rsid w:val="00BC02F2"/>
    <w:rsid w:val="00BC0458"/>
    <w:rsid w:val="00BC058F"/>
    <w:rsid w:val="00BC1146"/>
    <w:rsid w:val="00BC1893"/>
    <w:rsid w:val="00BC235F"/>
    <w:rsid w:val="00BC4ADB"/>
    <w:rsid w:val="00BC6DBC"/>
    <w:rsid w:val="00BC72C5"/>
    <w:rsid w:val="00BD04A3"/>
    <w:rsid w:val="00BD0A9C"/>
    <w:rsid w:val="00BD173A"/>
    <w:rsid w:val="00BD30FF"/>
    <w:rsid w:val="00BD325E"/>
    <w:rsid w:val="00BD44C9"/>
    <w:rsid w:val="00BD45E9"/>
    <w:rsid w:val="00BD6B0B"/>
    <w:rsid w:val="00BD7113"/>
    <w:rsid w:val="00BD7C00"/>
    <w:rsid w:val="00BD7C21"/>
    <w:rsid w:val="00BE03E6"/>
    <w:rsid w:val="00BE20DC"/>
    <w:rsid w:val="00BE2369"/>
    <w:rsid w:val="00BE3499"/>
    <w:rsid w:val="00BE420F"/>
    <w:rsid w:val="00BE4E37"/>
    <w:rsid w:val="00BE5EFD"/>
    <w:rsid w:val="00BE5F5F"/>
    <w:rsid w:val="00BE738C"/>
    <w:rsid w:val="00BF1981"/>
    <w:rsid w:val="00BF1F51"/>
    <w:rsid w:val="00BF2501"/>
    <w:rsid w:val="00BF3BE7"/>
    <w:rsid w:val="00BF694B"/>
    <w:rsid w:val="00BF723F"/>
    <w:rsid w:val="00BF7E1D"/>
    <w:rsid w:val="00C003E4"/>
    <w:rsid w:val="00C00E3D"/>
    <w:rsid w:val="00C00FEA"/>
    <w:rsid w:val="00C02A7F"/>
    <w:rsid w:val="00C02EE5"/>
    <w:rsid w:val="00C03511"/>
    <w:rsid w:val="00C054B2"/>
    <w:rsid w:val="00C057DD"/>
    <w:rsid w:val="00C059DF"/>
    <w:rsid w:val="00C06237"/>
    <w:rsid w:val="00C06B6F"/>
    <w:rsid w:val="00C06CBA"/>
    <w:rsid w:val="00C07158"/>
    <w:rsid w:val="00C11C3C"/>
    <w:rsid w:val="00C121C5"/>
    <w:rsid w:val="00C13841"/>
    <w:rsid w:val="00C14B5D"/>
    <w:rsid w:val="00C15093"/>
    <w:rsid w:val="00C16EB6"/>
    <w:rsid w:val="00C17BF5"/>
    <w:rsid w:val="00C201B2"/>
    <w:rsid w:val="00C203B9"/>
    <w:rsid w:val="00C230F5"/>
    <w:rsid w:val="00C23DE2"/>
    <w:rsid w:val="00C24B04"/>
    <w:rsid w:val="00C2564F"/>
    <w:rsid w:val="00C26FFC"/>
    <w:rsid w:val="00C272A3"/>
    <w:rsid w:val="00C27517"/>
    <w:rsid w:val="00C27BA4"/>
    <w:rsid w:val="00C3015F"/>
    <w:rsid w:val="00C30C3C"/>
    <w:rsid w:val="00C30F1B"/>
    <w:rsid w:val="00C312A7"/>
    <w:rsid w:val="00C316CE"/>
    <w:rsid w:val="00C32305"/>
    <w:rsid w:val="00C34110"/>
    <w:rsid w:val="00C34A09"/>
    <w:rsid w:val="00C34F3B"/>
    <w:rsid w:val="00C35B8A"/>
    <w:rsid w:val="00C36619"/>
    <w:rsid w:val="00C37BD7"/>
    <w:rsid w:val="00C41233"/>
    <w:rsid w:val="00C412B4"/>
    <w:rsid w:val="00C42A73"/>
    <w:rsid w:val="00C42CA6"/>
    <w:rsid w:val="00C42CFE"/>
    <w:rsid w:val="00C43F9F"/>
    <w:rsid w:val="00C45FC7"/>
    <w:rsid w:val="00C4731B"/>
    <w:rsid w:val="00C502E0"/>
    <w:rsid w:val="00C50B24"/>
    <w:rsid w:val="00C51F62"/>
    <w:rsid w:val="00C5455B"/>
    <w:rsid w:val="00C54D94"/>
    <w:rsid w:val="00C55364"/>
    <w:rsid w:val="00C56D55"/>
    <w:rsid w:val="00C579DE"/>
    <w:rsid w:val="00C57CEE"/>
    <w:rsid w:val="00C60388"/>
    <w:rsid w:val="00C60940"/>
    <w:rsid w:val="00C61668"/>
    <w:rsid w:val="00C61889"/>
    <w:rsid w:val="00C6372A"/>
    <w:rsid w:val="00C662B7"/>
    <w:rsid w:val="00C66B04"/>
    <w:rsid w:val="00C714F7"/>
    <w:rsid w:val="00C744FF"/>
    <w:rsid w:val="00C805AB"/>
    <w:rsid w:val="00C817B8"/>
    <w:rsid w:val="00C823E6"/>
    <w:rsid w:val="00C825DA"/>
    <w:rsid w:val="00C83102"/>
    <w:rsid w:val="00C84C61"/>
    <w:rsid w:val="00C86CD1"/>
    <w:rsid w:val="00C87594"/>
    <w:rsid w:val="00C9097A"/>
    <w:rsid w:val="00C94853"/>
    <w:rsid w:val="00C95FE7"/>
    <w:rsid w:val="00CA02BC"/>
    <w:rsid w:val="00CA0859"/>
    <w:rsid w:val="00CA0B4B"/>
    <w:rsid w:val="00CA0C93"/>
    <w:rsid w:val="00CA18FF"/>
    <w:rsid w:val="00CA198A"/>
    <w:rsid w:val="00CA252B"/>
    <w:rsid w:val="00CB1585"/>
    <w:rsid w:val="00CB3194"/>
    <w:rsid w:val="00CB4416"/>
    <w:rsid w:val="00CB44A3"/>
    <w:rsid w:val="00CB5A4E"/>
    <w:rsid w:val="00CB691E"/>
    <w:rsid w:val="00CB76A9"/>
    <w:rsid w:val="00CC135B"/>
    <w:rsid w:val="00CC145B"/>
    <w:rsid w:val="00CC17A8"/>
    <w:rsid w:val="00CC2AB4"/>
    <w:rsid w:val="00CC32C9"/>
    <w:rsid w:val="00CC50F3"/>
    <w:rsid w:val="00CC7589"/>
    <w:rsid w:val="00CD06DA"/>
    <w:rsid w:val="00CD2712"/>
    <w:rsid w:val="00CD66A7"/>
    <w:rsid w:val="00CE0600"/>
    <w:rsid w:val="00CE09A0"/>
    <w:rsid w:val="00CE15FA"/>
    <w:rsid w:val="00CE3B07"/>
    <w:rsid w:val="00CF1406"/>
    <w:rsid w:val="00CF199B"/>
    <w:rsid w:val="00CF2063"/>
    <w:rsid w:val="00CF2794"/>
    <w:rsid w:val="00CF2F70"/>
    <w:rsid w:val="00CF534C"/>
    <w:rsid w:val="00CF5EEA"/>
    <w:rsid w:val="00CF7553"/>
    <w:rsid w:val="00D0180C"/>
    <w:rsid w:val="00D02C17"/>
    <w:rsid w:val="00D0472A"/>
    <w:rsid w:val="00D04F6D"/>
    <w:rsid w:val="00D05CFE"/>
    <w:rsid w:val="00D05EE4"/>
    <w:rsid w:val="00D05F8B"/>
    <w:rsid w:val="00D068A0"/>
    <w:rsid w:val="00D06A53"/>
    <w:rsid w:val="00D07290"/>
    <w:rsid w:val="00D075BE"/>
    <w:rsid w:val="00D07DA2"/>
    <w:rsid w:val="00D07F08"/>
    <w:rsid w:val="00D11031"/>
    <w:rsid w:val="00D126A1"/>
    <w:rsid w:val="00D12EE2"/>
    <w:rsid w:val="00D1306C"/>
    <w:rsid w:val="00D13DF0"/>
    <w:rsid w:val="00D161B7"/>
    <w:rsid w:val="00D201A9"/>
    <w:rsid w:val="00D20B84"/>
    <w:rsid w:val="00D20DDA"/>
    <w:rsid w:val="00D220C1"/>
    <w:rsid w:val="00D2283B"/>
    <w:rsid w:val="00D22ED4"/>
    <w:rsid w:val="00D233A7"/>
    <w:rsid w:val="00D25336"/>
    <w:rsid w:val="00D27FBA"/>
    <w:rsid w:val="00D30AAB"/>
    <w:rsid w:val="00D31947"/>
    <w:rsid w:val="00D31E5B"/>
    <w:rsid w:val="00D31F0F"/>
    <w:rsid w:val="00D32C32"/>
    <w:rsid w:val="00D34DA9"/>
    <w:rsid w:val="00D374AA"/>
    <w:rsid w:val="00D419D4"/>
    <w:rsid w:val="00D41AC6"/>
    <w:rsid w:val="00D41F70"/>
    <w:rsid w:val="00D43CF5"/>
    <w:rsid w:val="00D440D0"/>
    <w:rsid w:val="00D44C24"/>
    <w:rsid w:val="00D50274"/>
    <w:rsid w:val="00D5187F"/>
    <w:rsid w:val="00D51A5F"/>
    <w:rsid w:val="00D51E52"/>
    <w:rsid w:val="00D52D56"/>
    <w:rsid w:val="00D53721"/>
    <w:rsid w:val="00D558F5"/>
    <w:rsid w:val="00D567C6"/>
    <w:rsid w:val="00D5705B"/>
    <w:rsid w:val="00D61856"/>
    <w:rsid w:val="00D61DA7"/>
    <w:rsid w:val="00D65D20"/>
    <w:rsid w:val="00D65F03"/>
    <w:rsid w:val="00D7259B"/>
    <w:rsid w:val="00D76C8B"/>
    <w:rsid w:val="00D81141"/>
    <w:rsid w:val="00D82AD1"/>
    <w:rsid w:val="00D835C1"/>
    <w:rsid w:val="00D873F7"/>
    <w:rsid w:val="00D879D3"/>
    <w:rsid w:val="00D87E2B"/>
    <w:rsid w:val="00D90A35"/>
    <w:rsid w:val="00D932AD"/>
    <w:rsid w:val="00D93563"/>
    <w:rsid w:val="00D93699"/>
    <w:rsid w:val="00D9454D"/>
    <w:rsid w:val="00D94C50"/>
    <w:rsid w:val="00DA1AE6"/>
    <w:rsid w:val="00DA504A"/>
    <w:rsid w:val="00DA779B"/>
    <w:rsid w:val="00DB0EFA"/>
    <w:rsid w:val="00DB2528"/>
    <w:rsid w:val="00DB2842"/>
    <w:rsid w:val="00DB40E6"/>
    <w:rsid w:val="00DB6E70"/>
    <w:rsid w:val="00DB7635"/>
    <w:rsid w:val="00DB77E1"/>
    <w:rsid w:val="00DC15DF"/>
    <w:rsid w:val="00DC20E3"/>
    <w:rsid w:val="00DC308B"/>
    <w:rsid w:val="00DC464D"/>
    <w:rsid w:val="00DC6BAB"/>
    <w:rsid w:val="00DD03AA"/>
    <w:rsid w:val="00DD1B00"/>
    <w:rsid w:val="00DD1E14"/>
    <w:rsid w:val="00DD5D2B"/>
    <w:rsid w:val="00DD69B3"/>
    <w:rsid w:val="00DD6B4B"/>
    <w:rsid w:val="00DE0950"/>
    <w:rsid w:val="00DE14A5"/>
    <w:rsid w:val="00DE164B"/>
    <w:rsid w:val="00DE2ADA"/>
    <w:rsid w:val="00DE2E90"/>
    <w:rsid w:val="00DE3768"/>
    <w:rsid w:val="00DE52C9"/>
    <w:rsid w:val="00DF1171"/>
    <w:rsid w:val="00DF1659"/>
    <w:rsid w:val="00DF1680"/>
    <w:rsid w:val="00DF271E"/>
    <w:rsid w:val="00DF3D98"/>
    <w:rsid w:val="00DF4FBE"/>
    <w:rsid w:val="00DF7563"/>
    <w:rsid w:val="00E05D50"/>
    <w:rsid w:val="00E065D7"/>
    <w:rsid w:val="00E06D7C"/>
    <w:rsid w:val="00E06DDF"/>
    <w:rsid w:val="00E11489"/>
    <w:rsid w:val="00E12FBD"/>
    <w:rsid w:val="00E14B15"/>
    <w:rsid w:val="00E14E7A"/>
    <w:rsid w:val="00E20DBA"/>
    <w:rsid w:val="00E21BB9"/>
    <w:rsid w:val="00E23A62"/>
    <w:rsid w:val="00E2578D"/>
    <w:rsid w:val="00E27FB0"/>
    <w:rsid w:val="00E304E7"/>
    <w:rsid w:val="00E30989"/>
    <w:rsid w:val="00E326A9"/>
    <w:rsid w:val="00E328DD"/>
    <w:rsid w:val="00E32AE7"/>
    <w:rsid w:val="00E337DD"/>
    <w:rsid w:val="00E338A4"/>
    <w:rsid w:val="00E43461"/>
    <w:rsid w:val="00E44E12"/>
    <w:rsid w:val="00E4573F"/>
    <w:rsid w:val="00E4721E"/>
    <w:rsid w:val="00E47ACF"/>
    <w:rsid w:val="00E5134A"/>
    <w:rsid w:val="00E51E46"/>
    <w:rsid w:val="00E52EDC"/>
    <w:rsid w:val="00E553FB"/>
    <w:rsid w:val="00E5559A"/>
    <w:rsid w:val="00E6024F"/>
    <w:rsid w:val="00E60C5A"/>
    <w:rsid w:val="00E62E4F"/>
    <w:rsid w:val="00E6314A"/>
    <w:rsid w:val="00E63897"/>
    <w:rsid w:val="00E64491"/>
    <w:rsid w:val="00E645DE"/>
    <w:rsid w:val="00E67718"/>
    <w:rsid w:val="00E67FC4"/>
    <w:rsid w:val="00E7158C"/>
    <w:rsid w:val="00E71D89"/>
    <w:rsid w:val="00E72A6D"/>
    <w:rsid w:val="00E76793"/>
    <w:rsid w:val="00E77164"/>
    <w:rsid w:val="00E77C77"/>
    <w:rsid w:val="00E8130A"/>
    <w:rsid w:val="00E8198C"/>
    <w:rsid w:val="00E82224"/>
    <w:rsid w:val="00E83F4E"/>
    <w:rsid w:val="00E85F4E"/>
    <w:rsid w:val="00E86DA4"/>
    <w:rsid w:val="00E87015"/>
    <w:rsid w:val="00E8701B"/>
    <w:rsid w:val="00E904A2"/>
    <w:rsid w:val="00E91455"/>
    <w:rsid w:val="00E9195A"/>
    <w:rsid w:val="00E926AE"/>
    <w:rsid w:val="00E96860"/>
    <w:rsid w:val="00E97234"/>
    <w:rsid w:val="00EA0A25"/>
    <w:rsid w:val="00EA1439"/>
    <w:rsid w:val="00EA1F93"/>
    <w:rsid w:val="00EA4327"/>
    <w:rsid w:val="00EA4C1C"/>
    <w:rsid w:val="00EA51EE"/>
    <w:rsid w:val="00EA7541"/>
    <w:rsid w:val="00EB45D3"/>
    <w:rsid w:val="00EB5755"/>
    <w:rsid w:val="00EB6068"/>
    <w:rsid w:val="00EB783D"/>
    <w:rsid w:val="00EC33F2"/>
    <w:rsid w:val="00EC48B0"/>
    <w:rsid w:val="00EC4C66"/>
    <w:rsid w:val="00EC4D5D"/>
    <w:rsid w:val="00EC4E3D"/>
    <w:rsid w:val="00EC6F4C"/>
    <w:rsid w:val="00ED1C91"/>
    <w:rsid w:val="00ED241A"/>
    <w:rsid w:val="00ED2601"/>
    <w:rsid w:val="00ED3056"/>
    <w:rsid w:val="00ED3185"/>
    <w:rsid w:val="00ED3240"/>
    <w:rsid w:val="00ED49B2"/>
    <w:rsid w:val="00ED65DE"/>
    <w:rsid w:val="00ED71AA"/>
    <w:rsid w:val="00EE134F"/>
    <w:rsid w:val="00EE1677"/>
    <w:rsid w:val="00EE368A"/>
    <w:rsid w:val="00EE3A6E"/>
    <w:rsid w:val="00EE3E8A"/>
    <w:rsid w:val="00EE66BF"/>
    <w:rsid w:val="00EE71E9"/>
    <w:rsid w:val="00EF1059"/>
    <w:rsid w:val="00EF1B92"/>
    <w:rsid w:val="00EF2A01"/>
    <w:rsid w:val="00EF3C6A"/>
    <w:rsid w:val="00EF404B"/>
    <w:rsid w:val="00EF5215"/>
    <w:rsid w:val="00EF6093"/>
    <w:rsid w:val="00F00ABB"/>
    <w:rsid w:val="00F02DA8"/>
    <w:rsid w:val="00F03486"/>
    <w:rsid w:val="00F03FE4"/>
    <w:rsid w:val="00F06613"/>
    <w:rsid w:val="00F07E4B"/>
    <w:rsid w:val="00F10214"/>
    <w:rsid w:val="00F1134D"/>
    <w:rsid w:val="00F12713"/>
    <w:rsid w:val="00F12E57"/>
    <w:rsid w:val="00F13DE2"/>
    <w:rsid w:val="00F16973"/>
    <w:rsid w:val="00F201A3"/>
    <w:rsid w:val="00F20887"/>
    <w:rsid w:val="00F228C5"/>
    <w:rsid w:val="00F24CFD"/>
    <w:rsid w:val="00F318C8"/>
    <w:rsid w:val="00F32221"/>
    <w:rsid w:val="00F32A88"/>
    <w:rsid w:val="00F336FF"/>
    <w:rsid w:val="00F33AFE"/>
    <w:rsid w:val="00F347A2"/>
    <w:rsid w:val="00F37221"/>
    <w:rsid w:val="00F4002D"/>
    <w:rsid w:val="00F40AB4"/>
    <w:rsid w:val="00F41CF5"/>
    <w:rsid w:val="00F44F9F"/>
    <w:rsid w:val="00F478FB"/>
    <w:rsid w:val="00F53BB9"/>
    <w:rsid w:val="00F54284"/>
    <w:rsid w:val="00F54DDC"/>
    <w:rsid w:val="00F555AE"/>
    <w:rsid w:val="00F613E4"/>
    <w:rsid w:val="00F61C25"/>
    <w:rsid w:val="00F6224D"/>
    <w:rsid w:val="00F6259D"/>
    <w:rsid w:val="00F627CB"/>
    <w:rsid w:val="00F6511B"/>
    <w:rsid w:val="00F65D6F"/>
    <w:rsid w:val="00F662BA"/>
    <w:rsid w:val="00F66D60"/>
    <w:rsid w:val="00F67FA0"/>
    <w:rsid w:val="00F7457A"/>
    <w:rsid w:val="00F7469B"/>
    <w:rsid w:val="00F763C4"/>
    <w:rsid w:val="00F772B7"/>
    <w:rsid w:val="00F775CF"/>
    <w:rsid w:val="00F827DC"/>
    <w:rsid w:val="00F85E99"/>
    <w:rsid w:val="00F86ED3"/>
    <w:rsid w:val="00F8750C"/>
    <w:rsid w:val="00F87D5C"/>
    <w:rsid w:val="00F917DD"/>
    <w:rsid w:val="00F91AF3"/>
    <w:rsid w:val="00F91E2A"/>
    <w:rsid w:val="00F929C3"/>
    <w:rsid w:val="00F93541"/>
    <w:rsid w:val="00F94D06"/>
    <w:rsid w:val="00F9591B"/>
    <w:rsid w:val="00F95F64"/>
    <w:rsid w:val="00F9628F"/>
    <w:rsid w:val="00F967D4"/>
    <w:rsid w:val="00F968A8"/>
    <w:rsid w:val="00F96E8C"/>
    <w:rsid w:val="00FA0C77"/>
    <w:rsid w:val="00FA1004"/>
    <w:rsid w:val="00FA1408"/>
    <w:rsid w:val="00FA2084"/>
    <w:rsid w:val="00FA33BA"/>
    <w:rsid w:val="00FA4E6C"/>
    <w:rsid w:val="00FA5A85"/>
    <w:rsid w:val="00FA676E"/>
    <w:rsid w:val="00FA6EC6"/>
    <w:rsid w:val="00FB0884"/>
    <w:rsid w:val="00FB0910"/>
    <w:rsid w:val="00FB2497"/>
    <w:rsid w:val="00FB2FED"/>
    <w:rsid w:val="00FB57B2"/>
    <w:rsid w:val="00FB57EC"/>
    <w:rsid w:val="00FB6F1A"/>
    <w:rsid w:val="00FC1369"/>
    <w:rsid w:val="00FC283D"/>
    <w:rsid w:val="00FC3006"/>
    <w:rsid w:val="00FC4D2E"/>
    <w:rsid w:val="00FC5ECF"/>
    <w:rsid w:val="00FC77E2"/>
    <w:rsid w:val="00FD0C3E"/>
    <w:rsid w:val="00FD32B1"/>
    <w:rsid w:val="00FD3D79"/>
    <w:rsid w:val="00FD73E6"/>
    <w:rsid w:val="00FE14BB"/>
    <w:rsid w:val="00FE25E4"/>
    <w:rsid w:val="00FE2F97"/>
    <w:rsid w:val="00FE48C5"/>
    <w:rsid w:val="00FE4CF5"/>
    <w:rsid w:val="00FE60F0"/>
    <w:rsid w:val="00FE6522"/>
    <w:rsid w:val="00FE733B"/>
    <w:rsid w:val="00FF01A0"/>
    <w:rsid w:val="00FF3745"/>
    <w:rsid w:val="00FF43D5"/>
    <w:rsid w:val="00FF4F5E"/>
    <w:rsid w:val="00FF5C4C"/>
    <w:rsid w:val="00FF6129"/>
    <w:rsid w:val="013B44FC"/>
    <w:rsid w:val="017733F8"/>
    <w:rsid w:val="01E3208B"/>
    <w:rsid w:val="03810547"/>
    <w:rsid w:val="03C50E3C"/>
    <w:rsid w:val="04831AA0"/>
    <w:rsid w:val="05285D1E"/>
    <w:rsid w:val="06205550"/>
    <w:rsid w:val="062D1E1E"/>
    <w:rsid w:val="065B2352"/>
    <w:rsid w:val="067725C5"/>
    <w:rsid w:val="07734782"/>
    <w:rsid w:val="086B2AB5"/>
    <w:rsid w:val="09760CC5"/>
    <w:rsid w:val="0A4A1533"/>
    <w:rsid w:val="0A541E83"/>
    <w:rsid w:val="0AF36743"/>
    <w:rsid w:val="0B4D638D"/>
    <w:rsid w:val="0D562B05"/>
    <w:rsid w:val="0EDB1514"/>
    <w:rsid w:val="0EE2238A"/>
    <w:rsid w:val="11AE4CBE"/>
    <w:rsid w:val="11C359C3"/>
    <w:rsid w:val="11CC049C"/>
    <w:rsid w:val="11D33806"/>
    <w:rsid w:val="121F6A27"/>
    <w:rsid w:val="12990E61"/>
    <w:rsid w:val="13B32FF0"/>
    <w:rsid w:val="13CA7517"/>
    <w:rsid w:val="14046E0A"/>
    <w:rsid w:val="148F4982"/>
    <w:rsid w:val="14E65973"/>
    <w:rsid w:val="15866CD3"/>
    <w:rsid w:val="15B15F94"/>
    <w:rsid w:val="178C2445"/>
    <w:rsid w:val="17FD33B6"/>
    <w:rsid w:val="185C3189"/>
    <w:rsid w:val="18A31950"/>
    <w:rsid w:val="193C5775"/>
    <w:rsid w:val="19F52275"/>
    <w:rsid w:val="1B9E6579"/>
    <w:rsid w:val="1BFB33CD"/>
    <w:rsid w:val="1C346708"/>
    <w:rsid w:val="1CEA7169"/>
    <w:rsid w:val="1E3D138F"/>
    <w:rsid w:val="204D4286"/>
    <w:rsid w:val="20747E2A"/>
    <w:rsid w:val="210B3DF8"/>
    <w:rsid w:val="214223C0"/>
    <w:rsid w:val="21583806"/>
    <w:rsid w:val="22A764DA"/>
    <w:rsid w:val="22EA7B20"/>
    <w:rsid w:val="23430CBD"/>
    <w:rsid w:val="257230AA"/>
    <w:rsid w:val="26AE4F48"/>
    <w:rsid w:val="29A40BAB"/>
    <w:rsid w:val="29BA649E"/>
    <w:rsid w:val="2A0E5818"/>
    <w:rsid w:val="2BE60738"/>
    <w:rsid w:val="2C521010"/>
    <w:rsid w:val="2D844739"/>
    <w:rsid w:val="2E766B49"/>
    <w:rsid w:val="2F9B3A99"/>
    <w:rsid w:val="2FB248CB"/>
    <w:rsid w:val="2FF80F5D"/>
    <w:rsid w:val="300761B5"/>
    <w:rsid w:val="309C75DC"/>
    <w:rsid w:val="310708DB"/>
    <w:rsid w:val="337B590A"/>
    <w:rsid w:val="33A8534F"/>
    <w:rsid w:val="34411327"/>
    <w:rsid w:val="357912ED"/>
    <w:rsid w:val="358A1232"/>
    <w:rsid w:val="35922379"/>
    <w:rsid w:val="35DD30D5"/>
    <w:rsid w:val="38567D60"/>
    <w:rsid w:val="390B1F61"/>
    <w:rsid w:val="3A4737F4"/>
    <w:rsid w:val="3B9C110D"/>
    <w:rsid w:val="3BB4018B"/>
    <w:rsid w:val="3C456224"/>
    <w:rsid w:val="3CAF3546"/>
    <w:rsid w:val="4098055F"/>
    <w:rsid w:val="411D00F5"/>
    <w:rsid w:val="432771A7"/>
    <w:rsid w:val="435C392C"/>
    <w:rsid w:val="436D7F04"/>
    <w:rsid w:val="440552BE"/>
    <w:rsid w:val="44507CD3"/>
    <w:rsid w:val="44734A5C"/>
    <w:rsid w:val="45C36C99"/>
    <w:rsid w:val="472356D7"/>
    <w:rsid w:val="47C94B4D"/>
    <w:rsid w:val="481123E4"/>
    <w:rsid w:val="48EB3A23"/>
    <w:rsid w:val="49057E75"/>
    <w:rsid w:val="490C4364"/>
    <w:rsid w:val="4AD46A8B"/>
    <w:rsid w:val="4B31481A"/>
    <w:rsid w:val="4B3F4AFD"/>
    <w:rsid w:val="4B4B2E89"/>
    <w:rsid w:val="4C776080"/>
    <w:rsid w:val="4E7E0478"/>
    <w:rsid w:val="4EA66DD5"/>
    <w:rsid w:val="503009B9"/>
    <w:rsid w:val="50811214"/>
    <w:rsid w:val="50ED0218"/>
    <w:rsid w:val="50EE6032"/>
    <w:rsid w:val="51D82F8D"/>
    <w:rsid w:val="53193986"/>
    <w:rsid w:val="53312E7F"/>
    <w:rsid w:val="53A219F9"/>
    <w:rsid w:val="543E339B"/>
    <w:rsid w:val="54C54621"/>
    <w:rsid w:val="55A17B6A"/>
    <w:rsid w:val="55AC1187"/>
    <w:rsid w:val="56697571"/>
    <w:rsid w:val="56A660AF"/>
    <w:rsid w:val="5705538D"/>
    <w:rsid w:val="58371C70"/>
    <w:rsid w:val="586D09FC"/>
    <w:rsid w:val="59541221"/>
    <w:rsid w:val="5B0E3490"/>
    <w:rsid w:val="5B5264E5"/>
    <w:rsid w:val="5B9A2F4F"/>
    <w:rsid w:val="5C480E38"/>
    <w:rsid w:val="5C632989"/>
    <w:rsid w:val="5C807D9F"/>
    <w:rsid w:val="5D42152E"/>
    <w:rsid w:val="5ED5717C"/>
    <w:rsid w:val="60D27688"/>
    <w:rsid w:val="6251072E"/>
    <w:rsid w:val="63213592"/>
    <w:rsid w:val="640B6444"/>
    <w:rsid w:val="64A3614B"/>
    <w:rsid w:val="654A5846"/>
    <w:rsid w:val="66145273"/>
    <w:rsid w:val="665B1204"/>
    <w:rsid w:val="66D865BD"/>
    <w:rsid w:val="67027880"/>
    <w:rsid w:val="672B5AE8"/>
    <w:rsid w:val="67AE06E9"/>
    <w:rsid w:val="67EB6494"/>
    <w:rsid w:val="6A274783"/>
    <w:rsid w:val="6B2F64A2"/>
    <w:rsid w:val="6B99345E"/>
    <w:rsid w:val="6BA37E39"/>
    <w:rsid w:val="6BB261E6"/>
    <w:rsid w:val="6CCD7699"/>
    <w:rsid w:val="6D8A0B50"/>
    <w:rsid w:val="70E91BE0"/>
    <w:rsid w:val="71CF7BDA"/>
    <w:rsid w:val="74395186"/>
    <w:rsid w:val="75944A32"/>
    <w:rsid w:val="79AF53B3"/>
    <w:rsid w:val="79D12015"/>
    <w:rsid w:val="7AC25AB6"/>
    <w:rsid w:val="7B210F70"/>
    <w:rsid w:val="7BBA146F"/>
    <w:rsid w:val="7CEB731B"/>
    <w:rsid w:val="7D210D0B"/>
    <w:rsid w:val="7E0F2A99"/>
    <w:rsid w:val="7FD6038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name="heading 3"/>
    <w:lsdException w:qFormat="1" w:uiPriority="9"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qFormat="1" w:uiPriority="0" w:semiHidden="0"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semiHidden="0"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qFormat="1" w:unhideWhenUsed="0" w:uiPriority="3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2"/>
      <w:lang w:val="en-US" w:eastAsia="zh-CN" w:bidi="ar-SA"/>
    </w:rPr>
  </w:style>
  <w:style w:type="paragraph" w:styleId="8">
    <w:name w:val="heading 1"/>
    <w:basedOn w:val="1"/>
    <w:next w:val="1"/>
    <w:link w:val="35"/>
    <w:autoRedefine/>
    <w:qFormat/>
    <w:uiPriority w:val="9"/>
    <w:pPr>
      <w:keepNext/>
      <w:keepLines/>
      <w:spacing w:before="340" w:after="330" w:line="578" w:lineRule="auto"/>
      <w:outlineLvl w:val="0"/>
    </w:pPr>
    <w:rPr>
      <w:b/>
      <w:bCs/>
      <w:kern w:val="44"/>
      <w:sz w:val="44"/>
      <w:szCs w:val="44"/>
    </w:rPr>
  </w:style>
  <w:style w:type="paragraph" w:styleId="9">
    <w:name w:val="heading 2"/>
    <w:basedOn w:val="1"/>
    <w:next w:val="1"/>
    <w:link w:val="36"/>
    <w:autoRedefine/>
    <w:unhideWhenUsed/>
    <w:qFormat/>
    <w:uiPriority w:val="0"/>
    <w:pPr>
      <w:keepNext/>
      <w:keepLines/>
      <w:spacing w:before="260" w:after="260" w:line="416" w:lineRule="auto"/>
      <w:outlineLvl w:val="1"/>
    </w:pPr>
    <w:rPr>
      <w:rFonts w:ascii="Calibri Light" w:hAnsi="Calibri Light" w:eastAsia="宋体" w:cs="Times New Roman"/>
      <w:b/>
      <w:bCs/>
      <w:sz w:val="32"/>
      <w:szCs w:val="32"/>
    </w:rPr>
  </w:style>
  <w:style w:type="paragraph" w:styleId="10">
    <w:name w:val="heading 5"/>
    <w:basedOn w:val="1"/>
    <w:next w:val="1"/>
    <w:autoRedefine/>
    <w:qFormat/>
    <w:uiPriority w:val="0"/>
    <w:pPr>
      <w:keepNext/>
      <w:keepLines/>
      <w:spacing w:before="280" w:after="290" w:line="376" w:lineRule="auto"/>
      <w:outlineLvl w:val="4"/>
    </w:pPr>
    <w:rPr>
      <w:b/>
      <w:bCs/>
      <w:sz w:val="28"/>
      <w:szCs w:val="28"/>
    </w:rPr>
  </w:style>
  <w:style w:type="character" w:default="1" w:styleId="26">
    <w:name w:val="Default Paragraph Font"/>
    <w:autoRedefine/>
    <w:unhideWhenUsed/>
    <w:qFormat/>
    <w:uiPriority w:val="1"/>
  </w:style>
  <w:style w:type="table" w:default="1" w:styleId="24">
    <w:name w:val="Normal Table"/>
    <w:autoRedefine/>
    <w:unhideWhenUsed/>
    <w:qFormat/>
    <w:uiPriority w:val="99"/>
    <w:tblPr>
      <w:tblCellMar>
        <w:top w:w="0" w:type="dxa"/>
        <w:left w:w="108" w:type="dxa"/>
        <w:bottom w:w="0" w:type="dxa"/>
        <w:right w:w="108" w:type="dxa"/>
      </w:tblCellMar>
    </w:tblPr>
  </w:style>
  <w:style w:type="paragraph" w:styleId="2">
    <w:name w:val="Body Text First Indent 2"/>
    <w:basedOn w:val="3"/>
    <w:next w:val="1"/>
    <w:autoRedefine/>
    <w:qFormat/>
    <w:uiPriority w:val="39"/>
    <w:pPr>
      <w:spacing w:after="120"/>
      <w:ind w:left="200" w:leftChars="200" w:firstLine="200" w:firstLineChars="200"/>
    </w:pPr>
    <w:rPr>
      <w:rFonts w:ascii="Times New Roman"/>
      <w:sz w:val="20"/>
      <w:szCs w:val="20"/>
    </w:rPr>
  </w:style>
  <w:style w:type="paragraph" w:styleId="3">
    <w:name w:val="Body Text Indent"/>
    <w:basedOn w:val="1"/>
    <w:next w:val="4"/>
    <w:link w:val="40"/>
    <w:autoRedefine/>
    <w:qFormat/>
    <w:uiPriority w:val="0"/>
    <w:pPr>
      <w:spacing w:after="120"/>
      <w:ind w:left="420"/>
    </w:pPr>
    <w:rPr>
      <w:rFonts w:ascii="Times New Roman" w:hAnsi="Times New Roman" w:eastAsia="宋体" w:cs="Times New Roman"/>
      <w:szCs w:val="20"/>
    </w:rPr>
  </w:style>
  <w:style w:type="paragraph" w:styleId="4">
    <w:name w:val="header"/>
    <w:basedOn w:val="1"/>
    <w:next w:val="5"/>
    <w:link w:val="45"/>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5">
    <w:name w:val="样式5"/>
    <w:basedOn w:val="6"/>
    <w:autoRedefine/>
    <w:qFormat/>
    <w:uiPriority w:val="0"/>
    <w:pPr>
      <w:snapToGrid w:val="0"/>
      <w:spacing w:before="62" w:beforeLines="20" w:after="62" w:afterLines="20" w:line="480" w:lineRule="exact"/>
      <w:ind w:firstLine="523" w:firstLineChars="218"/>
      <w:jc w:val="both"/>
    </w:pPr>
    <w:rPr>
      <w:i/>
      <w:iCs/>
      <w:kern w:val="2"/>
      <w:sz w:val="24"/>
      <w:szCs w:val="20"/>
    </w:rPr>
  </w:style>
  <w:style w:type="paragraph" w:customStyle="1" w:styleId="6">
    <w:name w:val="正文1"/>
    <w:basedOn w:val="7"/>
    <w:next w:val="1"/>
    <w:autoRedefine/>
    <w:qFormat/>
    <w:uiPriority w:val="0"/>
    <w:pPr>
      <w:widowControl w:val="0"/>
      <w:suppressAutoHyphens/>
      <w:spacing w:line="520" w:lineRule="atLeast"/>
      <w:ind w:firstLine="680"/>
      <w:jc w:val="both"/>
    </w:pPr>
    <w:rPr>
      <w:rFonts w:eastAsia="方正楷体简体"/>
      <w:spacing w:val="18"/>
      <w:kern w:val="2"/>
      <w:sz w:val="32"/>
      <w:szCs w:val="32"/>
      <w:lang w:val="en-US" w:eastAsia="zh-CN" w:bidi="ar-SA"/>
    </w:rPr>
  </w:style>
  <w:style w:type="paragraph" w:customStyle="1" w:styleId="7">
    <w:name w:val="正文11"/>
    <w:basedOn w:val="1"/>
    <w:autoRedefine/>
    <w:qFormat/>
    <w:uiPriority w:val="0"/>
    <w:pPr>
      <w:spacing w:line="360" w:lineRule="auto"/>
      <w:ind w:firstLine="420" w:firstLineChars="200"/>
    </w:pPr>
    <w:rPr>
      <w:color w:val="000000"/>
      <w:sz w:val="24"/>
    </w:rPr>
  </w:style>
  <w:style w:type="paragraph" w:styleId="11">
    <w:name w:val="annotation text"/>
    <w:basedOn w:val="1"/>
    <w:link w:val="37"/>
    <w:autoRedefine/>
    <w:unhideWhenUsed/>
    <w:qFormat/>
    <w:uiPriority w:val="99"/>
    <w:pPr>
      <w:jc w:val="left"/>
    </w:pPr>
  </w:style>
  <w:style w:type="paragraph" w:styleId="12">
    <w:name w:val="Body Text"/>
    <w:basedOn w:val="1"/>
    <w:link w:val="38"/>
    <w:autoRedefine/>
    <w:unhideWhenUsed/>
    <w:qFormat/>
    <w:uiPriority w:val="99"/>
    <w:pPr>
      <w:spacing w:after="120"/>
    </w:pPr>
  </w:style>
  <w:style w:type="paragraph" w:styleId="13">
    <w:name w:val="toc 3"/>
    <w:basedOn w:val="1"/>
    <w:next w:val="1"/>
    <w:autoRedefine/>
    <w:unhideWhenUsed/>
    <w:qFormat/>
    <w:uiPriority w:val="39"/>
    <w:pPr>
      <w:ind w:left="840" w:leftChars="400"/>
    </w:pPr>
  </w:style>
  <w:style w:type="paragraph" w:styleId="14">
    <w:name w:val="Plain Text"/>
    <w:basedOn w:val="1"/>
    <w:next w:val="15"/>
    <w:link w:val="41"/>
    <w:autoRedefine/>
    <w:qFormat/>
    <w:uiPriority w:val="0"/>
    <w:rPr>
      <w:rFonts w:eastAsia="方正书宋简体"/>
      <w:sz w:val="28"/>
    </w:rPr>
  </w:style>
  <w:style w:type="paragraph" w:styleId="15">
    <w:name w:val="footer"/>
    <w:basedOn w:val="1"/>
    <w:link w:val="42"/>
    <w:autoRedefine/>
    <w:unhideWhenUsed/>
    <w:qFormat/>
    <w:uiPriority w:val="99"/>
    <w:pPr>
      <w:tabs>
        <w:tab w:val="center" w:pos="4153"/>
        <w:tab w:val="right" w:pos="8306"/>
      </w:tabs>
      <w:snapToGrid w:val="0"/>
      <w:jc w:val="left"/>
    </w:pPr>
    <w:rPr>
      <w:sz w:val="18"/>
      <w:szCs w:val="18"/>
    </w:rPr>
  </w:style>
  <w:style w:type="paragraph" w:styleId="16">
    <w:name w:val="List Bullet 5"/>
    <w:basedOn w:val="1"/>
    <w:autoRedefine/>
    <w:unhideWhenUsed/>
    <w:qFormat/>
    <w:uiPriority w:val="99"/>
    <w:pPr>
      <w:numPr>
        <w:ilvl w:val="0"/>
        <w:numId w:val="1"/>
      </w:numPr>
    </w:pPr>
  </w:style>
  <w:style w:type="paragraph" w:styleId="17">
    <w:name w:val="Body Text Indent 2"/>
    <w:basedOn w:val="1"/>
    <w:link w:val="43"/>
    <w:autoRedefine/>
    <w:qFormat/>
    <w:uiPriority w:val="0"/>
    <w:pPr>
      <w:spacing w:after="120" w:line="480" w:lineRule="auto"/>
      <w:ind w:left="420" w:leftChars="200"/>
    </w:pPr>
    <w:rPr>
      <w:rFonts w:ascii="Times New Roman" w:hAnsi="Times New Roman" w:eastAsia="宋体" w:cs="Times New Roman"/>
      <w:szCs w:val="24"/>
    </w:rPr>
  </w:style>
  <w:style w:type="paragraph" w:styleId="18">
    <w:name w:val="Balloon Text"/>
    <w:basedOn w:val="1"/>
    <w:link w:val="44"/>
    <w:autoRedefine/>
    <w:unhideWhenUsed/>
    <w:qFormat/>
    <w:uiPriority w:val="99"/>
    <w:rPr>
      <w:sz w:val="18"/>
      <w:szCs w:val="18"/>
    </w:rPr>
  </w:style>
  <w:style w:type="paragraph" w:styleId="19">
    <w:name w:val="toc 1"/>
    <w:basedOn w:val="1"/>
    <w:next w:val="1"/>
    <w:autoRedefine/>
    <w:unhideWhenUsed/>
    <w:qFormat/>
    <w:uiPriority w:val="39"/>
  </w:style>
  <w:style w:type="paragraph" w:styleId="20">
    <w:name w:val="table of figures"/>
    <w:basedOn w:val="1"/>
    <w:next w:val="1"/>
    <w:autoRedefine/>
    <w:unhideWhenUsed/>
    <w:qFormat/>
    <w:uiPriority w:val="0"/>
    <w:rPr>
      <w:rFonts w:ascii="Calibri" w:hAnsi="Calibri" w:eastAsia="宋体" w:cs="Times New Roman"/>
      <w:szCs w:val="22"/>
    </w:rPr>
  </w:style>
  <w:style w:type="paragraph" w:styleId="21">
    <w:name w:val="toc 2"/>
    <w:basedOn w:val="1"/>
    <w:next w:val="1"/>
    <w:autoRedefine/>
    <w:unhideWhenUsed/>
    <w:qFormat/>
    <w:uiPriority w:val="39"/>
    <w:pPr>
      <w:ind w:left="420" w:leftChars="200"/>
    </w:pPr>
  </w:style>
  <w:style w:type="paragraph" w:styleId="22">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3">
    <w:name w:val="Body Text First Indent"/>
    <w:basedOn w:val="12"/>
    <w:link w:val="46"/>
    <w:autoRedefine/>
    <w:unhideWhenUsed/>
    <w:qFormat/>
    <w:uiPriority w:val="99"/>
    <w:pPr>
      <w:ind w:firstLine="420" w:firstLineChars="100"/>
    </w:pPr>
  </w:style>
  <w:style w:type="table" w:styleId="25">
    <w:name w:val="Table Grid"/>
    <w:basedOn w:val="24"/>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7">
    <w:name w:val="Strong"/>
    <w:basedOn w:val="26"/>
    <w:autoRedefine/>
    <w:qFormat/>
    <w:uiPriority w:val="22"/>
    <w:rPr>
      <w:b/>
      <w:bCs/>
    </w:rPr>
  </w:style>
  <w:style w:type="character" w:styleId="28">
    <w:name w:val="page number"/>
    <w:basedOn w:val="26"/>
    <w:autoRedefine/>
    <w:qFormat/>
    <w:uiPriority w:val="0"/>
  </w:style>
  <w:style w:type="character" w:styleId="29">
    <w:name w:val="Hyperlink"/>
    <w:basedOn w:val="26"/>
    <w:autoRedefine/>
    <w:unhideWhenUsed/>
    <w:qFormat/>
    <w:uiPriority w:val="99"/>
    <w:rPr>
      <w:color w:val="0000FF"/>
      <w:u w:val="single"/>
    </w:rPr>
  </w:style>
  <w:style w:type="character" w:styleId="30">
    <w:name w:val="annotation reference"/>
    <w:basedOn w:val="26"/>
    <w:autoRedefine/>
    <w:unhideWhenUsed/>
    <w:qFormat/>
    <w:uiPriority w:val="99"/>
    <w:rPr>
      <w:sz w:val="21"/>
      <w:szCs w:val="21"/>
    </w:rPr>
  </w:style>
  <w:style w:type="paragraph" w:customStyle="1" w:styleId="31">
    <w:name w:val="Default"/>
    <w:link w:val="34"/>
    <w:autoRedefine/>
    <w:qFormat/>
    <w:uiPriority w:val="0"/>
    <w:pPr>
      <w:widowControl w:val="0"/>
      <w:autoSpaceDE w:val="0"/>
      <w:autoSpaceDN w:val="0"/>
      <w:adjustRightInd w:val="0"/>
    </w:pPr>
    <w:rPr>
      <w:rFonts w:ascii="宋体" w:hAnsi="Times New Roman" w:eastAsia="宋体" w:cs="Times New Roman"/>
      <w:color w:val="000000"/>
      <w:kern w:val="2"/>
      <w:sz w:val="24"/>
      <w:szCs w:val="24"/>
      <w:lang w:val="en-US" w:eastAsia="zh-CN" w:bidi="ar-SA"/>
    </w:rPr>
  </w:style>
  <w:style w:type="paragraph" w:customStyle="1" w:styleId="32">
    <w:name w:val="样式 正文文本缩进 + 行距: 1.5 倍行距"/>
    <w:basedOn w:val="33"/>
    <w:next w:val="1"/>
    <w:autoRedefine/>
    <w:qFormat/>
    <w:uiPriority w:val="0"/>
    <w:pPr>
      <w:spacing w:after="120" w:line="360" w:lineRule="auto"/>
      <w:ind w:left="90" w:leftChars="32" w:firstLine="560" w:firstLineChars="200"/>
    </w:pPr>
    <w:rPr>
      <w:rFonts w:cs="宋体"/>
      <w:sz w:val="24"/>
    </w:rPr>
  </w:style>
  <w:style w:type="paragraph" w:customStyle="1" w:styleId="33">
    <w:name w:val="Body Text Indent"/>
    <w:basedOn w:val="1"/>
    <w:next w:val="32"/>
    <w:autoRedefine/>
    <w:qFormat/>
    <w:uiPriority w:val="0"/>
    <w:pPr>
      <w:spacing w:after="120" w:afterLines="0"/>
      <w:ind w:left="420" w:leftChars="200"/>
    </w:pPr>
    <w:rPr>
      <w:rFonts w:ascii="Times New Roman" w:hAnsi="Times New Roman" w:eastAsia="宋体"/>
      <w:sz w:val="24"/>
    </w:rPr>
  </w:style>
  <w:style w:type="character" w:customStyle="1" w:styleId="34">
    <w:name w:val="Default Char"/>
    <w:link w:val="31"/>
    <w:autoRedefine/>
    <w:qFormat/>
    <w:uiPriority w:val="0"/>
    <w:rPr>
      <w:rFonts w:ascii="宋体"/>
      <w:color w:val="000000"/>
      <w:kern w:val="2"/>
      <w:sz w:val="24"/>
      <w:szCs w:val="24"/>
    </w:rPr>
  </w:style>
  <w:style w:type="character" w:customStyle="1" w:styleId="35">
    <w:name w:val="标题 1 字符"/>
    <w:basedOn w:val="26"/>
    <w:link w:val="8"/>
    <w:autoRedefine/>
    <w:qFormat/>
    <w:uiPriority w:val="9"/>
    <w:rPr>
      <w:b/>
      <w:bCs/>
      <w:kern w:val="44"/>
      <w:sz w:val="44"/>
      <w:szCs w:val="44"/>
    </w:rPr>
  </w:style>
  <w:style w:type="character" w:customStyle="1" w:styleId="36">
    <w:name w:val="标题 2 字符"/>
    <w:basedOn w:val="26"/>
    <w:link w:val="9"/>
    <w:autoRedefine/>
    <w:qFormat/>
    <w:uiPriority w:val="0"/>
    <w:rPr>
      <w:rFonts w:ascii="Calibri Light" w:hAnsi="Calibri Light" w:eastAsia="宋体" w:cs="Times New Roman"/>
      <w:b/>
      <w:bCs/>
      <w:kern w:val="2"/>
      <w:sz w:val="32"/>
      <w:szCs w:val="32"/>
    </w:rPr>
  </w:style>
  <w:style w:type="character" w:customStyle="1" w:styleId="37">
    <w:name w:val="批注文字 字符"/>
    <w:basedOn w:val="26"/>
    <w:link w:val="11"/>
    <w:autoRedefine/>
    <w:semiHidden/>
    <w:qFormat/>
    <w:uiPriority w:val="99"/>
    <w:rPr>
      <w:rFonts w:ascii="Calibri" w:hAnsi="Calibri" w:eastAsia="宋体" w:cs="Times New Roman"/>
      <w:kern w:val="2"/>
      <w:sz w:val="21"/>
      <w:szCs w:val="22"/>
    </w:rPr>
  </w:style>
  <w:style w:type="character" w:customStyle="1" w:styleId="38">
    <w:name w:val="正文文本 字符"/>
    <w:basedOn w:val="26"/>
    <w:link w:val="12"/>
    <w:autoRedefine/>
    <w:semiHidden/>
    <w:qFormat/>
    <w:uiPriority w:val="99"/>
  </w:style>
  <w:style w:type="paragraph" w:customStyle="1" w:styleId="39">
    <w:name w:val="Date1"/>
    <w:next w:val="1"/>
    <w:autoRedefine/>
    <w:qFormat/>
    <w:uiPriority w:val="0"/>
    <w:pPr>
      <w:widowControl w:val="0"/>
      <w:jc w:val="both"/>
    </w:pPr>
    <w:rPr>
      <w:rFonts w:ascii="Times New Roman" w:hAnsi="Times New Roman" w:eastAsia="宋体" w:cs="Times New Roman"/>
      <w:kern w:val="2"/>
      <w:sz w:val="21"/>
      <w:szCs w:val="20"/>
      <w:lang w:val="en-US" w:eastAsia="zh-CN" w:bidi="ar-SA"/>
    </w:rPr>
  </w:style>
  <w:style w:type="character" w:customStyle="1" w:styleId="40">
    <w:name w:val="正文文本缩进 字符"/>
    <w:basedOn w:val="26"/>
    <w:link w:val="3"/>
    <w:autoRedefine/>
    <w:qFormat/>
    <w:uiPriority w:val="0"/>
    <w:rPr>
      <w:rFonts w:ascii="Times New Roman" w:hAnsi="Times New Roman" w:eastAsia="宋体" w:cs="Times New Roman"/>
      <w:szCs w:val="20"/>
    </w:rPr>
  </w:style>
  <w:style w:type="character" w:customStyle="1" w:styleId="41">
    <w:name w:val="纯文本 字符"/>
    <w:link w:val="14"/>
    <w:autoRedefine/>
    <w:qFormat/>
    <w:uiPriority w:val="0"/>
    <w:rPr>
      <w:rFonts w:eastAsia="方正书宋简体"/>
      <w:sz w:val="28"/>
    </w:rPr>
  </w:style>
  <w:style w:type="character" w:customStyle="1" w:styleId="42">
    <w:name w:val="页脚 字符"/>
    <w:basedOn w:val="26"/>
    <w:link w:val="15"/>
    <w:autoRedefine/>
    <w:qFormat/>
    <w:uiPriority w:val="99"/>
    <w:rPr>
      <w:sz w:val="18"/>
      <w:szCs w:val="18"/>
    </w:rPr>
  </w:style>
  <w:style w:type="character" w:customStyle="1" w:styleId="43">
    <w:name w:val="正文文本缩进 2 字符"/>
    <w:basedOn w:val="26"/>
    <w:link w:val="17"/>
    <w:autoRedefine/>
    <w:qFormat/>
    <w:uiPriority w:val="0"/>
    <w:rPr>
      <w:kern w:val="2"/>
      <w:sz w:val="21"/>
      <w:szCs w:val="24"/>
    </w:rPr>
  </w:style>
  <w:style w:type="character" w:customStyle="1" w:styleId="44">
    <w:name w:val="批注框文本 字符"/>
    <w:basedOn w:val="26"/>
    <w:link w:val="18"/>
    <w:autoRedefine/>
    <w:semiHidden/>
    <w:qFormat/>
    <w:uiPriority w:val="99"/>
    <w:rPr>
      <w:sz w:val="18"/>
      <w:szCs w:val="18"/>
    </w:rPr>
  </w:style>
  <w:style w:type="character" w:customStyle="1" w:styleId="45">
    <w:name w:val="页眉 字符"/>
    <w:basedOn w:val="26"/>
    <w:link w:val="4"/>
    <w:autoRedefine/>
    <w:qFormat/>
    <w:uiPriority w:val="99"/>
    <w:rPr>
      <w:sz w:val="18"/>
      <w:szCs w:val="18"/>
    </w:rPr>
  </w:style>
  <w:style w:type="character" w:customStyle="1" w:styleId="46">
    <w:name w:val="正文文本首行缩进 字符"/>
    <w:basedOn w:val="38"/>
    <w:link w:val="23"/>
    <w:autoRedefine/>
    <w:semiHidden/>
    <w:qFormat/>
    <w:uiPriority w:val="99"/>
  </w:style>
  <w:style w:type="paragraph" w:styleId="47">
    <w:name w:val="List Paragraph"/>
    <w:basedOn w:val="1"/>
    <w:autoRedefine/>
    <w:qFormat/>
    <w:uiPriority w:val="99"/>
    <w:pPr>
      <w:ind w:firstLine="420" w:firstLineChars="200"/>
    </w:pPr>
  </w:style>
  <w:style w:type="paragraph" w:customStyle="1" w:styleId="48">
    <w:name w:val="表格"/>
    <w:basedOn w:val="1"/>
    <w:autoRedefine/>
    <w:qFormat/>
    <w:uiPriority w:val="0"/>
    <w:pPr>
      <w:spacing w:line="240" w:lineRule="atLeast"/>
    </w:pPr>
    <w:rPr>
      <w:rFonts w:ascii="宋体" w:hAnsi="宋体" w:eastAsia="宋体" w:cs="Times New Roman"/>
      <w:sz w:val="24"/>
      <w:szCs w:val="24"/>
    </w:rPr>
  </w:style>
  <w:style w:type="paragraph" w:customStyle="1" w:styleId="49">
    <w:name w:val="Table Paragraph"/>
    <w:basedOn w:val="1"/>
    <w:autoRedefine/>
    <w:qFormat/>
    <w:uiPriority w:val="1"/>
    <w:rPr>
      <w:rFonts w:ascii="Times New Roman" w:hAnsi="Times New Roman" w:eastAsia="宋体" w:cs="Times New Roman"/>
      <w:szCs w:val="20"/>
    </w:rPr>
  </w:style>
  <w:style w:type="paragraph" w:customStyle="1" w:styleId="50">
    <w:name w:val="TOC 标题1"/>
    <w:basedOn w:val="8"/>
    <w:next w:val="1"/>
    <w:autoRedefine/>
    <w:unhideWhenUsed/>
    <w:qFormat/>
    <w:uiPriority w:val="39"/>
    <w:pPr>
      <w:widowControl/>
      <w:spacing w:before="240" w:after="0" w:line="259" w:lineRule="auto"/>
      <w:jc w:val="left"/>
      <w:outlineLvl w:val="9"/>
    </w:pPr>
    <w:rPr>
      <w:rFonts w:ascii="Calibri Light" w:hAnsi="Calibri Light" w:eastAsia="宋体" w:cs="Times New Roman"/>
      <w:b w:val="0"/>
      <w:bCs w:val="0"/>
      <w:color w:val="2E75B5"/>
      <w:kern w:val="0"/>
      <w:sz w:val="32"/>
      <w:szCs w:val="32"/>
    </w:rPr>
  </w:style>
  <w:style w:type="character" w:customStyle="1" w:styleId="51">
    <w:name w:val="font21"/>
    <w:autoRedefine/>
    <w:qFormat/>
    <w:uiPriority w:val="0"/>
    <w:rPr>
      <w:rFonts w:ascii="宋体" w:eastAsia="宋体"/>
      <w:color w:val="000000"/>
      <w:sz w:val="21"/>
      <w:szCs w:val="21"/>
      <w:u w:val="none"/>
    </w:rPr>
  </w:style>
  <w:style w:type="character" w:customStyle="1" w:styleId="52">
    <w:name w:val="纯文本 字符1"/>
    <w:basedOn w:val="26"/>
    <w:autoRedefine/>
    <w:semiHidden/>
    <w:qFormat/>
    <w:uiPriority w:val="99"/>
    <w:rPr>
      <w:rFonts w:ascii="宋体" w:hAnsi="Courier New" w:cs="Courier New"/>
    </w:rPr>
  </w:style>
  <w:style w:type="character" w:customStyle="1" w:styleId="53">
    <w:name w:val="正文文本缩进 2 Char1"/>
    <w:basedOn w:val="26"/>
    <w:autoRedefine/>
    <w:semiHidden/>
    <w:qFormat/>
    <w:uiPriority w:val="99"/>
    <w:rPr>
      <w:rFonts w:ascii="Calibri" w:hAnsi="Calibri" w:eastAsia="宋体" w:cs="Times New Roman"/>
      <w:kern w:val="2"/>
      <w:sz w:val="21"/>
      <w:szCs w:val="22"/>
    </w:rPr>
  </w:style>
  <w:style w:type="paragraph" w:customStyle="1" w:styleId="54">
    <w:name w:val="样式 标题 2 + 楷体_GB2312 四号 段前: 0 磅 段后: 0 磅 行距: 1.5 倍行距"/>
    <w:basedOn w:val="9"/>
    <w:autoRedefine/>
    <w:qFormat/>
    <w:uiPriority w:val="0"/>
    <w:pPr>
      <w:spacing w:beforeLines="50" w:after="0" w:line="360" w:lineRule="auto"/>
    </w:pPr>
    <w:rPr>
      <w:rFonts w:ascii="楷体_GB2312" w:hAnsi="楷体_GB2312" w:eastAsia="楷体_GB2312" w:cs="宋体"/>
      <w:sz w:val="28"/>
      <w:szCs w:val="20"/>
    </w:rPr>
  </w:style>
  <w:style w:type="paragraph" w:customStyle="1" w:styleId="55">
    <w:name w:val="陈光的正文"/>
    <w:basedOn w:val="1"/>
    <w:autoRedefine/>
    <w:qFormat/>
    <w:uiPriority w:val="0"/>
    <w:pPr>
      <w:adjustRightInd w:val="0"/>
      <w:snapToGrid w:val="0"/>
      <w:spacing w:beforeLines="10" w:afterLines="10" w:line="360" w:lineRule="auto"/>
      <w:ind w:firstLine="560" w:firstLineChars="200"/>
    </w:pPr>
    <w:rPr>
      <w:rFonts w:ascii="Calibri" w:hAnsi="Calibri" w:eastAsia="宋体" w:cs="Times New Roman"/>
      <w:sz w:val="28"/>
      <w:szCs w:val="20"/>
    </w:rPr>
  </w:style>
  <w:style w:type="character" w:customStyle="1" w:styleId="56">
    <w:name w:val="ww1"/>
    <w:basedOn w:val="26"/>
    <w:autoRedefine/>
    <w:qFormat/>
    <w:uiPriority w:val="0"/>
  </w:style>
  <w:style w:type="character" w:customStyle="1" w:styleId="57">
    <w:name w:val="1、大表格内 Char Char"/>
    <w:link w:val="58"/>
    <w:autoRedefine/>
    <w:qFormat/>
    <w:uiPriority w:val="0"/>
    <w:rPr>
      <w:sz w:val="24"/>
    </w:rPr>
  </w:style>
  <w:style w:type="paragraph" w:customStyle="1" w:styleId="58">
    <w:name w:val="1、大表格内"/>
    <w:basedOn w:val="1"/>
    <w:link w:val="57"/>
    <w:autoRedefine/>
    <w:qFormat/>
    <w:uiPriority w:val="0"/>
    <w:pPr>
      <w:keepNext/>
      <w:keepLines/>
      <w:autoSpaceDE w:val="0"/>
      <w:autoSpaceDN w:val="0"/>
      <w:adjustRightInd w:val="0"/>
      <w:spacing w:line="360" w:lineRule="auto"/>
      <w:ind w:firstLine="480" w:firstLineChars="200"/>
      <w:textAlignment w:val="bottom"/>
    </w:pPr>
    <w:rPr>
      <w:rFonts w:ascii="Times New Roman" w:hAnsi="Times New Roman" w:eastAsia="宋体" w:cs="Times New Roman"/>
      <w:kern w:val="0"/>
      <w:sz w:val="24"/>
      <w:szCs w:val="20"/>
    </w:rPr>
  </w:style>
  <w:style w:type="character" w:customStyle="1" w:styleId="59">
    <w:name w:val="标题 3 Char1"/>
    <w:autoRedefine/>
    <w:qFormat/>
    <w:uiPriority w:val="0"/>
    <w:rPr>
      <w:rFonts w:ascii="Times New Roman" w:hAnsi="Times New Roman"/>
      <w:b/>
      <w:bCs/>
      <w:kern w:val="2"/>
      <w:sz w:val="32"/>
      <w:szCs w:val="32"/>
    </w:rPr>
  </w:style>
  <w:style w:type="paragraph" w:customStyle="1" w:styleId="60">
    <w:name w:val="正文文本 21"/>
    <w:basedOn w:val="1"/>
    <w:autoRedefine/>
    <w:qFormat/>
    <w:uiPriority w:val="0"/>
    <w:pPr>
      <w:autoSpaceDE w:val="0"/>
      <w:autoSpaceDN w:val="0"/>
      <w:adjustRightInd w:val="0"/>
      <w:spacing w:line="480" w:lineRule="atLeast"/>
      <w:ind w:firstLine="570"/>
    </w:pPr>
    <w:rPr>
      <w:rFonts w:ascii="宋体" w:cs="宋体"/>
      <w:kern w:val="0"/>
      <w:sz w:val="28"/>
      <w:szCs w:val="28"/>
      <w:lang w:bidi="ar-SA"/>
    </w:rPr>
  </w:style>
  <w:style w:type="paragraph" w:customStyle="1" w:styleId="61">
    <w:name w:val="样式 样式 样式 四号 左侧:  1.53 厘米 + 首行缩进:  2 字符 + 居中 左侧:  2 字符 首行缩进:  2..."/>
    <w:basedOn w:val="62"/>
    <w:autoRedefine/>
    <w:qFormat/>
    <w:uiPriority w:val="0"/>
    <w:pPr>
      <w:ind w:firstLine="0" w:firstLineChars="0"/>
      <w:jc w:val="center"/>
    </w:pPr>
  </w:style>
  <w:style w:type="paragraph" w:customStyle="1" w:styleId="62">
    <w:name w:val="样式 样式 四号 左侧:  1.53 厘米 + 首行缩进:  2 字符"/>
    <w:basedOn w:val="63"/>
    <w:autoRedefine/>
    <w:qFormat/>
    <w:uiPriority w:val="0"/>
    <w:pPr>
      <w:ind w:left="200" w:leftChars="200"/>
    </w:pPr>
    <w:rPr>
      <w:szCs w:val="20"/>
    </w:rPr>
  </w:style>
  <w:style w:type="paragraph" w:customStyle="1" w:styleId="63">
    <w:name w:val="样式 四号 左侧:  1.53 厘米"/>
    <w:basedOn w:val="1"/>
    <w:autoRedefine/>
    <w:qFormat/>
    <w:uiPriority w:val="0"/>
    <w:pPr>
      <w:adjustRightInd w:val="0"/>
    </w:pPr>
    <w:rPr>
      <w:w w:val="90"/>
      <w:sz w:val="28"/>
      <w:szCs w:val="28"/>
    </w:rPr>
  </w:style>
  <w:style w:type="table" w:customStyle="1" w:styleId="64">
    <w:name w:val="Table Normal"/>
    <w:autoRedefine/>
    <w:unhideWhenUsed/>
    <w:qFormat/>
    <w:uiPriority w:val="0"/>
    <w:tblPr>
      <w:tblCellMar>
        <w:top w:w="0" w:type="dxa"/>
        <w:left w:w="0" w:type="dxa"/>
        <w:bottom w:w="0" w:type="dxa"/>
        <w:right w:w="0" w:type="dxa"/>
      </w:tblCellMar>
    </w:tblPr>
  </w:style>
  <w:style w:type="character" w:customStyle="1" w:styleId="65">
    <w:name w:val="ql-author-13781750"/>
    <w:autoRedefine/>
    <w:qFormat/>
    <w:uiPriority w:val="0"/>
    <w:rPr>
      <w:rFonts w:hint="default" w:ascii="Calibri" w:hAnsi="Calibri" w:eastAsia="宋体" w:cs="Times New Roman"/>
    </w:rPr>
  </w:style>
  <w:style w:type="paragraph" w:customStyle="1" w:styleId="66">
    <w:name w:val="ql-align-center"/>
    <w:autoRedefine/>
    <w:qFormat/>
    <w:uiPriority w:val="0"/>
    <w:pPr>
      <w:widowControl/>
      <w:spacing w:before="100" w:beforeAutospacing="1" w:after="100" w:afterAutospacing="1"/>
      <w:jc w:val="left"/>
    </w:pPr>
    <w:rPr>
      <w:rFonts w:ascii="宋体" w:hAnsi="宋体" w:eastAsia="宋体" w:cs="宋体"/>
      <w:kern w:val="0"/>
      <w:sz w:val="24"/>
      <w:szCs w:val="24"/>
      <w:lang w:val="en-US" w:eastAsia="zh-CN" w:bidi="ar-SA"/>
    </w:rPr>
  </w:style>
  <w:style w:type="paragraph" w:customStyle="1" w:styleId="67">
    <w:name w:val="样式9"/>
    <w:autoRedefine/>
    <w:qFormat/>
    <w:uiPriority w:val="0"/>
    <w:pPr>
      <w:adjustRightInd w:val="0"/>
      <w:snapToGrid w:val="0"/>
      <w:spacing w:beforeLines="50"/>
      <w:ind w:firstLine="200" w:firstLineChars="200"/>
    </w:pPr>
    <w:rPr>
      <w:rFonts w:ascii="Times New Roman" w:hAnsi="宋体" w:eastAsia="Times New Roman" w:cs="Times New Roman"/>
      <w:b/>
      <w:szCs w:val="21"/>
      <w:lang w:val="en-US" w:eastAsia="zh-CN" w:bidi="ar-SA"/>
    </w:rPr>
  </w:style>
  <w:style w:type="character" w:customStyle="1" w:styleId="68">
    <w:name w:val="不明显强调1"/>
    <w:basedOn w:val="26"/>
    <w:autoRedefine/>
    <w:qFormat/>
    <w:uiPriority w:val="19"/>
    <w:rPr>
      <w:i/>
      <w:iCs/>
      <w:color w:val="808080"/>
    </w:rPr>
  </w:style>
  <w:style w:type="paragraph" w:customStyle="1" w:styleId="69">
    <w:name w:val="CJ表格内容"/>
    <w:basedOn w:val="1"/>
    <w:autoRedefine/>
    <w:qFormat/>
    <w:uiPriority w:val="0"/>
    <w:pPr>
      <w:jc w:val="center"/>
    </w:pPr>
    <w:rPr>
      <w:color w:val="000000"/>
      <w:szCs w:val="20"/>
    </w:rPr>
  </w:style>
  <w:style w:type="paragraph" w:customStyle="1" w:styleId="70">
    <w:name w:val="表图"/>
    <w:basedOn w:val="1"/>
    <w:next w:val="1"/>
    <w:autoRedefine/>
    <w:qFormat/>
    <w:uiPriority w:val="0"/>
    <w:pPr>
      <w:widowControl/>
      <w:jc w:val="center"/>
    </w:pPr>
    <w:rPr>
      <w:rFonts w:eastAsia="仿宋_GB2312"/>
      <w:kern w:val="0"/>
      <w:sz w:val="24"/>
      <w:szCs w:val="20"/>
    </w:rPr>
  </w:style>
  <w:style w:type="paragraph" w:customStyle="1" w:styleId="71">
    <w:name w:val="表内"/>
    <w:autoRedefine/>
    <w:qFormat/>
    <w:uiPriority w:val="0"/>
    <w:pPr>
      <w:jc w:val="center"/>
    </w:pPr>
    <w:rPr>
      <w:rFonts w:ascii="Times New Roman" w:hAnsi="Times New Roman" w:eastAsia="宋体" w:cs="宋体"/>
      <w:kern w:val="2"/>
      <w:sz w:val="21"/>
      <w:lang w:val="en-US" w:eastAsia="zh-CN" w:bidi="ar-SA"/>
    </w:rPr>
  </w:style>
  <w:style w:type="paragraph" w:customStyle="1" w:styleId="72">
    <w:name w:val="环评正文"/>
    <w:basedOn w:val="1"/>
    <w:autoRedefine/>
    <w:qFormat/>
    <w:uiPriority w:val="0"/>
    <w:pPr>
      <w:spacing w:line="500" w:lineRule="exact"/>
      <w:ind w:firstLine="480" w:firstLineChars="200"/>
    </w:pPr>
    <w:rPr>
      <w:rFonts w:ascii="宋体" w:cs="宋体"/>
      <w:sz w:val="24"/>
      <w:szCs w:val="20"/>
    </w:rPr>
  </w:style>
  <w:style w:type="paragraph" w:customStyle="1" w:styleId="73">
    <w:name w:val="表格内容"/>
    <w:basedOn w:val="1"/>
    <w:autoRedefine/>
    <w:qFormat/>
    <w:uiPriority w:val="0"/>
    <w:pPr>
      <w:spacing w:line="320" w:lineRule="exact"/>
      <w:jc w:val="center"/>
    </w:pPr>
    <w:rPr>
      <w:rFonts w:ascii="宋体"/>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header" Target="header2.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4.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3.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jpe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77</Pages>
  <Words>29284</Words>
  <Characters>36260</Characters>
  <Lines>216</Lines>
  <Paragraphs>60</Paragraphs>
  <TotalTime>9</TotalTime>
  <ScaleCrop>false</ScaleCrop>
  <LinksUpToDate>false</LinksUpToDate>
  <CharactersWithSpaces>36756</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2018-01-11T06:58:00Z</dcterms:created>
  <dc:creator>user</dc:creator>
  <cp:lastModifiedBy>程相征</cp:lastModifiedBy>
  <cp:lastPrinted>2023-08-28T01:45:00Z</cp:lastPrinted>
  <dcterms:modified xsi:type="dcterms:W3CDTF">2024-04-01T04:39:15Z</dcterms:modified>
  <cp:revision>1832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02465B9FB85745D9B11678761D40C52F_13</vt:lpwstr>
  </property>
</Properties>
</file>